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50055" w14:textId="77777777" w:rsidR="00590756" w:rsidRDefault="00590756" w:rsidP="00590756">
      <w:pPr>
        <w:spacing w:line="480" w:lineRule="auto"/>
        <w:jc w:val="center"/>
        <w:rPr>
          <w:rFonts w:ascii="Times New Roman" w:hAnsi="Times New Roman" w:cs="Times New Roman"/>
        </w:rPr>
      </w:pPr>
      <w:r>
        <w:rPr>
          <w:rFonts w:ascii="Times New Roman" w:hAnsi="Times New Roman" w:cs="Times New Roman"/>
        </w:rPr>
        <w:t>UNIVERSITY OF OKLAHOMA</w:t>
      </w:r>
    </w:p>
    <w:p w14:paraId="3556C75B" w14:textId="77777777" w:rsidR="00590756" w:rsidRDefault="00590756" w:rsidP="00590756">
      <w:pPr>
        <w:spacing w:line="480" w:lineRule="auto"/>
        <w:jc w:val="center"/>
        <w:rPr>
          <w:rFonts w:ascii="Times New Roman" w:hAnsi="Times New Roman" w:cs="Times New Roman"/>
        </w:rPr>
      </w:pPr>
      <w:r>
        <w:rPr>
          <w:rFonts w:ascii="Times New Roman" w:hAnsi="Times New Roman" w:cs="Times New Roman"/>
        </w:rPr>
        <w:t>GRADUATE COLLEGE</w:t>
      </w:r>
    </w:p>
    <w:p w14:paraId="4B3B4BA2" w14:textId="77777777" w:rsidR="00590756" w:rsidRDefault="00590756" w:rsidP="00590756">
      <w:pPr>
        <w:spacing w:line="480" w:lineRule="auto"/>
        <w:jc w:val="center"/>
        <w:rPr>
          <w:rFonts w:ascii="Times New Roman" w:hAnsi="Times New Roman" w:cs="Times New Roman"/>
        </w:rPr>
      </w:pPr>
    </w:p>
    <w:p w14:paraId="49CC1E64" w14:textId="77777777" w:rsidR="00590756" w:rsidRDefault="00590756" w:rsidP="00590756">
      <w:pPr>
        <w:spacing w:line="480" w:lineRule="auto"/>
        <w:jc w:val="center"/>
        <w:rPr>
          <w:rFonts w:ascii="Times New Roman" w:hAnsi="Times New Roman" w:cs="Times New Roman"/>
        </w:rPr>
      </w:pPr>
    </w:p>
    <w:p w14:paraId="1CCA9EDF" w14:textId="77777777" w:rsidR="00590756" w:rsidRPr="00590756" w:rsidRDefault="00590756" w:rsidP="00590756">
      <w:pPr>
        <w:spacing w:line="480" w:lineRule="auto"/>
        <w:jc w:val="center"/>
        <w:rPr>
          <w:rFonts w:ascii="Times New Roman" w:hAnsi="Times New Roman" w:cs="Times New Roman"/>
        </w:rPr>
      </w:pPr>
    </w:p>
    <w:p w14:paraId="727671C9" w14:textId="6387C48C" w:rsidR="00590756" w:rsidRDefault="00590756" w:rsidP="00590756">
      <w:pPr>
        <w:spacing w:line="480" w:lineRule="auto"/>
        <w:jc w:val="center"/>
        <w:rPr>
          <w:rFonts w:ascii="Times New Roman" w:hAnsi="Times New Roman" w:cs="Times New Roman"/>
          <w:b/>
          <w:bCs/>
        </w:rPr>
      </w:pPr>
      <w:r w:rsidRPr="00590756">
        <w:rPr>
          <w:rFonts w:ascii="Times New Roman" w:hAnsi="Times New Roman" w:cs="Times New Roman"/>
        </w:rPr>
        <w:t>T</w:t>
      </w:r>
      <w:r w:rsidR="003C1ED1">
        <w:rPr>
          <w:rFonts w:ascii="Times New Roman" w:hAnsi="Times New Roman" w:cs="Times New Roman"/>
        </w:rPr>
        <w:t>HE INFLUENCE OF THE PRESEASON TRAINING PHASE ON ENDOCRINE BIOMARKERS AND NEUROMUSCULAR PERFORMANCE</w:t>
      </w:r>
      <w:r w:rsidR="00790EE7">
        <w:rPr>
          <w:rFonts w:ascii="Times New Roman" w:hAnsi="Times New Roman" w:cs="Times New Roman"/>
        </w:rPr>
        <w:t xml:space="preserve"> IN COLLEGIATE BASKETBALL PLAYERS</w:t>
      </w:r>
      <w:r w:rsidRPr="00590756">
        <w:rPr>
          <w:rFonts w:ascii="Times New Roman" w:hAnsi="Times New Roman" w:cs="Times New Roman"/>
        </w:rPr>
        <w:t xml:space="preserve"> </w:t>
      </w:r>
    </w:p>
    <w:p w14:paraId="00D66C3F" w14:textId="77777777" w:rsidR="00590756" w:rsidRDefault="00590756" w:rsidP="00590756">
      <w:pPr>
        <w:spacing w:line="480" w:lineRule="auto"/>
        <w:jc w:val="center"/>
        <w:rPr>
          <w:rFonts w:ascii="Times New Roman" w:hAnsi="Times New Roman" w:cs="Times New Roman"/>
          <w:b/>
          <w:bCs/>
        </w:rPr>
      </w:pPr>
    </w:p>
    <w:p w14:paraId="466C37C2" w14:textId="77777777" w:rsidR="00590756" w:rsidRDefault="00590756" w:rsidP="00590756">
      <w:pPr>
        <w:spacing w:line="480" w:lineRule="auto"/>
        <w:jc w:val="center"/>
        <w:rPr>
          <w:rFonts w:ascii="Times New Roman" w:hAnsi="Times New Roman" w:cs="Times New Roman"/>
          <w:b/>
          <w:bCs/>
        </w:rPr>
      </w:pPr>
    </w:p>
    <w:p w14:paraId="6C4110D6" w14:textId="77777777" w:rsidR="00590756" w:rsidRDefault="00590756" w:rsidP="00590756">
      <w:pPr>
        <w:spacing w:line="480" w:lineRule="auto"/>
        <w:jc w:val="center"/>
        <w:rPr>
          <w:rFonts w:ascii="Times New Roman" w:hAnsi="Times New Roman" w:cs="Times New Roman"/>
          <w:b/>
          <w:bCs/>
        </w:rPr>
      </w:pPr>
    </w:p>
    <w:p w14:paraId="1F080030" w14:textId="77777777" w:rsidR="00590756" w:rsidRDefault="00590756" w:rsidP="00590756">
      <w:pPr>
        <w:spacing w:line="480" w:lineRule="auto"/>
        <w:jc w:val="center"/>
        <w:rPr>
          <w:rFonts w:ascii="Times New Roman" w:hAnsi="Times New Roman" w:cs="Times New Roman"/>
          <w:b/>
          <w:bCs/>
        </w:rPr>
      </w:pPr>
    </w:p>
    <w:p w14:paraId="5A655BD9" w14:textId="77777777" w:rsidR="00590756" w:rsidRDefault="00590756" w:rsidP="00590756">
      <w:pPr>
        <w:spacing w:line="480" w:lineRule="auto"/>
        <w:jc w:val="center"/>
        <w:rPr>
          <w:rFonts w:ascii="Times New Roman" w:hAnsi="Times New Roman" w:cs="Times New Roman"/>
        </w:rPr>
      </w:pPr>
      <w:r>
        <w:rPr>
          <w:rFonts w:ascii="Times New Roman" w:hAnsi="Times New Roman" w:cs="Times New Roman"/>
        </w:rPr>
        <w:t>A THESIS</w:t>
      </w:r>
    </w:p>
    <w:p w14:paraId="24F48E4F" w14:textId="77777777" w:rsidR="00590756" w:rsidRDefault="00590756" w:rsidP="00590756">
      <w:pPr>
        <w:spacing w:line="480" w:lineRule="auto"/>
        <w:jc w:val="center"/>
        <w:rPr>
          <w:rFonts w:ascii="Times New Roman" w:hAnsi="Times New Roman" w:cs="Times New Roman"/>
        </w:rPr>
      </w:pPr>
      <w:r>
        <w:rPr>
          <w:rFonts w:ascii="Times New Roman" w:hAnsi="Times New Roman" w:cs="Times New Roman"/>
        </w:rPr>
        <w:t>SUBMITTED TO THE GRADUATE FACULTY</w:t>
      </w:r>
    </w:p>
    <w:p w14:paraId="17B24E66" w14:textId="77777777" w:rsidR="00590756" w:rsidRDefault="00590756" w:rsidP="00590756">
      <w:pPr>
        <w:spacing w:line="480" w:lineRule="auto"/>
        <w:jc w:val="center"/>
        <w:rPr>
          <w:rFonts w:ascii="Times New Roman" w:hAnsi="Times New Roman" w:cs="Times New Roman"/>
        </w:rPr>
      </w:pPr>
      <w:r>
        <w:rPr>
          <w:rFonts w:ascii="Times New Roman" w:hAnsi="Times New Roman" w:cs="Times New Roman"/>
        </w:rPr>
        <w:t>in partial fulfillment of the requirements for the</w:t>
      </w:r>
    </w:p>
    <w:p w14:paraId="315A7322" w14:textId="77777777" w:rsidR="003C1ED1" w:rsidRDefault="00590756" w:rsidP="00590756">
      <w:pPr>
        <w:spacing w:line="480" w:lineRule="auto"/>
        <w:jc w:val="center"/>
        <w:rPr>
          <w:rFonts w:ascii="Times New Roman" w:hAnsi="Times New Roman" w:cs="Times New Roman"/>
        </w:rPr>
      </w:pPr>
      <w:r>
        <w:rPr>
          <w:rFonts w:ascii="Times New Roman" w:hAnsi="Times New Roman" w:cs="Times New Roman"/>
        </w:rPr>
        <w:t>Degree of</w:t>
      </w:r>
    </w:p>
    <w:p w14:paraId="3F3C7CC0" w14:textId="6A8C2D56" w:rsidR="003C1ED1" w:rsidRDefault="003C1ED1" w:rsidP="00790EE7">
      <w:pPr>
        <w:spacing w:line="480" w:lineRule="auto"/>
        <w:jc w:val="center"/>
        <w:rPr>
          <w:rFonts w:ascii="Times New Roman" w:hAnsi="Times New Roman" w:cs="Times New Roman"/>
        </w:rPr>
      </w:pPr>
      <w:r>
        <w:rPr>
          <w:rFonts w:ascii="Times New Roman" w:hAnsi="Times New Roman" w:cs="Times New Roman"/>
        </w:rPr>
        <w:t>MASTER OF SCIENCE</w:t>
      </w:r>
    </w:p>
    <w:p w14:paraId="78B79398" w14:textId="77777777" w:rsidR="003C1ED1" w:rsidRDefault="003C1ED1" w:rsidP="00590756">
      <w:pPr>
        <w:spacing w:line="480" w:lineRule="auto"/>
        <w:jc w:val="center"/>
        <w:rPr>
          <w:rFonts w:ascii="Times New Roman" w:hAnsi="Times New Roman" w:cs="Times New Roman"/>
        </w:rPr>
      </w:pPr>
    </w:p>
    <w:p w14:paraId="41A08A61" w14:textId="77777777" w:rsidR="003C1ED1" w:rsidRDefault="003C1ED1" w:rsidP="00590756">
      <w:pPr>
        <w:spacing w:line="480" w:lineRule="auto"/>
        <w:jc w:val="center"/>
        <w:rPr>
          <w:rFonts w:ascii="Times New Roman" w:hAnsi="Times New Roman" w:cs="Times New Roman"/>
        </w:rPr>
      </w:pPr>
    </w:p>
    <w:p w14:paraId="2669E265" w14:textId="5542D146" w:rsidR="003C1ED1" w:rsidRDefault="003C1ED1" w:rsidP="00CB532B">
      <w:pPr>
        <w:spacing w:line="480" w:lineRule="auto"/>
        <w:jc w:val="center"/>
        <w:rPr>
          <w:rFonts w:ascii="Times New Roman" w:hAnsi="Times New Roman" w:cs="Times New Roman"/>
        </w:rPr>
      </w:pPr>
    </w:p>
    <w:p w14:paraId="7F634F78" w14:textId="77777777" w:rsidR="00790EE7" w:rsidRDefault="00790EE7" w:rsidP="00790EE7">
      <w:pPr>
        <w:jc w:val="center"/>
        <w:rPr>
          <w:rFonts w:ascii="Times New Roman" w:hAnsi="Times New Roman" w:cs="Times New Roman"/>
        </w:rPr>
      </w:pPr>
    </w:p>
    <w:p w14:paraId="0140CCF5" w14:textId="2E037240" w:rsidR="00790EE7" w:rsidRDefault="003C1ED1" w:rsidP="00790EE7">
      <w:pPr>
        <w:spacing w:line="480" w:lineRule="auto"/>
        <w:jc w:val="center"/>
        <w:rPr>
          <w:rFonts w:ascii="Times New Roman" w:hAnsi="Times New Roman" w:cs="Times New Roman"/>
        </w:rPr>
      </w:pPr>
      <w:r>
        <w:rPr>
          <w:rFonts w:ascii="Times New Roman" w:hAnsi="Times New Roman" w:cs="Times New Roman"/>
        </w:rPr>
        <w:t>By</w:t>
      </w:r>
    </w:p>
    <w:p w14:paraId="5C6C0B78" w14:textId="77777777" w:rsidR="003C1ED1" w:rsidRDefault="003C1ED1" w:rsidP="003C1ED1">
      <w:pPr>
        <w:jc w:val="center"/>
        <w:rPr>
          <w:rFonts w:ascii="Times New Roman" w:hAnsi="Times New Roman" w:cs="Times New Roman"/>
        </w:rPr>
      </w:pPr>
      <w:r>
        <w:rPr>
          <w:rFonts w:ascii="Times New Roman" w:hAnsi="Times New Roman" w:cs="Times New Roman"/>
        </w:rPr>
        <w:t>KELDON MICHAEL PEAK</w:t>
      </w:r>
    </w:p>
    <w:p w14:paraId="35E1E8DC" w14:textId="77777777" w:rsidR="003C1ED1" w:rsidRDefault="003C1ED1" w:rsidP="003C1ED1">
      <w:pPr>
        <w:jc w:val="center"/>
        <w:rPr>
          <w:rFonts w:ascii="Times New Roman" w:hAnsi="Times New Roman" w:cs="Times New Roman"/>
        </w:rPr>
      </w:pPr>
      <w:r>
        <w:rPr>
          <w:rFonts w:ascii="Times New Roman" w:hAnsi="Times New Roman" w:cs="Times New Roman"/>
        </w:rPr>
        <w:t>Norman, Oklahoma</w:t>
      </w:r>
    </w:p>
    <w:p w14:paraId="6C8A3363" w14:textId="0EE3F8B9" w:rsidR="003862DD" w:rsidRDefault="003C1ED1" w:rsidP="00790EE7">
      <w:pPr>
        <w:jc w:val="center"/>
        <w:rPr>
          <w:rFonts w:ascii="Times New Roman" w:hAnsi="Times New Roman" w:cs="Times New Roman"/>
        </w:rPr>
      </w:pPr>
      <w:r>
        <w:rPr>
          <w:rFonts w:ascii="Times New Roman" w:hAnsi="Times New Roman" w:cs="Times New Roman"/>
        </w:rPr>
        <w:t>2022</w:t>
      </w:r>
    </w:p>
    <w:p w14:paraId="5AC9904C" w14:textId="1E4E7C32" w:rsidR="0038167A" w:rsidRDefault="0038167A" w:rsidP="0038167A">
      <w:pPr>
        <w:spacing w:line="480" w:lineRule="auto"/>
        <w:jc w:val="center"/>
        <w:rPr>
          <w:rFonts w:ascii="Times New Roman" w:hAnsi="Times New Roman" w:cs="Times New Roman"/>
        </w:rPr>
      </w:pPr>
      <w:r>
        <w:rPr>
          <w:rFonts w:ascii="Times New Roman" w:hAnsi="Times New Roman" w:cs="Times New Roman"/>
        </w:rPr>
        <w:lastRenderedPageBreak/>
        <w:t>THE INFLUENCE OF THE PRESEASON TRAINING PHASE ON ENDOCRINE BIOMARKERS AND NEUROMUSCULAR PERFORMANCE IN COLLEGIATE BASKETBALL PLAYERS</w:t>
      </w:r>
    </w:p>
    <w:p w14:paraId="43FF529F" w14:textId="35116A0A" w:rsidR="0038167A" w:rsidRDefault="0038167A" w:rsidP="0038167A">
      <w:pPr>
        <w:spacing w:line="480" w:lineRule="auto"/>
        <w:jc w:val="center"/>
        <w:rPr>
          <w:rFonts w:ascii="Times New Roman" w:hAnsi="Times New Roman" w:cs="Times New Roman"/>
        </w:rPr>
      </w:pPr>
    </w:p>
    <w:p w14:paraId="781DD806" w14:textId="58641E70" w:rsidR="0038167A" w:rsidRDefault="0038167A" w:rsidP="0038167A">
      <w:pPr>
        <w:spacing w:line="480" w:lineRule="auto"/>
        <w:jc w:val="center"/>
        <w:rPr>
          <w:rFonts w:ascii="Times New Roman" w:hAnsi="Times New Roman" w:cs="Times New Roman"/>
        </w:rPr>
      </w:pPr>
    </w:p>
    <w:p w14:paraId="13F089BA" w14:textId="77777777" w:rsidR="0038167A" w:rsidRDefault="0038167A" w:rsidP="0038167A">
      <w:pPr>
        <w:spacing w:line="480" w:lineRule="auto"/>
        <w:jc w:val="center"/>
        <w:rPr>
          <w:rFonts w:ascii="Times New Roman" w:hAnsi="Times New Roman" w:cs="Times New Roman"/>
        </w:rPr>
      </w:pPr>
    </w:p>
    <w:p w14:paraId="7BEE2CE7" w14:textId="3C591ACB" w:rsidR="0038167A" w:rsidRDefault="0038167A" w:rsidP="0038167A">
      <w:pPr>
        <w:spacing w:line="480" w:lineRule="auto"/>
        <w:jc w:val="center"/>
        <w:rPr>
          <w:rFonts w:ascii="Times New Roman" w:hAnsi="Times New Roman" w:cs="Times New Roman"/>
        </w:rPr>
      </w:pPr>
      <w:r>
        <w:rPr>
          <w:rFonts w:ascii="Times New Roman" w:hAnsi="Times New Roman" w:cs="Times New Roman"/>
        </w:rPr>
        <w:t xml:space="preserve">A THESIS APPROVED FOR THE </w:t>
      </w:r>
    </w:p>
    <w:p w14:paraId="4165B63D" w14:textId="1031C4B0" w:rsidR="0038167A" w:rsidRDefault="0038167A" w:rsidP="0038167A">
      <w:pPr>
        <w:spacing w:line="480" w:lineRule="auto"/>
        <w:jc w:val="center"/>
        <w:rPr>
          <w:rFonts w:ascii="Times New Roman" w:hAnsi="Times New Roman" w:cs="Times New Roman"/>
        </w:rPr>
      </w:pPr>
      <w:r>
        <w:rPr>
          <w:rFonts w:ascii="Times New Roman" w:hAnsi="Times New Roman" w:cs="Times New Roman"/>
        </w:rPr>
        <w:t>DEPARTMENT OF HEALTH AND EXERCISE SCIENCE</w:t>
      </w:r>
    </w:p>
    <w:p w14:paraId="60534709" w14:textId="75D91FD3" w:rsidR="0038167A" w:rsidRDefault="0038167A" w:rsidP="0038167A">
      <w:pPr>
        <w:spacing w:line="480" w:lineRule="auto"/>
        <w:jc w:val="center"/>
        <w:rPr>
          <w:rFonts w:ascii="Times New Roman" w:hAnsi="Times New Roman" w:cs="Times New Roman"/>
        </w:rPr>
      </w:pPr>
    </w:p>
    <w:p w14:paraId="25A6CFA6" w14:textId="0B78DFA9" w:rsidR="0038167A" w:rsidRDefault="0038167A" w:rsidP="0038167A">
      <w:pPr>
        <w:spacing w:line="480" w:lineRule="auto"/>
        <w:jc w:val="center"/>
        <w:rPr>
          <w:rFonts w:ascii="Times New Roman" w:hAnsi="Times New Roman" w:cs="Times New Roman"/>
        </w:rPr>
      </w:pPr>
    </w:p>
    <w:p w14:paraId="37290D65" w14:textId="3CF39B9B" w:rsidR="0038167A" w:rsidRDefault="0038167A" w:rsidP="0038167A">
      <w:pPr>
        <w:spacing w:line="480" w:lineRule="auto"/>
        <w:jc w:val="center"/>
        <w:rPr>
          <w:rFonts w:ascii="Times New Roman" w:hAnsi="Times New Roman" w:cs="Times New Roman"/>
        </w:rPr>
      </w:pPr>
    </w:p>
    <w:p w14:paraId="76B5A119" w14:textId="30F2250F" w:rsidR="0038167A" w:rsidRDefault="0038167A" w:rsidP="0038167A">
      <w:pPr>
        <w:spacing w:line="480" w:lineRule="auto"/>
        <w:jc w:val="center"/>
        <w:rPr>
          <w:rFonts w:ascii="Times New Roman" w:hAnsi="Times New Roman" w:cs="Times New Roman"/>
        </w:rPr>
      </w:pPr>
    </w:p>
    <w:p w14:paraId="40AD0FE7" w14:textId="6040FF4E" w:rsidR="0038167A" w:rsidRDefault="0038167A" w:rsidP="0038167A">
      <w:pPr>
        <w:spacing w:line="480" w:lineRule="auto"/>
        <w:jc w:val="center"/>
        <w:rPr>
          <w:rFonts w:ascii="Times New Roman" w:hAnsi="Times New Roman" w:cs="Times New Roman"/>
        </w:rPr>
      </w:pPr>
      <w:r>
        <w:rPr>
          <w:rFonts w:ascii="Times New Roman" w:hAnsi="Times New Roman" w:cs="Times New Roman"/>
        </w:rPr>
        <w:t>BY THE COMMITTEE CONSISTING OF</w:t>
      </w:r>
    </w:p>
    <w:p w14:paraId="78866F2E" w14:textId="3493617B" w:rsidR="0038167A" w:rsidRDefault="0038167A" w:rsidP="0038167A">
      <w:pPr>
        <w:spacing w:line="480" w:lineRule="auto"/>
        <w:jc w:val="center"/>
        <w:rPr>
          <w:rFonts w:ascii="Times New Roman" w:hAnsi="Times New Roman" w:cs="Times New Roman"/>
        </w:rPr>
      </w:pPr>
    </w:p>
    <w:p w14:paraId="150F8BD2" w14:textId="78626D62" w:rsidR="0038167A" w:rsidRDefault="0038167A" w:rsidP="0038167A">
      <w:pPr>
        <w:spacing w:line="480" w:lineRule="auto"/>
        <w:jc w:val="center"/>
        <w:rPr>
          <w:rFonts w:ascii="Times New Roman" w:hAnsi="Times New Roman" w:cs="Times New Roman"/>
        </w:rPr>
      </w:pPr>
    </w:p>
    <w:p w14:paraId="46501AA5" w14:textId="77777777" w:rsidR="00E92D0A" w:rsidRDefault="00E92D0A" w:rsidP="0038167A">
      <w:pPr>
        <w:spacing w:line="480" w:lineRule="auto"/>
        <w:jc w:val="center"/>
        <w:rPr>
          <w:rFonts w:ascii="Times New Roman" w:hAnsi="Times New Roman" w:cs="Times New Roman"/>
        </w:rPr>
      </w:pPr>
    </w:p>
    <w:p w14:paraId="3FD502EB" w14:textId="69DDC836" w:rsidR="0038167A" w:rsidRDefault="0038167A" w:rsidP="0038167A">
      <w:pPr>
        <w:spacing w:line="480" w:lineRule="auto"/>
        <w:jc w:val="center"/>
        <w:rPr>
          <w:rFonts w:ascii="Times New Roman" w:hAnsi="Times New Roman" w:cs="Times New Roman"/>
        </w:rPr>
      </w:pPr>
    </w:p>
    <w:p w14:paraId="7C56AD75" w14:textId="6E096170" w:rsidR="0038167A" w:rsidRDefault="0038167A" w:rsidP="00E92D0A">
      <w:pPr>
        <w:spacing w:line="360" w:lineRule="auto"/>
        <w:jc w:val="right"/>
        <w:rPr>
          <w:rFonts w:ascii="Times New Roman" w:hAnsi="Times New Roman" w:cs="Times New Roman"/>
        </w:rPr>
      </w:pPr>
      <w:r>
        <w:rPr>
          <w:rFonts w:ascii="Times New Roman" w:hAnsi="Times New Roman" w:cs="Times New Roman"/>
        </w:rPr>
        <w:t xml:space="preserve">Dr. Michael </w:t>
      </w:r>
      <w:proofErr w:type="spellStart"/>
      <w:r>
        <w:rPr>
          <w:rFonts w:ascii="Times New Roman" w:hAnsi="Times New Roman" w:cs="Times New Roman"/>
        </w:rPr>
        <w:t>Bemben</w:t>
      </w:r>
      <w:proofErr w:type="spellEnd"/>
    </w:p>
    <w:p w14:paraId="78EC04D6" w14:textId="11828F63" w:rsidR="0038167A" w:rsidRDefault="0038167A" w:rsidP="00E92D0A">
      <w:pPr>
        <w:spacing w:line="360" w:lineRule="auto"/>
        <w:jc w:val="right"/>
        <w:rPr>
          <w:rFonts w:ascii="Times New Roman" w:hAnsi="Times New Roman" w:cs="Times New Roman"/>
        </w:rPr>
      </w:pPr>
    </w:p>
    <w:p w14:paraId="58C3965D" w14:textId="7D9CD6F3" w:rsidR="0038167A" w:rsidRDefault="0038167A" w:rsidP="00E92D0A">
      <w:pPr>
        <w:spacing w:line="360" w:lineRule="auto"/>
        <w:jc w:val="right"/>
        <w:rPr>
          <w:rFonts w:ascii="Times New Roman" w:hAnsi="Times New Roman" w:cs="Times New Roman"/>
        </w:rPr>
      </w:pPr>
      <w:r>
        <w:rPr>
          <w:rFonts w:ascii="Times New Roman" w:hAnsi="Times New Roman" w:cs="Times New Roman"/>
        </w:rPr>
        <w:t xml:space="preserve">Dr. Debra </w:t>
      </w:r>
      <w:proofErr w:type="spellStart"/>
      <w:r>
        <w:rPr>
          <w:rFonts w:ascii="Times New Roman" w:hAnsi="Times New Roman" w:cs="Times New Roman"/>
        </w:rPr>
        <w:t>Bemben</w:t>
      </w:r>
      <w:proofErr w:type="spellEnd"/>
    </w:p>
    <w:p w14:paraId="04EF2530" w14:textId="65724E1E" w:rsidR="0038167A" w:rsidRDefault="0038167A" w:rsidP="00E92D0A">
      <w:pPr>
        <w:spacing w:line="360" w:lineRule="auto"/>
        <w:jc w:val="right"/>
        <w:rPr>
          <w:rFonts w:ascii="Times New Roman" w:hAnsi="Times New Roman" w:cs="Times New Roman"/>
        </w:rPr>
      </w:pPr>
    </w:p>
    <w:p w14:paraId="6D2BD121" w14:textId="1EF83C1B" w:rsidR="0038167A" w:rsidRDefault="0038167A" w:rsidP="00E92D0A">
      <w:pPr>
        <w:spacing w:line="360" w:lineRule="auto"/>
        <w:jc w:val="right"/>
        <w:rPr>
          <w:rFonts w:ascii="Times New Roman" w:hAnsi="Times New Roman" w:cs="Times New Roman"/>
        </w:rPr>
      </w:pPr>
      <w:r>
        <w:rPr>
          <w:rFonts w:ascii="Times New Roman" w:hAnsi="Times New Roman" w:cs="Times New Roman"/>
        </w:rPr>
        <w:t>Dr. Daniel Larson</w:t>
      </w:r>
    </w:p>
    <w:p w14:paraId="3426958D" w14:textId="47440F79" w:rsidR="0038167A" w:rsidRDefault="0038167A" w:rsidP="00E92D0A">
      <w:pPr>
        <w:spacing w:line="360" w:lineRule="auto"/>
        <w:jc w:val="right"/>
        <w:rPr>
          <w:rFonts w:ascii="Times New Roman" w:hAnsi="Times New Roman" w:cs="Times New Roman"/>
        </w:rPr>
      </w:pPr>
    </w:p>
    <w:p w14:paraId="7F316CC6" w14:textId="769B081E" w:rsidR="0094124E" w:rsidRDefault="0038167A" w:rsidP="00E92D0A">
      <w:pPr>
        <w:spacing w:line="360" w:lineRule="auto"/>
        <w:jc w:val="right"/>
        <w:rPr>
          <w:rFonts w:ascii="Times New Roman" w:hAnsi="Times New Roman" w:cs="Times New Roman"/>
        </w:rPr>
      </w:pPr>
      <w:r>
        <w:rPr>
          <w:rFonts w:ascii="Times New Roman" w:hAnsi="Times New Roman" w:cs="Times New Roman"/>
        </w:rPr>
        <w:t xml:space="preserve">Dr. Aaron </w:t>
      </w:r>
      <w:proofErr w:type="spellStart"/>
      <w:r>
        <w:rPr>
          <w:rFonts w:ascii="Times New Roman" w:hAnsi="Times New Roman" w:cs="Times New Roman"/>
        </w:rPr>
        <w:t>Heishman</w:t>
      </w:r>
      <w:proofErr w:type="spellEnd"/>
    </w:p>
    <w:p w14:paraId="2E97DE5D" w14:textId="77777777" w:rsidR="00B35DA9" w:rsidRDefault="00B35DA9" w:rsidP="00CB532B">
      <w:pPr>
        <w:spacing w:line="480" w:lineRule="auto"/>
        <w:jc w:val="center"/>
        <w:rPr>
          <w:rFonts w:ascii="Times New Roman" w:hAnsi="Times New Roman" w:cs="Times New Roman"/>
        </w:rPr>
      </w:pPr>
    </w:p>
    <w:p w14:paraId="07E378DA" w14:textId="77777777" w:rsidR="00444E3C" w:rsidRDefault="00444E3C" w:rsidP="00B35DA9">
      <w:pPr>
        <w:spacing w:line="480" w:lineRule="auto"/>
        <w:jc w:val="center"/>
        <w:rPr>
          <w:rFonts w:ascii="Times New Roman" w:hAnsi="Times New Roman" w:cs="Times New Roman"/>
        </w:rPr>
        <w:sectPr w:rsidR="00444E3C" w:rsidSect="00CB532B">
          <w:footerReference w:type="even" r:id="rId8"/>
          <w:footerReference w:type="default" r:id="rId9"/>
          <w:footerReference w:type="first" r:id="rId10"/>
          <w:pgSz w:w="12240" w:h="15840"/>
          <w:pgMar w:top="1440" w:right="1440" w:bottom="1440" w:left="1440" w:header="720" w:footer="720" w:gutter="0"/>
          <w:pgNumType w:fmt="lowerRoman" w:start="1"/>
          <w:cols w:space="720"/>
          <w:titlePg/>
          <w:docGrid w:linePitch="360"/>
        </w:sectPr>
      </w:pPr>
    </w:p>
    <w:p w14:paraId="41359D30" w14:textId="37105040" w:rsidR="00B35DA9" w:rsidRDefault="00B35DA9" w:rsidP="00B35DA9">
      <w:pPr>
        <w:spacing w:line="480" w:lineRule="auto"/>
        <w:jc w:val="center"/>
        <w:rPr>
          <w:rFonts w:ascii="Times New Roman" w:hAnsi="Times New Roman" w:cs="Times New Roman"/>
        </w:rPr>
      </w:pPr>
    </w:p>
    <w:p w14:paraId="5758CA13" w14:textId="77777777" w:rsidR="00B35DA9" w:rsidRDefault="00B35DA9" w:rsidP="00B35DA9">
      <w:pPr>
        <w:spacing w:line="480" w:lineRule="auto"/>
        <w:jc w:val="center"/>
        <w:rPr>
          <w:rFonts w:ascii="Times New Roman" w:hAnsi="Times New Roman" w:cs="Times New Roman"/>
        </w:rPr>
      </w:pPr>
    </w:p>
    <w:p w14:paraId="1D4F611E" w14:textId="77777777" w:rsidR="00B35DA9" w:rsidRDefault="00B35DA9" w:rsidP="00B35DA9">
      <w:pPr>
        <w:spacing w:line="480" w:lineRule="auto"/>
        <w:jc w:val="center"/>
        <w:rPr>
          <w:rFonts w:ascii="Times New Roman" w:hAnsi="Times New Roman" w:cs="Times New Roman"/>
        </w:rPr>
      </w:pPr>
    </w:p>
    <w:p w14:paraId="7EC9F899" w14:textId="77777777" w:rsidR="00B35DA9" w:rsidRDefault="00B35DA9" w:rsidP="00B35DA9">
      <w:pPr>
        <w:spacing w:line="480" w:lineRule="auto"/>
        <w:jc w:val="center"/>
        <w:rPr>
          <w:rFonts w:ascii="Times New Roman" w:hAnsi="Times New Roman" w:cs="Times New Roman"/>
        </w:rPr>
      </w:pPr>
    </w:p>
    <w:p w14:paraId="7D092213" w14:textId="77777777" w:rsidR="00B35DA9" w:rsidRDefault="00B35DA9" w:rsidP="00B35DA9">
      <w:pPr>
        <w:spacing w:line="480" w:lineRule="auto"/>
        <w:jc w:val="center"/>
        <w:rPr>
          <w:rFonts w:ascii="Times New Roman" w:hAnsi="Times New Roman" w:cs="Times New Roman"/>
        </w:rPr>
      </w:pPr>
    </w:p>
    <w:p w14:paraId="14177012" w14:textId="77777777" w:rsidR="00B35DA9" w:rsidRDefault="00B35DA9" w:rsidP="00B35DA9">
      <w:pPr>
        <w:spacing w:line="480" w:lineRule="auto"/>
        <w:jc w:val="center"/>
        <w:rPr>
          <w:rFonts w:ascii="Times New Roman" w:hAnsi="Times New Roman" w:cs="Times New Roman"/>
        </w:rPr>
      </w:pPr>
    </w:p>
    <w:p w14:paraId="5E6FF726" w14:textId="77777777" w:rsidR="00B35DA9" w:rsidRDefault="00B35DA9" w:rsidP="00B35DA9">
      <w:pPr>
        <w:spacing w:line="480" w:lineRule="auto"/>
        <w:jc w:val="center"/>
        <w:rPr>
          <w:rFonts w:ascii="Times New Roman" w:hAnsi="Times New Roman" w:cs="Times New Roman"/>
        </w:rPr>
      </w:pPr>
    </w:p>
    <w:p w14:paraId="4A1B55DD" w14:textId="77777777" w:rsidR="00B35DA9" w:rsidRDefault="00B35DA9" w:rsidP="00B35DA9">
      <w:pPr>
        <w:spacing w:line="480" w:lineRule="auto"/>
        <w:jc w:val="center"/>
        <w:rPr>
          <w:rFonts w:ascii="Times New Roman" w:hAnsi="Times New Roman" w:cs="Times New Roman"/>
        </w:rPr>
      </w:pPr>
    </w:p>
    <w:p w14:paraId="15109AB5" w14:textId="77777777" w:rsidR="00B35DA9" w:rsidRDefault="00B35DA9" w:rsidP="00B35DA9">
      <w:pPr>
        <w:spacing w:line="480" w:lineRule="auto"/>
        <w:jc w:val="center"/>
        <w:rPr>
          <w:rFonts w:ascii="Times New Roman" w:hAnsi="Times New Roman" w:cs="Times New Roman"/>
        </w:rPr>
      </w:pPr>
    </w:p>
    <w:p w14:paraId="136F1C0C" w14:textId="77777777" w:rsidR="00B35DA9" w:rsidRDefault="00B35DA9" w:rsidP="00B35DA9">
      <w:pPr>
        <w:spacing w:line="480" w:lineRule="auto"/>
        <w:jc w:val="center"/>
        <w:rPr>
          <w:rFonts w:ascii="Times New Roman" w:hAnsi="Times New Roman" w:cs="Times New Roman"/>
        </w:rPr>
      </w:pPr>
    </w:p>
    <w:p w14:paraId="47A67AB6" w14:textId="77777777" w:rsidR="00B35DA9" w:rsidRDefault="00B35DA9" w:rsidP="00B35DA9">
      <w:pPr>
        <w:spacing w:line="480" w:lineRule="auto"/>
        <w:jc w:val="center"/>
        <w:rPr>
          <w:rFonts w:ascii="Times New Roman" w:hAnsi="Times New Roman" w:cs="Times New Roman"/>
        </w:rPr>
      </w:pPr>
    </w:p>
    <w:p w14:paraId="1D34F508" w14:textId="77777777" w:rsidR="00B35DA9" w:rsidRDefault="00B35DA9" w:rsidP="00B35DA9">
      <w:pPr>
        <w:spacing w:line="480" w:lineRule="auto"/>
        <w:jc w:val="center"/>
        <w:rPr>
          <w:rFonts w:ascii="Times New Roman" w:hAnsi="Times New Roman" w:cs="Times New Roman"/>
        </w:rPr>
      </w:pPr>
    </w:p>
    <w:p w14:paraId="54596E66" w14:textId="77777777" w:rsidR="00B35DA9" w:rsidRDefault="00B35DA9" w:rsidP="00B35DA9">
      <w:pPr>
        <w:spacing w:line="480" w:lineRule="auto"/>
        <w:jc w:val="center"/>
        <w:rPr>
          <w:rFonts w:ascii="Times New Roman" w:hAnsi="Times New Roman" w:cs="Times New Roman"/>
        </w:rPr>
      </w:pPr>
    </w:p>
    <w:p w14:paraId="74E0AF5A" w14:textId="77777777" w:rsidR="00B35DA9" w:rsidRDefault="00B35DA9" w:rsidP="00B35DA9">
      <w:pPr>
        <w:spacing w:line="480" w:lineRule="auto"/>
        <w:jc w:val="center"/>
        <w:rPr>
          <w:rFonts w:ascii="Times New Roman" w:hAnsi="Times New Roman" w:cs="Times New Roman"/>
        </w:rPr>
      </w:pPr>
    </w:p>
    <w:p w14:paraId="15888246" w14:textId="77777777" w:rsidR="00B35DA9" w:rsidRDefault="00B35DA9" w:rsidP="00B35DA9">
      <w:pPr>
        <w:spacing w:line="480" w:lineRule="auto"/>
        <w:jc w:val="center"/>
        <w:rPr>
          <w:rFonts w:ascii="Times New Roman" w:hAnsi="Times New Roman" w:cs="Times New Roman"/>
        </w:rPr>
      </w:pPr>
    </w:p>
    <w:p w14:paraId="10E44377" w14:textId="77777777" w:rsidR="00B35DA9" w:rsidRDefault="00B35DA9" w:rsidP="00B35DA9">
      <w:pPr>
        <w:spacing w:line="480" w:lineRule="auto"/>
        <w:jc w:val="center"/>
        <w:rPr>
          <w:rFonts w:ascii="Times New Roman" w:hAnsi="Times New Roman" w:cs="Times New Roman"/>
        </w:rPr>
      </w:pPr>
    </w:p>
    <w:p w14:paraId="4646B016" w14:textId="77777777" w:rsidR="00B35DA9" w:rsidRDefault="00B35DA9" w:rsidP="00B35DA9">
      <w:pPr>
        <w:spacing w:line="480" w:lineRule="auto"/>
        <w:jc w:val="center"/>
        <w:rPr>
          <w:rFonts w:ascii="Times New Roman" w:hAnsi="Times New Roman" w:cs="Times New Roman"/>
        </w:rPr>
      </w:pPr>
    </w:p>
    <w:p w14:paraId="1DA3B87C" w14:textId="77777777" w:rsidR="00A835B8" w:rsidRDefault="00A835B8" w:rsidP="00CB532B">
      <w:pPr>
        <w:spacing w:line="480" w:lineRule="auto"/>
        <w:jc w:val="center"/>
        <w:rPr>
          <w:rFonts w:ascii="Times New Roman" w:hAnsi="Times New Roman" w:cs="Times New Roman"/>
        </w:rPr>
      </w:pPr>
    </w:p>
    <w:p w14:paraId="41DE4DF8" w14:textId="2E338FC1" w:rsidR="00B35DA9" w:rsidRDefault="00B35DA9" w:rsidP="00B35DA9">
      <w:pPr>
        <w:spacing w:line="480" w:lineRule="auto"/>
        <w:jc w:val="center"/>
        <w:rPr>
          <w:rFonts w:ascii="Times New Roman" w:hAnsi="Times New Roman" w:cs="Times New Roman"/>
        </w:rPr>
      </w:pPr>
    </w:p>
    <w:p w14:paraId="4B13D398" w14:textId="77777777" w:rsidR="00444E3C" w:rsidRDefault="00444E3C" w:rsidP="00B35DA9">
      <w:pPr>
        <w:spacing w:line="480" w:lineRule="auto"/>
        <w:jc w:val="center"/>
        <w:rPr>
          <w:rFonts w:ascii="Times New Roman" w:hAnsi="Times New Roman" w:cs="Times New Roman"/>
        </w:rPr>
      </w:pPr>
    </w:p>
    <w:p w14:paraId="311A5B0B" w14:textId="77777777" w:rsidR="00B35DA9" w:rsidRDefault="00B35DA9" w:rsidP="00B35DA9">
      <w:pPr>
        <w:spacing w:line="480" w:lineRule="auto"/>
        <w:jc w:val="center"/>
        <w:rPr>
          <w:rFonts w:ascii="Times New Roman" w:hAnsi="Times New Roman" w:cs="Times New Roman"/>
        </w:rPr>
      </w:pPr>
    </w:p>
    <w:p w14:paraId="7AC48099" w14:textId="77777777" w:rsidR="00B35DA9" w:rsidRDefault="00B35DA9" w:rsidP="00B35DA9">
      <w:pPr>
        <w:spacing w:line="480" w:lineRule="auto"/>
        <w:jc w:val="center"/>
        <w:rPr>
          <w:rFonts w:ascii="Times New Roman" w:hAnsi="Times New Roman" w:cs="Times New Roman"/>
        </w:rPr>
      </w:pPr>
    </w:p>
    <w:p w14:paraId="7123FC40" w14:textId="79AB5E07" w:rsidR="00B35DA9" w:rsidRDefault="00B35DA9" w:rsidP="00B35DA9">
      <w:pPr>
        <w:jc w:val="center"/>
        <w:rPr>
          <w:rFonts w:ascii="Times New Roman" w:hAnsi="Times New Roman" w:cs="Times New Roman"/>
        </w:rPr>
      </w:pPr>
      <w:r>
        <w:rPr>
          <w:rFonts w:ascii="Times New Roman" w:hAnsi="Times New Roman" w:cs="Times New Roman"/>
        </w:rPr>
        <w:t>© Copyright by KELDON MICHAEL PEAK 2022</w:t>
      </w:r>
    </w:p>
    <w:p w14:paraId="7D40E5D3" w14:textId="33A86FA8" w:rsidR="009B3EA7" w:rsidRDefault="00444E3C" w:rsidP="00444E3C">
      <w:pPr>
        <w:jc w:val="center"/>
        <w:rPr>
          <w:rFonts w:ascii="Times New Roman" w:hAnsi="Times New Roman" w:cs="Times New Roman"/>
        </w:rPr>
        <w:sectPr w:rsidR="009B3EA7" w:rsidSect="001F262D">
          <w:pgSz w:w="12240" w:h="15840"/>
          <w:pgMar w:top="1440" w:right="1440" w:bottom="1440" w:left="1440" w:header="720" w:footer="720" w:gutter="0"/>
          <w:pgNumType w:fmt="lowerRoman" w:start="1"/>
          <w:cols w:space="720"/>
          <w:titlePg/>
          <w:docGrid w:linePitch="360"/>
        </w:sectPr>
      </w:pPr>
      <w:r>
        <w:rPr>
          <w:rFonts w:ascii="Times New Roman" w:hAnsi="Times New Roman" w:cs="Times New Roman"/>
        </w:rPr>
        <w:t>All Rights Reserve</w:t>
      </w:r>
      <w:r w:rsidR="009B3EA7">
        <w:rPr>
          <w:rFonts w:ascii="Times New Roman" w:hAnsi="Times New Roman" w:cs="Times New Roman"/>
        </w:rPr>
        <w:t>d</w:t>
      </w:r>
    </w:p>
    <w:p w14:paraId="6B3E6B48" w14:textId="72B7E13F" w:rsidR="004300A9" w:rsidRPr="00444E3C" w:rsidRDefault="004300A9" w:rsidP="00D860EB">
      <w:pPr>
        <w:pStyle w:val="Heading1"/>
        <w:spacing w:line="480" w:lineRule="auto"/>
        <w:jc w:val="center"/>
        <w:rPr>
          <w:rFonts w:ascii="Times New Roman" w:hAnsi="Times New Roman" w:cs="Times New Roman"/>
          <w:color w:val="000000" w:themeColor="text1"/>
          <w:sz w:val="22"/>
          <w:szCs w:val="22"/>
        </w:rPr>
      </w:pPr>
      <w:bookmarkStart w:id="0" w:name="_Toc99267591"/>
      <w:r w:rsidRPr="00444E3C">
        <w:rPr>
          <w:rFonts w:ascii="Times New Roman" w:hAnsi="Times New Roman" w:cs="Times New Roman"/>
          <w:color w:val="000000" w:themeColor="text1"/>
          <w:sz w:val="28"/>
          <w:szCs w:val="28"/>
        </w:rPr>
        <w:lastRenderedPageBreak/>
        <w:t>Acknowledgements</w:t>
      </w:r>
      <w:bookmarkEnd w:id="0"/>
    </w:p>
    <w:p w14:paraId="2EC46C04" w14:textId="0A96D7AF" w:rsidR="00C0747F" w:rsidRDefault="004300A9" w:rsidP="002101E0">
      <w:pPr>
        <w:spacing w:line="480" w:lineRule="auto"/>
        <w:jc w:val="both"/>
        <w:rPr>
          <w:rFonts w:ascii="Times New Roman" w:hAnsi="Times New Roman" w:cs="Times New Roman"/>
        </w:rPr>
      </w:pPr>
      <w:r>
        <w:rPr>
          <w:rFonts w:ascii="Times New Roman" w:hAnsi="Times New Roman" w:cs="Times New Roman"/>
          <w:b/>
          <w:bCs/>
        </w:rPr>
        <w:tab/>
      </w:r>
      <w:r w:rsidR="00D860EB">
        <w:rPr>
          <w:rFonts w:ascii="Times New Roman" w:hAnsi="Times New Roman" w:cs="Times New Roman"/>
        </w:rPr>
        <w:t xml:space="preserve">I am so blessed to have been </w:t>
      </w:r>
      <w:r w:rsidR="00AF1BA0">
        <w:rPr>
          <w:rFonts w:ascii="Times New Roman" w:hAnsi="Times New Roman" w:cs="Times New Roman"/>
        </w:rPr>
        <w:t xml:space="preserve">able to collaborate or be supported by those who surrounded this process. First, I would like to thank my academic mentor and committee chair, Dr. Michael </w:t>
      </w:r>
      <w:proofErr w:type="spellStart"/>
      <w:r w:rsidR="00AF1BA0">
        <w:rPr>
          <w:rFonts w:ascii="Times New Roman" w:hAnsi="Times New Roman" w:cs="Times New Roman"/>
        </w:rPr>
        <w:t>Bemben</w:t>
      </w:r>
      <w:proofErr w:type="spellEnd"/>
      <w:r w:rsidR="00AF1BA0">
        <w:rPr>
          <w:rFonts w:ascii="Times New Roman" w:hAnsi="Times New Roman" w:cs="Times New Roman"/>
        </w:rPr>
        <w:t xml:space="preserve">, whose pushed me to </w:t>
      </w:r>
      <w:r w:rsidR="007A26F0">
        <w:rPr>
          <w:rFonts w:ascii="Times New Roman" w:hAnsi="Times New Roman" w:cs="Times New Roman"/>
        </w:rPr>
        <w:t xml:space="preserve">always want to do more and his mentorship has been vital during this time. </w:t>
      </w:r>
      <w:r w:rsidR="00285BE6">
        <w:rPr>
          <w:rFonts w:ascii="Times New Roman" w:hAnsi="Times New Roman" w:cs="Times New Roman"/>
        </w:rPr>
        <w:t xml:space="preserve">Also, the autonomy you allowed in this pursuit and the impact our student athletes will benefit from is very appreciated. </w:t>
      </w:r>
      <w:r w:rsidR="000B34E0">
        <w:rPr>
          <w:rFonts w:ascii="Times New Roman" w:hAnsi="Times New Roman" w:cs="Times New Roman"/>
        </w:rPr>
        <w:t xml:space="preserve">This opportunity not only developed me as a scientist and researcher, but also as an applied performance practitioner. </w:t>
      </w:r>
    </w:p>
    <w:p w14:paraId="57DD1982" w14:textId="12D37377" w:rsidR="000B34E0" w:rsidRDefault="000B34E0" w:rsidP="002101E0">
      <w:pPr>
        <w:spacing w:line="480" w:lineRule="auto"/>
        <w:jc w:val="both"/>
        <w:rPr>
          <w:rFonts w:ascii="Times New Roman" w:hAnsi="Times New Roman" w:cs="Times New Roman"/>
        </w:rPr>
      </w:pPr>
      <w:r>
        <w:rPr>
          <w:rFonts w:ascii="Times New Roman" w:hAnsi="Times New Roman" w:cs="Times New Roman"/>
        </w:rPr>
        <w:tab/>
      </w:r>
      <w:r w:rsidR="007646A3">
        <w:rPr>
          <w:rFonts w:ascii="Times New Roman" w:hAnsi="Times New Roman" w:cs="Times New Roman"/>
        </w:rPr>
        <w:t xml:space="preserve">Thank you to the rest of my committee, Dr. Debra </w:t>
      </w:r>
      <w:proofErr w:type="spellStart"/>
      <w:r w:rsidR="007646A3">
        <w:rPr>
          <w:rFonts w:ascii="Times New Roman" w:hAnsi="Times New Roman" w:cs="Times New Roman"/>
        </w:rPr>
        <w:t>Bemben</w:t>
      </w:r>
      <w:proofErr w:type="spellEnd"/>
      <w:r w:rsidR="007646A3">
        <w:rPr>
          <w:rFonts w:ascii="Times New Roman" w:hAnsi="Times New Roman" w:cs="Times New Roman"/>
        </w:rPr>
        <w:t xml:space="preserve">, Dr. Daniel Larson, and Dr. Aaron </w:t>
      </w:r>
      <w:proofErr w:type="spellStart"/>
      <w:r w:rsidR="007646A3">
        <w:rPr>
          <w:rFonts w:ascii="Times New Roman" w:hAnsi="Times New Roman" w:cs="Times New Roman"/>
        </w:rPr>
        <w:t>Heishman</w:t>
      </w:r>
      <w:proofErr w:type="spellEnd"/>
      <w:r w:rsidR="007646A3">
        <w:rPr>
          <w:rFonts w:ascii="Times New Roman" w:hAnsi="Times New Roman" w:cs="Times New Roman"/>
        </w:rPr>
        <w:t xml:space="preserve"> for the support and guidance you have provided throughout this process. The unique insights throughout the project, as well as the knowledge </w:t>
      </w:r>
      <w:r w:rsidR="00FD2ECC">
        <w:rPr>
          <w:rFonts w:ascii="Times New Roman" w:hAnsi="Times New Roman" w:cs="Times New Roman"/>
        </w:rPr>
        <w:t xml:space="preserve">in the classroom </w:t>
      </w:r>
      <w:r w:rsidR="007646A3">
        <w:rPr>
          <w:rFonts w:ascii="Times New Roman" w:hAnsi="Times New Roman" w:cs="Times New Roman"/>
        </w:rPr>
        <w:t xml:space="preserve">and wisdom </w:t>
      </w:r>
      <w:r w:rsidR="00FD2ECC">
        <w:rPr>
          <w:rFonts w:ascii="Times New Roman" w:hAnsi="Times New Roman" w:cs="Times New Roman"/>
        </w:rPr>
        <w:t>through</w:t>
      </w:r>
      <w:r w:rsidR="007646A3">
        <w:rPr>
          <w:rFonts w:ascii="Times New Roman" w:hAnsi="Times New Roman" w:cs="Times New Roman"/>
        </w:rPr>
        <w:t xml:space="preserve"> </w:t>
      </w:r>
      <w:r w:rsidR="00FD2ECC">
        <w:rPr>
          <w:rFonts w:ascii="Times New Roman" w:hAnsi="Times New Roman" w:cs="Times New Roman"/>
        </w:rPr>
        <w:t>experiences to develop myself and the completion of this project has had such a large impact.</w:t>
      </w:r>
      <w:r w:rsidR="008365C4">
        <w:rPr>
          <w:rFonts w:ascii="Times New Roman" w:hAnsi="Times New Roman" w:cs="Times New Roman"/>
        </w:rPr>
        <w:t xml:space="preserve"> </w:t>
      </w:r>
    </w:p>
    <w:p w14:paraId="132D9BD4" w14:textId="089061C9" w:rsidR="003D5AD3" w:rsidRDefault="003D5AD3" w:rsidP="002101E0">
      <w:pPr>
        <w:spacing w:line="480" w:lineRule="auto"/>
        <w:jc w:val="both"/>
        <w:rPr>
          <w:rFonts w:ascii="Times New Roman" w:hAnsi="Times New Roman" w:cs="Times New Roman"/>
        </w:rPr>
      </w:pPr>
      <w:r>
        <w:rPr>
          <w:rFonts w:ascii="Times New Roman" w:hAnsi="Times New Roman" w:cs="Times New Roman"/>
        </w:rPr>
        <w:tab/>
      </w:r>
      <w:r w:rsidR="008365C4">
        <w:rPr>
          <w:rFonts w:ascii="Times New Roman" w:hAnsi="Times New Roman" w:cs="Times New Roman"/>
        </w:rPr>
        <w:t xml:space="preserve">I have also been very fortunate to have Dr. Aaron </w:t>
      </w:r>
      <w:proofErr w:type="spellStart"/>
      <w:r w:rsidR="008365C4">
        <w:rPr>
          <w:rFonts w:ascii="Times New Roman" w:hAnsi="Times New Roman" w:cs="Times New Roman"/>
        </w:rPr>
        <w:t>Heishman</w:t>
      </w:r>
      <w:proofErr w:type="spellEnd"/>
      <w:r w:rsidR="008365C4">
        <w:rPr>
          <w:rFonts w:ascii="Times New Roman" w:hAnsi="Times New Roman" w:cs="Times New Roman"/>
        </w:rPr>
        <w:t xml:space="preserve"> as a very close mentor through this academic process as well as the applied setting. You have displayed an unbelievable</w:t>
      </w:r>
    </w:p>
    <w:p w14:paraId="3986B585" w14:textId="60F30F51" w:rsidR="00C0747F" w:rsidRDefault="008365C4" w:rsidP="002101E0">
      <w:pPr>
        <w:spacing w:line="480" w:lineRule="auto"/>
        <w:jc w:val="both"/>
        <w:rPr>
          <w:rFonts w:ascii="Times New Roman" w:hAnsi="Times New Roman" w:cs="Times New Roman"/>
        </w:rPr>
      </w:pPr>
      <w:r>
        <w:rPr>
          <w:rFonts w:ascii="Times New Roman" w:hAnsi="Times New Roman" w:cs="Times New Roman"/>
        </w:rPr>
        <w:t xml:space="preserve">competitiveness and drive to always do more. </w:t>
      </w:r>
      <w:r w:rsidR="006E0BB5">
        <w:rPr>
          <w:rFonts w:ascii="Times New Roman" w:hAnsi="Times New Roman" w:cs="Times New Roman"/>
        </w:rPr>
        <w:t>I am very grateful for the relationship we have built over the past few years and am looking forward to continue learning from you.</w:t>
      </w:r>
    </w:p>
    <w:p w14:paraId="679F7356" w14:textId="07A2B0AD" w:rsidR="006E0BB5" w:rsidRDefault="006E0BB5" w:rsidP="002101E0">
      <w:pPr>
        <w:spacing w:line="480" w:lineRule="auto"/>
        <w:jc w:val="both"/>
        <w:rPr>
          <w:rFonts w:ascii="Times New Roman" w:hAnsi="Times New Roman" w:cs="Times New Roman"/>
        </w:rPr>
      </w:pPr>
      <w:r>
        <w:rPr>
          <w:rFonts w:ascii="Times New Roman" w:hAnsi="Times New Roman" w:cs="Times New Roman"/>
        </w:rPr>
        <w:tab/>
        <w:t>Another great mentor has been Coach Bryce Daub in the applied setting, academics, and life advice. You have g</w:t>
      </w:r>
      <w:r w:rsidR="00A805AA">
        <w:rPr>
          <w:rFonts w:ascii="Times New Roman" w:hAnsi="Times New Roman" w:cs="Times New Roman"/>
        </w:rPr>
        <w:t xml:space="preserve">uided and supported me in many different ways and provided countless opportunities for me to grow. I have been lucky to be exposed to </w:t>
      </w:r>
      <w:r w:rsidR="0074161A">
        <w:rPr>
          <w:rFonts w:ascii="Times New Roman" w:hAnsi="Times New Roman" w:cs="Times New Roman"/>
        </w:rPr>
        <w:t xml:space="preserve">an elite level of training and gain valuable experience. I am forever grateful for the willingness and commitment </w:t>
      </w:r>
      <w:r w:rsidR="00A7319C">
        <w:rPr>
          <w:rFonts w:ascii="Times New Roman" w:hAnsi="Times New Roman" w:cs="Times New Roman"/>
        </w:rPr>
        <w:t xml:space="preserve">you have demonstrated </w:t>
      </w:r>
      <w:r w:rsidR="0074161A">
        <w:rPr>
          <w:rFonts w:ascii="Times New Roman" w:hAnsi="Times New Roman" w:cs="Times New Roman"/>
        </w:rPr>
        <w:t xml:space="preserve">to developing myself as a young professional. </w:t>
      </w:r>
    </w:p>
    <w:p w14:paraId="0760883C" w14:textId="01D130B6" w:rsidR="005C493A" w:rsidRDefault="005C493A" w:rsidP="002101E0">
      <w:pPr>
        <w:spacing w:line="480" w:lineRule="auto"/>
        <w:jc w:val="both"/>
        <w:rPr>
          <w:rFonts w:ascii="Times New Roman" w:hAnsi="Times New Roman" w:cs="Times New Roman"/>
        </w:rPr>
      </w:pPr>
      <w:r>
        <w:rPr>
          <w:rFonts w:ascii="Times New Roman" w:hAnsi="Times New Roman" w:cs="Times New Roman"/>
        </w:rPr>
        <w:tab/>
        <w:t xml:space="preserve">To my parents, Candi and Donnie Peak, and brothers, Byron and Quinton Peak, I am so thankful for your support and encouragement during this process. The values all of you have </w:t>
      </w:r>
      <w:r>
        <w:rPr>
          <w:rFonts w:ascii="Times New Roman" w:hAnsi="Times New Roman" w:cs="Times New Roman"/>
        </w:rPr>
        <w:lastRenderedPageBreak/>
        <w:t xml:space="preserve">instilled in me throughout my childhood and as a young adult have prepared me to achieve anything in life. </w:t>
      </w:r>
      <w:r w:rsidR="002416F0">
        <w:rPr>
          <w:rFonts w:ascii="Times New Roman" w:hAnsi="Times New Roman" w:cs="Times New Roman"/>
        </w:rPr>
        <w:t xml:space="preserve">The discipline, determination, and competitiveness all of you have exhibited have always been able to provide me with any opportunity and has shown me to always put forth everything you have. I would never have been able to complete this without all of your sacrifices and lessons through life. Again, I am so thankful to have you all in my life. </w:t>
      </w:r>
    </w:p>
    <w:p w14:paraId="51465C68" w14:textId="657EA2EC" w:rsidR="002416F0" w:rsidRDefault="002416F0" w:rsidP="002101E0">
      <w:pPr>
        <w:spacing w:line="480" w:lineRule="auto"/>
        <w:jc w:val="both"/>
        <w:rPr>
          <w:rFonts w:ascii="Times New Roman" w:hAnsi="Times New Roman" w:cs="Times New Roman"/>
        </w:rPr>
      </w:pPr>
      <w:r>
        <w:rPr>
          <w:rFonts w:ascii="Times New Roman" w:hAnsi="Times New Roman" w:cs="Times New Roman"/>
        </w:rPr>
        <w:tab/>
      </w:r>
      <w:r w:rsidR="003B084E">
        <w:rPr>
          <w:rFonts w:ascii="Times New Roman" w:hAnsi="Times New Roman" w:cs="Times New Roman"/>
        </w:rPr>
        <w:t xml:space="preserve">Finally, </w:t>
      </w:r>
      <w:r w:rsidR="00E42B96">
        <w:rPr>
          <w:rFonts w:ascii="Times New Roman" w:hAnsi="Times New Roman" w:cs="Times New Roman"/>
        </w:rPr>
        <w:t xml:space="preserve">to </w:t>
      </w:r>
      <w:r w:rsidR="007636D0">
        <w:rPr>
          <w:rFonts w:ascii="Times New Roman" w:hAnsi="Times New Roman" w:cs="Times New Roman"/>
        </w:rPr>
        <w:t xml:space="preserve">Raelyn for being </w:t>
      </w:r>
      <w:r w:rsidR="00E42B96">
        <w:rPr>
          <w:rFonts w:ascii="Times New Roman" w:hAnsi="Times New Roman" w:cs="Times New Roman"/>
        </w:rPr>
        <w:t xml:space="preserve">the most </w:t>
      </w:r>
      <w:r w:rsidR="007636D0">
        <w:rPr>
          <w:rFonts w:ascii="Times New Roman" w:hAnsi="Times New Roman" w:cs="Times New Roman"/>
        </w:rPr>
        <w:t xml:space="preserve">supportive, </w:t>
      </w:r>
      <w:r w:rsidR="00E42B96">
        <w:rPr>
          <w:rFonts w:ascii="Times New Roman" w:hAnsi="Times New Roman" w:cs="Times New Roman"/>
        </w:rPr>
        <w:t xml:space="preserve">patient, </w:t>
      </w:r>
      <w:r w:rsidR="007636D0">
        <w:rPr>
          <w:rFonts w:ascii="Times New Roman" w:hAnsi="Times New Roman" w:cs="Times New Roman"/>
        </w:rPr>
        <w:t xml:space="preserve">and </w:t>
      </w:r>
      <w:r w:rsidR="00E42B96">
        <w:rPr>
          <w:rFonts w:ascii="Times New Roman" w:hAnsi="Times New Roman" w:cs="Times New Roman"/>
        </w:rPr>
        <w:t>loving</w:t>
      </w:r>
      <w:r w:rsidR="007636D0">
        <w:rPr>
          <w:rFonts w:ascii="Times New Roman" w:hAnsi="Times New Roman" w:cs="Times New Roman"/>
        </w:rPr>
        <w:t xml:space="preserve"> through this entire process. I am so blessed to have you in my life and caring for me with all the sacrifices you have made and still are making. </w:t>
      </w:r>
      <w:r w:rsidR="00E773D4">
        <w:rPr>
          <w:rFonts w:ascii="Times New Roman" w:hAnsi="Times New Roman" w:cs="Times New Roman"/>
        </w:rPr>
        <w:t>Your ability to constantly show up for me and even hold me to a higher standard is truly remarkable. You always are pushing me and wanting the absolute best for me. I am truly lucky to have you and words cannot describe what you mean to me and I am just so thankful for you and I couldn’t have done any of this without you.</w:t>
      </w:r>
    </w:p>
    <w:p w14:paraId="73FCE962" w14:textId="48925853" w:rsidR="00C0747F" w:rsidRDefault="00FC6F37">
      <w:pPr>
        <w:rPr>
          <w:rFonts w:ascii="Times New Roman" w:hAnsi="Times New Roman" w:cs="Times New Roman"/>
        </w:rPr>
      </w:pPr>
      <w:r>
        <w:rPr>
          <w:rFonts w:ascii="Times New Roman" w:hAnsi="Times New Roman" w:cs="Times New Roman"/>
        </w:rPr>
        <w:br w:type="page"/>
      </w:r>
    </w:p>
    <w:sdt>
      <w:sdtPr>
        <w:rPr>
          <w:rFonts w:ascii="Times New Roman" w:eastAsiaTheme="minorHAnsi" w:hAnsi="Times New Roman" w:cs="Times New Roman"/>
          <w:b w:val="0"/>
          <w:bCs w:val="0"/>
          <w:color w:val="auto"/>
          <w:sz w:val="24"/>
          <w:szCs w:val="24"/>
        </w:rPr>
        <w:id w:val="-407995795"/>
        <w:docPartObj>
          <w:docPartGallery w:val="Table of Contents"/>
          <w:docPartUnique/>
        </w:docPartObj>
      </w:sdtPr>
      <w:sdtEndPr>
        <w:rPr>
          <w:noProof/>
        </w:rPr>
      </w:sdtEndPr>
      <w:sdtContent>
        <w:p w14:paraId="5D7B03B0" w14:textId="27172670" w:rsidR="009B5E29" w:rsidRPr="002B2BC5" w:rsidRDefault="009B5E29" w:rsidP="002B2BC5">
          <w:pPr>
            <w:pStyle w:val="TOCHeading"/>
            <w:spacing w:line="480" w:lineRule="auto"/>
            <w:jc w:val="center"/>
            <w:rPr>
              <w:rFonts w:ascii="Times New Roman" w:hAnsi="Times New Roman" w:cs="Times New Roman"/>
              <w:color w:val="000000" w:themeColor="text1"/>
              <w:sz w:val="24"/>
              <w:szCs w:val="24"/>
            </w:rPr>
          </w:pPr>
          <w:r w:rsidRPr="002B2BC5">
            <w:rPr>
              <w:rFonts w:ascii="Times New Roman" w:hAnsi="Times New Roman" w:cs="Times New Roman"/>
              <w:color w:val="000000" w:themeColor="text1"/>
              <w:sz w:val="24"/>
              <w:szCs w:val="24"/>
            </w:rPr>
            <w:t>Table of Contents</w:t>
          </w:r>
        </w:p>
        <w:p w14:paraId="27E3D081" w14:textId="00EDF32A" w:rsidR="003B4A71" w:rsidRDefault="00CE2317">
          <w:pPr>
            <w:pStyle w:val="TOC1"/>
            <w:rPr>
              <w:rFonts w:asciiTheme="minorHAnsi" w:eastAsiaTheme="minorEastAsia" w:hAnsiTheme="minorHAnsi" w:cstheme="minorBidi"/>
              <w:b w:val="0"/>
              <w:bCs w:val="0"/>
              <w:iCs w:val="0"/>
              <w:lang w:bidi="ar-SA"/>
            </w:rPr>
          </w:pPr>
          <w:r>
            <w:rPr>
              <w:i/>
            </w:rPr>
            <w:fldChar w:fldCharType="begin"/>
          </w:r>
          <w:r>
            <w:rPr>
              <w:i/>
            </w:rPr>
            <w:instrText xml:space="preserve"> TOC \o "1-3" \h \z \u </w:instrText>
          </w:r>
          <w:r>
            <w:rPr>
              <w:i/>
            </w:rPr>
            <w:fldChar w:fldCharType="separate"/>
          </w:r>
          <w:hyperlink w:anchor="_Toc99267591" w:history="1">
            <w:r w:rsidR="003B4A71" w:rsidRPr="006D5901">
              <w:rPr>
                <w:rStyle w:val="Hyperlink"/>
              </w:rPr>
              <w:t>Acknowledgements</w:t>
            </w:r>
            <w:r w:rsidR="003B4A71">
              <w:rPr>
                <w:webHidden/>
              </w:rPr>
              <w:tab/>
            </w:r>
            <w:r w:rsidR="003B4A71">
              <w:rPr>
                <w:webHidden/>
              </w:rPr>
              <w:fldChar w:fldCharType="begin"/>
            </w:r>
            <w:r w:rsidR="003B4A71">
              <w:rPr>
                <w:webHidden/>
              </w:rPr>
              <w:instrText xml:space="preserve"> PAGEREF _Toc99267591 \h </w:instrText>
            </w:r>
            <w:r w:rsidR="003B4A71">
              <w:rPr>
                <w:webHidden/>
              </w:rPr>
            </w:r>
            <w:r w:rsidR="003B4A71">
              <w:rPr>
                <w:webHidden/>
              </w:rPr>
              <w:fldChar w:fldCharType="separate"/>
            </w:r>
            <w:r w:rsidR="002101E0">
              <w:rPr>
                <w:webHidden/>
              </w:rPr>
              <w:t>iv</w:t>
            </w:r>
            <w:r w:rsidR="003B4A71">
              <w:rPr>
                <w:webHidden/>
              </w:rPr>
              <w:fldChar w:fldCharType="end"/>
            </w:r>
          </w:hyperlink>
        </w:p>
        <w:p w14:paraId="69C2B8DB" w14:textId="769F333C" w:rsidR="003B4A71" w:rsidRDefault="00A84B98">
          <w:pPr>
            <w:pStyle w:val="TOC1"/>
            <w:rPr>
              <w:rFonts w:asciiTheme="minorHAnsi" w:eastAsiaTheme="minorEastAsia" w:hAnsiTheme="minorHAnsi" w:cstheme="minorBidi"/>
              <w:b w:val="0"/>
              <w:bCs w:val="0"/>
              <w:iCs w:val="0"/>
              <w:lang w:bidi="ar-SA"/>
            </w:rPr>
          </w:pPr>
          <w:hyperlink w:anchor="_Toc99267592" w:history="1">
            <w:r w:rsidR="003B4A71" w:rsidRPr="006D5901">
              <w:rPr>
                <w:rStyle w:val="Hyperlink"/>
              </w:rPr>
              <w:t>List of Tables</w:t>
            </w:r>
            <w:r w:rsidR="003B4A71">
              <w:rPr>
                <w:webHidden/>
              </w:rPr>
              <w:tab/>
            </w:r>
            <w:r w:rsidR="003B4A71">
              <w:rPr>
                <w:webHidden/>
              </w:rPr>
              <w:fldChar w:fldCharType="begin"/>
            </w:r>
            <w:r w:rsidR="003B4A71">
              <w:rPr>
                <w:webHidden/>
              </w:rPr>
              <w:instrText xml:space="preserve"> PAGEREF _Toc99267592 \h </w:instrText>
            </w:r>
            <w:r w:rsidR="003B4A71">
              <w:rPr>
                <w:webHidden/>
              </w:rPr>
            </w:r>
            <w:r w:rsidR="003B4A71">
              <w:rPr>
                <w:webHidden/>
              </w:rPr>
              <w:fldChar w:fldCharType="separate"/>
            </w:r>
            <w:r w:rsidR="002101E0">
              <w:rPr>
                <w:webHidden/>
              </w:rPr>
              <w:t>xi</w:t>
            </w:r>
            <w:r w:rsidR="003B4A71">
              <w:rPr>
                <w:webHidden/>
              </w:rPr>
              <w:fldChar w:fldCharType="end"/>
            </w:r>
          </w:hyperlink>
        </w:p>
        <w:p w14:paraId="6E3A9B26" w14:textId="6D6CEDDE" w:rsidR="003B4A71" w:rsidRDefault="00A84B98">
          <w:pPr>
            <w:pStyle w:val="TOC1"/>
            <w:rPr>
              <w:rFonts w:asciiTheme="minorHAnsi" w:eastAsiaTheme="minorEastAsia" w:hAnsiTheme="minorHAnsi" w:cstheme="minorBidi"/>
              <w:b w:val="0"/>
              <w:bCs w:val="0"/>
              <w:iCs w:val="0"/>
              <w:lang w:bidi="ar-SA"/>
            </w:rPr>
          </w:pPr>
          <w:hyperlink w:anchor="_Toc99267593" w:history="1">
            <w:r w:rsidR="003B4A71" w:rsidRPr="006D5901">
              <w:rPr>
                <w:rStyle w:val="Hyperlink"/>
              </w:rPr>
              <w:t>List of Figures</w:t>
            </w:r>
            <w:r w:rsidR="003B4A71">
              <w:rPr>
                <w:webHidden/>
              </w:rPr>
              <w:tab/>
            </w:r>
            <w:r w:rsidR="003B4A71">
              <w:rPr>
                <w:webHidden/>
              </w:rPr>
              <w:fldChar w:fldCharType="begin"/>
            </w:r>
            <w:r w:rsidR="003B4A71">
              <w:rPr>
                <w:webHidden/>
              </w:rPr>
              <w:instrText xml:space="preserve"> PAGEREF _Toc99267593 \h </w:instrText>
            </w:r>
            <w:r w:rsidR="003B4A71">
              <w:rPr>
                <w:webHidden/>
              </w:rPr>
            </w:r>
            <w:r w:rsidR="003B4A71">
              <w:rPr>
                <w:webHidden/>
              </w:rPr>
              <w:fldChar w:fldCharType="separate"/>
            </w:r>
            <w:r w:rsidR="002101E0">
              <w:rPr>
                <w:webHidden/>
              </w:rPr>
              <w:t>xii</w:t>
            </w:r>
            <w:r w:rsidR="003B4A71">
              <w:rPr>
                <w:webHidden/>
              </w:rPr>
              <w:fldChar w:fldCharType="end"/>
            </w:r>
          </w:hyperlink>
        </w:p>
        <w:p w14:paraId="595EE8BB" w14:textId="7E2C4D0D" w:rsidR="003B4A71" w:rsidRDefault="00A84B98">
          <w:pPr>
            <w:pStyle w:val="TOC1"/>
            <w:rPr>
              <w:rFonts w:asciiTheme="minorHAnsi" w:eastAsiaTheme="minorEastAsia" w:hAnsiTheme="minorHAnsi" w:cstheme="minorBidi"/>
              <w:b w:val="0"/>
              <w:bCs w:val="0"/>
              <w:iCs w:val="0"/>
              <w:lang w:bidi="ar-SA"/>
            </w:rPr>
          </w:pPr>
          <w:hyperlink w:anchor="_Toc99267594" w:history="1">
            <w:r w:rsidR="003B4A71" w:rsidRPr="006D5901">
              <w:rPr>
                <w:rStyle w:val="Hyperlink"/>
              </w:rPr>
              <w:t>Abstract</w:t>
            </w:r>
            <w:r w:rsidR="003B4A71">
              <w:rPr>
                <w:webHidden/>
              </w:rPr>
              <w:tab/>
            </w:r>
            <w:r w:rsidR="003B4A71">
              <w:rPr>
                <w:webHidden/>
              </w:rPr>
              <w:fldChar w:fldCharType="begin"/>
            </w:r>
            <w:r w:rsidR="003B4A71">
              <w:rPr>
                <w:webHidden/>
              </w:rPr>
              <w:instrText xml:space="preserve"> PAGEREF _Toc99267594 \h </w:instrText>
            </w:r>
            <w:r w:rsidR="003B4A71">
              <w:rPr>
                <w:webHidden/>
              </w:rPr>
            </w:r>
            <w:r w:rsidR="003B4A71">
              <w:rPr>
                <w:webHidden/>
              </w:rPr>
              <w:fldChar w:fldCharType="separate"/>
            </w:r>
            <w:r w:rsidR="002101E0">
              <w:rPr>
                <w:webHidden/>
              </w:rPr>
              <w:t>xiii</w:t>
            </w:r>
            <w:r w:rsidR="003B4A71">
              <w:rPr>
                <w:webHidden/>
              </w:rPr>
              <w:fldChar w:fldCharType="end"/>
            </w:r>
          </w:hyperlink>
        </w:p>
        <w:p w14:paraId="29132560" w14:textId="5D827391" w:rsidR="003B4A71" w:rsidRDefault="00A84B98">
          <w:pPr>
            <w:pStyle w:val="TOC1"/>
            <w:rPr>
              <w:rFonts w:asciiTheme="minorHAnsi" w:eastAsiaTheme="minorEastAsia" w:hAnsiTheme="minorHAnsi" w:cstheme="minorBidi"/>
              <w:b w:val="0"/>
              <w:bCs w:val="0"/>
              <w:iCs w:val="0"/>
              <w:lang w:bidi="ar-SA"/>
            </w:rPr>
          </w:pPr>
          <w:hyperlink w:anchor="_Toc99267595" w:history="1">
            <w:r w:rsidR="003B4A71" w:rsidRPr="006D5901">
              <w:rPr>
                <w:rStyle w:val="Hyperlink"/>
              </w:rPr>
              <w:t>Chapter I: Introduction</w:t>
            </w:r>
            <w:r w:rsidR="003B4A71">
              <w:rPr>
                <w:webHidden/>
              </w:rPr>
              <w:tab/>
            </w:r>
            <w:r w:rsidR="003B4A71">
              <w:rPr>
                <w:webHidden/>
              </w:rPr>
              <w:fldChar w:fldCharType="begin"/>
            </w:r>
            <w:r w:rsidR="003B4A71">
              <w:rPr>
                <w:webHidden/>
              </w:rPr>
              <w:instrText xml:space="preserve"> PAGEREF _Toc99267595 \h </w:instrText>
            </w:r>
            <w:r w:rsidR="003B4A71">
              <w:rPr>
                <w:webHidden/>
              </w:rPr>
            </w:r>
            <w:r w:rsidR="003B4A71">
              <w:rPr>
                <w:webHidden/>
              </w:rPr>
              <w:fldChar w:fldCharType="separate"/>
            </w:r>
            <w:r w:rsidR="002101E0">
              <w:rPr>
                <w:webHidden/>
              </w:rPr>
              <w:t>1</w:t>
            </w:r>
            <w:r w:rsidR="003B4A71">
              <w:rPr>
                <w:webHidden/>
              </w:rPr>
              <w:fldChar w:fldCharType="end"/>
            </w:r>
          </w:hyperlink>
        </w:p>
        <w:p w14:paraId="5E8DACBD" w14:textId="24A492F5"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596" w:history="1">
            <w:r w:rsidR="003B4A71" w:rsidRPr="006D5901">
              <w:rPr>
                <w:rStyle w:val="Hyperlink"/>
                <w:noProof/>
                <w:lang w:bidi="en-US"/>
              </w:rPr>
              <w:t>Purpose of the Study</w:t>
            </w:r>
            <w:r w:rsidR="003B4A71">
              <w:rPr>
                <w:noProof/>
                <w:webHidden/>
              </w:rPr>
              <w:tab/>
            </w:r>
            <w:r w:rsidR="003B4A71">
              <w:rPr>
                <w:noProof/>
                <w:webHidden/>
              </w:rPr>
              <w:fldChar w:fldCharType="begin"/>
            </w:r>
            <w:r w:rsidR="003B4A71">
              <w:rPr>
                <w:noProof/>
                <w:webHidden/>
              </w:rPr>
              <w:instrText xml:space="preserve"> PAGEREF _Toc99267596 \h </w:instrText>
            </w:r>
            <w:r w:rsidR="003B4A71">
              <w:rPr>
                <w:noProof/>
                <w:webHidden/>
              </w:rPr>
            </w:r>
            <w:r w:rsidR="003B4A71">
              <w:rPr>
                <w:noProof/>
                <w:webHidden/>
              </w:rPr>
              <w:fldChar w:fldCharType="separate"/>
            </w:r>
            <w:r w:rsidR="002101E0">
              <w:rPr>
                <w:noProof/>
                <w:webHidden/>
              </w:rPr>
              <w:t>5</w:t>
            </w:r>
            <w:r w:rsidR="003B4A71">
              <w:rPr>
                <w:noProof/>
                <w:webHidden/>
              </w:rPr>
              <w:fldChar w:fldCharType="end"/>
            </w:r>
          </w:hyperlink>
        </w:p>
        <w:p w14:paraId="7C28B8D5" w14:textId="072B0933"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597" w:history="1">
            <w:r w:rsidR="003B4A71" w:rsidRPr="006D5901">
              <w:rPr>
                <w:rStyle w:val="Hyperlink"/>
                <w:noProof/>
                <w:lang w:bidi="en-US"/>
              </w:rPr>
              <w:t>Research Questions</w:t>
            </w:r>
            <w:r w:rsidR="003B4A71">
              <w:rPr>
                <w:noProof/>
                <w:webHidden/>
              </w:rPr>
              <w:tab/>
            </w:r>
            <w:r w:rsidR="003B4A71">
              <w:rPr>
                <w:noProof/>
                <w:webHidden/>
              </w:rPr>
              <w:fldChar w:fldCharType="begin"/>
            </w:r>
            <w:r w:rsidR="003B4A71">
              <w:rPr>
                <w:noProof/>
                <w:webHidden/>
              </w:rPr>
              <w:instrText xml:space="preserve"> PAGEREF _Toc99267597 \h </w:instrText>
            </w:r>
            <w:r w:rsidR="003B4A71">
              <w:rPr>
                <w:noProof/>
                <w:webHidden/>
              </w:rPr>
            </w:r>
            <w:r w:rsidR="003B4A71">
              <w:rPr>
                <w:noProof/>
                <w:webHidden/>
              </w:rPr>
              <w:fldChar w:fldCharType="separate"/>
            </w:r>
            <w:r w:rsidR="002101E0">
              <w:rPr>
                <w:noProof/>
                <w:webHidden/>
              </w:rPr>
              <w:t>5</w:t>
            </w:r>
            <w:r w:rsidR="003B4A71">
              <w:rPr>
                <w:noProof/>
                <w:webHidden/>
              </w:rPr>
              <w:fldChar w:fldCharType="end"/>
            </w:r>
          </w:hyperlink>
        </w:p>
        <w:p w14:paraId="4147ABFB" w14:textId="16686496"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598" w:history="1">
            <w:r w:rsidR="003B4A71" w:rsidRPr="006D5901">
              <w:rPr>
                <w:rStyle w:val="Hyperlink"/>
                <w:noProof/>
                <w:lang w:bidi="en-US"/>
              </w:rPr>
              <w:t>Research Hypotheses</w:t>
            </w:r>
            <w:r w:rsidR="003B4A71">
              <w:rPr>
                <w:noProof/>
                <w:webHidden/>
              </w:rPr>
              <w:tab/>
            </w:r>
            <w:r w:rsidR="003B4A71">
              <w:rPr>
                <w:noProof/>
                <w:webHidden/>
              </w:rPr>
              <w:fldChar w:fldCharType="begin"/>
            </w:r>
            <w:r w:rsidR="003B4A71">
              <w:rPr>
                <w:noProof/>
                <w:webHidden/>
              </w:rPr>
              <w:instrText xml:space="preserve"> PAGEREF _Toc99267598 \h </w:instrText>
            </w:r>
            <w:r w:rsidR="003B4A71">
              <w:rPr>
                <w:noProof/>
                <w:webHidden/>
              </w:rPr>
            </w:r>
            <w:r w:rsidR="003B4A71">
              <w:rPr>
                <w:noProof/>
                <w:webHidden/>
              </w:rPr>
              <w:fldChar w:fldCharType="separate"/>
            </w:r>
            <w:r w:rsidR="002101E0">
              <w:rPr>
                <w:noProof/>
                <w:webHidden/>
              </w:rPr>
              <w:t>5</w:t>
            </w:r>
            <w:r w:rsidR="003B4A71">
              <w:rPr>
                <w:noProof/>
                <w:webHidden/>
              </w:rPr>
              <w:fldChar w:fldCharType="end"/>
            </w:r>
          </w:hyperlink>
        </w:p>
        <w:p w14:paraId="759D8589" w14:textId="777D013A"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599" w:history="1">
            <w:r w:rsidR="003B4A71" w:rsidRPr="006D5901">
              <w:rPr>
                <w:rStyle w:val="Hyperlink"/>
                <w:noProof/>
                <w:lang w:bidi="en-US"/>
              </w:rPr>
              <w:t>Significance of the Study</w:t>
            </w:r>
            <w:r w:rsidR="003B4A71">
              <w:rPr>
                <w:noProof/>
                <w:webHidden/>
              </w:rPr>
              <w:tab/>
            </w:r>
            <w:r w:rsidR="003B4A71">
              <w:rPr>
                <w:noProof/>
                <w:webHidden/>
              </w:rPr>
              <w:fldChar w:fldCharType="begin"/>
            </w:r>
            <w:r w:rsidR="003B4A71">
              <w:rPr>
                <w:noProof/>
                <w:webHidden/>
              </w:rPr>
              <w:instrText xml:space="preserve"> PAGEREF _Toc99267599 \h </w:instrText>
            </w:r>
            <w:r w:rsidR="003B4A71">
              <w:rPr>
                <w:noProof/>
                <w:webHidden/>
              </w:rPr>
            </w:r>
            <w:r w:rsidR="003B4A71">
              <w:rPr>
                <w:noProof/>
                <w:webHidden/>
              </w:rPr>
              <w:fldChar w:fldCharType="separate"/>
            </w:r>
            <w:r w:rsidR="002101E0">
              <w:rPr>
                <w:noProof/>
                <w:webHidden/>
              </w:rPr>
              <w:t>6</w:t>
            </w:r>
            <w:r w:rsidR="003B4A71">
              <w:rPr>
                <w:noProof/>
                <w:webHidden/>
              </w:rPr>
              <w:fldChar w:fldCharType="end"/>
            </w:r>
          </w:hyperlink>
        </w:p>
        <w:p w14:paraId="3718D24E" w14:textId="00E58A6D"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00" w:history="1">
            <w:r w:rsidR="003B4A71" w:rsidRPr="006D5901">
              <w:rPr>
                <w:rStyle w:val="Hyperlink"/>
                <w:noProof/>
                <w:lang w:bidi="en-US"/>
              </w:rPr>
              <w:t>Delimitations</w:t>
            </w:r>
            <w:r w:rsidR="003B4A71">
              <w:rPr>
                <w:noProof/>
                <w:webHidden/>
              </w:rPr>
              <w:tab/>
            </w:r>
            <w:r w:rsidR="003B4A71">
              <w:rPr>
                <w:noProof/>
                <w:webHidden/>
              </w:rPr>
              <w:fldChar w:fldCharType="begin"/>
            </w:r>
            <w:r w:rsidR="003B4A71">
              <w:rPr>
                <w:noProof/>
                <w:webHidden/>
              </w:rPr>
              <w:instrText xml:space="preserve"> PAGEREF _Toc99267600 \h </w:instrText>
            </w:r>
            <w:r w:rsidR="003B4A71">
              <w:rPr>
                <w:noProof/>
                <w:webHidden/>
              </w:rPr>
            </w:r>
            <w:r w:rsidR="003B4A71">
              <w:rPr>
                <w:noProof/>
                <w:webHidden/>
              </w:rPr>
              <w:fldChar w:fldCharType="separate"/>
            </w:r>
            <w:r w:rsidR="002101E0">
              <w:rPr>
                <w:noProof/>
                <w:webHidden/>
              </w:rPr>
              <w:t>6</w:t>
            </w:r>
            <w:r w:rsidR="003B4A71">
              <w:rPr>
                <w:noProof/>
                <w:webHidden/>
              </w:rPr>
              <w:fldChar w:fldCharType="end"/>
            </w:r>
          </w:hyperlink>
        </w:p>
        <w:p w14:paraId="4E48C5CA" w14:textId="65AB6276"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01" w:history="1">
            <w:r w:rsidR="003B4A71" w:rsidRPr="006D5901">
              <w:rPr>
                <w:rStyle w:val="Hyperlink"/>
                <w:noProof/>
                <w:lang w:bidi="en-US"/>
              </w:rPr>
              <w:t>Limitations</w:t>
            </w:r>
            <w:r w:rsidR="003B4A71">
              <w:rPr>
                <w:noProof/>
                <w:webHidden/>
              </w:rPr>
              <w:tab/>
            </w:r>
            <w:r w:rsidR="003B4A71">
              <w:rPr>
                <w:noProof/>
                <w:webHidden/>
              </w:rPr>
              <w:fldChar w:fldCharType="begin"/>
            </w:r>
            <w:r w:rsidR="003B4A71">
              <w:rPr>
                <w:noProof/>
                <w:webHidden/>
              </w:rPr>
              <w:instrText xml:space="preserve"> PAGEREF _Toc99267601 \h </w:instrText>
            </w:r>
            <w:r w:rsidR="003B4A71">
              <w:rPr>
                <w:noProof/>
                <w:webHidden/>
              </w:rPr>
            </w:r>
            <w:r w:rsidR="003B4A71">
              <w:rPr>
                <w:noProof/>
                <w:webHidden/>
              </w:rPr>
              <w:fldChar w:fldCharType="separate"/>
            </w:r>
            <w:r w:rsidR="002101E0">
              <w:rPr>
                <w:noProof/>
                <w:webHidden/>
              </w:rPr>
              <w:t>7</w:t>
            </w:r>
            <w:r w:rsidR="003B4A71">
              <w:rPr>
                <w:noProof/>
                <w:webHidden/>
              </w:rPr>
              <w:fldChar w:fldCharType="end"/>
            </w:r>
          </w:hyperlink>
        </w:p>
        <w:p w14:paraId="58D8ACD9" w14:textId="78884B4E"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02" w:history="1">
            <w:r w:rsidR="003B4A71" w:rsidRPr="006D5901">
              <w:rPr>
                <w:rStyle w:val="Hyperlink"/>
                <w:noProof/>
                <w:lang w:bidi="en-US"/>
              </w:rPr>
              <w:t>Assumptions</w:t>
            </w:r>
            <w:r w:rsidR="003B4A71">
              <w:rPr>
                <w:noProof/>
                <w:webHidden/>
              </w:rPr>
              <w:tab/>
            </w:r>
            <w:r w:rsidR="003B4A71">
              <w:rPr>
                <w:noProof/>
                <w:webHidden/>
              </w:rPr>
              <w:fldChar w:fldCharType="begin"/>
            </w:r>
            <w:r w:rsidR="003B4A71">
              <w:rPr>
                <w:noProof/>
                <w:webHidden/>
              </w:rPr>
              <w:instrText xml:space="preserve"> PAGEREF _Toc99267602 \h </w:instrText>
            </w:r>
            <w:r w:rsidR="003B4A71">
              <w:rPr>
                <w:noProof/>
                <w:webHidden/>
              </w:rPr>
            </w:r>
            <w:r w:rsidR="003B4A71">
              <w:rPr>
                <w:noProof/>
                <w:webHidden/>
              </w:rPr>
              <w:fldChar w:fldCharType="separate"/>
            </w:r>
            <w:r w:rsidR="002101E0">
              <w:rPr>
                <w:noProof/>
                <w:webHidden/>
              </w:rPr>
              <w:t>7</w:t>
            </w:r>
            <w:r w:rsidR="003B4A71">
              <w:rPr>
                <w:noProof/>
                <w:webHidden/>
              </w:rPr>
              <w:fldChar w:fldCharType="end"/>
            </w:r>
          </w:hyperlink>
        </w:p>
        <w:p w14:paraId="0B6BF234" w14:textId="51487929"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03" w:history="1">
            <w:r w:rsidR="003B4A71" w:rsidRPr="006D5901">
              <w:rPr>
                <w:rStyle w:val="Hyperlink"/>
                <w:noProof/>
                <w:lang w:bidi="en-US"/>
              </w:rPr>
              <w:t>Operational Definitions</w:t>
            </w:r>
            <w:r w:rsidR="003B4A71">
              <w:rPr>
                <w:noProof/>
                <w:webHidden/>
              </w:rPr>
              <w:tab/>
            </w:r>
            <w:r w:rsidR="003B4A71">
              <w:rPr>
                <w:noProof/>
                <w:webHidden/>
              </w:rPr>
              <w:fldChar w:fldCharType="begin"/>
            </w:r>
            <w:r w:rsidR="003B4A71">
              <w:rPr>
                <w:noProof/>
                <w:webHidden/>
              </w:rPr>
              <w:instrText xml:space="preserve"> PAGEREF _Toc99267603 \h </w:instrText>
            </w:r>
            <w:r w:rsidR="003B4A71">
              <w:rPr>
                <w:noProof/>
                <w:webHidden/>
              </w:rPr>
            </w:r>
            <w:r w:rsidR="003B4A71">
              <w:rPr>
                <w:noProof/>
                <w:webHidden/>
              </w:rPr>
              <w:fldChar w:fldCharType="separate"/>
            </w:r>
            <w:r w:rsidR="002101E0">
              <w:rPr>
                <w:noProof/>
                <w:webHidden/>
              </w:rPr>
              <w:t>7</w:t>
            </w:r>
            <w:r w:rsidR="003B4A71">
              <w:rPr>
                <w:noProof/>
                <w:webHidden/>
              </w:rPr>
              <w:fldChar w:fldCharType="end"/>
            </w:r>
          </w:hyperlink>
        </w:p>
        <w:p w14:paraId="4737618C" w14:textId="5CCE672A"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04" w:history="1">
            <w:r w:rsidR="003B4A71" w:rsidRPr="006D5901">
              <w:rPr>
                <w:rStyle w:val="Hyperlink"/>
                <w:noProof/>
                <w:lang w:bidi="en-US"/>
              </w:rPr>
              <w:t>List of Abbreviations</w:t>
            </w:r>
            <w:r w:rsidR="003B4A71">
              <w:rPr>
                <w:noProof/>
                <w:webHidden/>
              </w:rPr>
              <w:tab/>
            </w:r>
            <w:r w:rsidR="003B4A71">
              <w:rPr>
                <w:noProof/>
                <w:webHidden/>
              </w:rPr>
              <w:fldChar w:fldCharType="begin"/>
            </w:r>
            <w:r w:rsidR="003B4A71">
              <w:rPr>
                <w:noProof/>
                <w:webHidden/>
              </w:rPr>
              <w:instrText xml:space="preserve"> PAGEREF _Toc99267604 \h </w:instrText>
            </w:r>
            <w:r w:rsidR="003B4A71">
              <w:rPr>
                <w:noProof/>
                <w:webHidden/>
              </w:rPr>
            </w:r>
            <w:r w:rsidR="003B4A71">
              <w:rPr>
                <w:noProof/>
                <w:webHidden/>
              </w:rPr>
              <w:fldChar w:fldCharType="separate"/>
            </w:r>
            <w:r w:rsidR="002101E0">
              <w:rPr>
                <w:noProof/>
                <w:webHidden/>
              </w:rPr>
              <w:t>11</w:t>
            </w:r>
            <w:r w:rsidR="003B4A71">
              <w:rPr>
                <w:noProof/>
                <w:webHidden/>
              </w:rPr>
              <w:fldChar w:fldCharType="end"/>
            </w:r>
          </w:hyperlink>
        </w:p>
        <w:p w14:paraId="32A61B97" w14:textId="664B8AD3" w:rsidR="003B4A71" w:rsidRDefault="00A84B98">
          <w:pPr>
            <w:pStyle w:val="TOC1"/>
            <w:rPr>
              <w:rFonts w:asciiTheme="minorHAnsi" w:eastAsiaTheme="minorEastAsia" w:hAnsiTheme="minorHAnsi" w:cstheme="minorBidi"/>
              <w:b w:val="0"/>
              <w:bCs w:val="0"/>
              <w:iCs w:val="0"/>
              <w:lang w:bidi="ar-SA"/>
            </w:rPr>
          </w:pPr>
          <w:hyperlink w:anchor="_Toc99267605" w:history="1">
            <w:r w:rsidR="003B4A71" w:rsidRPr="006D5901">
              <w:rPr>
                <w:rStyle w:val="Hyperlink"/>
              </w:rPr>
              <w:t>Chapter II: Review of Literature</w:t>
            </w:r>
            <w:r w:rsidR="003B4A71">
              <w:rPr>
                <w:webHidden/>
              </w:rPr>
              <w:tab/>
            </w:r>
            <w:r w:rsidR="003B4A71">
              <w:rPr>
                <w:webHidden/>
              </w:rPr>
              <w:fldChar w:fldCharType="begin"/>
            </w:r>
            <w:r w:rsidR="003B4A71">
              <w:rPr>
                <w:webHidden/>
              </w:rPr>
              <w:instrText xml:space="preserve"> PAGEREF _Toc99267605 \h </w:instrText>
            </w:r>
            <w:r w:rsidR="003B4A71">
              <w:rPr>
                <w:webHidden/>
              </w:rPr>
            </w:r>
            <w:r w:rsidR="003B4A71">
              <w:rPr>
                <w:webHidden/>
              </w:rPr>
              <w:fldChar w:fldCharType="separate"/>
            </w:r>
            <w:r w:rsidR="002101E0">
              <w:rPr>
                <w:webHidden/>
              </w:rPr>
              <w:t>13</w:t>
            </w:r>
            <w:r w:rsidR="003B4A71">
              <w:rPr>
                <w:webHidden/>
              </w:rPr>
              <w:fldChar w:fldCharType="end"/>
            </w:r>
          </w:hyperlink>
        </w:p>
        <w:p w14:paraId="297D40A1" w14:textId="21681884"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06" w:history="1">
            <w:r w:rsidR="003B4A71" w:rsidRPr="006D5901">
              <w:rPr>
                <w:rStyle w:val="Hyperlink"/>
                <w:noProof/>
                <w:lang w:bidi="en-US"/>
              </w:rPr>
              <w:t>Training Strain vs Recovery Continuum</w:t>
            </w:r>
            <w:r w:rsidR="003B4A71">
              <w:rPr>
                <w:noProof/>
                <w:webHidden/>
              </w:rPr>
              <w:tab/>
            </w:r>
            <w:r w:rsidR="003B4A71">
              <w:rPr>
                <w:noProof/>
                <w:webHidden/>
              </w:rPr>
              <w:fldChar w:fldCharType="begin"/>
            </w:r>
            <w:r w:rsidR="003B4A71">
              <w:rPr>
                <w:noProof/>
                <w:webHidden/>
              </w:rPr>
              <w:instrText xml:space="preserve"> PAGEREF _Toc99267606 \h </w:instrText>
            </w:r>
            <w:r w:rsidR="003B4A71">
              <w:rPr>
                <w:noProof/>
                <w:webHidden/>
              </w:rPr>
            </w:r>
            <w:r w:rsidR="003B4A71">
              <w:rPr>
                <w:noProof/>
                <w:webHidden/>
              </w:rPr>
              <w:fldChar w:fldCharType="separate"/>
            </w:r>
            <w:r w:rsidR="002101E0">
              <w:rPr>
                <w:noProof/>
                <w:webHidden/>
              </w:rPr>
              <w:t>13</w:t>
            </w:r>
            <w:r w:rsidR="003B4A71">
              <w:rPr>
                <w:noProof/>
                <w:webHidden/>
              </w:rPr>
              <w:fldChar w:fldCharType="end"/>
            </w:r>
          </w:hyperlink>
        </w:p>
        <w:p w14:paraId="452532FC" w14:textId="460EC414"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07" w:history="1">
            <w:r w:rsidR="003B4A71" w:rsidRPr="006D5901">
              <w:rPr>
                <w:rStyle w:val="Hyperlink"/>
                <w:noProof/>
                <w:lang w:bidi="en-US"/>
              </w:rPr>
              <w:t>Monitoring Athlete Training Loads</w:t>
            </w:r>
            <w:r w:rsidR="003B4A71">
              <w:rPr>
                <w:noProof/>
                <w:webHidden/>
              </w:rPr>
              <w:tab/>
            </w:r>
            <w:r w:rsidR="003B4A71">
              <w:rPr>
                <w:noProof/>
                <w:webHidden/>
              </w:rPr>
              <w:fldChar w:fldCharType="begin"/>
            </w:r>
            <w:r w:rsidR="003B4A71">
              <w:rPr>
                <w:noProof/>
                <w:webHidden/>
              </w:rPr>
              <w:instrText xml:space="preserve"> PAGEREF _Toc99267607 \h </w:instrText>
            </w:r>
            <w:r w:rsidR="003B4A71">
              <w:rPr>
                <w:noProof/>
                <w:webHidden/>
              </w:rPr>
            </w:r>
            <w:r w:rsidR="003B4A71">
              <w:rPr>
                <w:noProof/>
                <w:webHidden/>
              </w:rPr>
              <w:fldChar w:fldCharType="separate"/>
            </w:r>
            <w:r w:rsidR="002101E0">
              <w:rPr>
                <w:noProof/>
                <w:webHidden/>
              </w:rPr>
              <w:t>14</w:t>
            </w:r>
            <w:r w:rsidR="003B4A71">
              <w:rPr>
                <w:noProof/>
                <w:webHidden/>
              </w:rPr>
              <w:fldChar w:fldCharType="end"/>
            </w:r>
          </w:hyperlink>
        </w:p>
        <w:p w14:paraId="3F21C6DD" w14:textId="6FB346B3"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08" w:history="1">
            <w:r w:rsidR="003B4A71" w:rsidRPr="006D5901">
              <w:rPr>
                <w:rStyle w:val="Hyperlink"/>
                <w:rFonts w:cs="Times New Roman"/>
                <w:bCs/>
                <w:iCs/>
                <w:noProof/>
              </w:rPr>
              <w:t>External Training Load</w:t>
            </w:r>
            <w:r w:rsidR="003B4A71">
              <w:rPr>
                <w:noProof/>
                <w:webHidden/>
              </w:rPr>
              <w:tab/>
            </w:r>
            <w:r w:rsidR="003B4A71">
              <w:rPr>
                <w:noProof/>
                <w:webHidden/>
              </w:rPr>
              <w:fldChar w:fldCharType="begin"/>
            </w:r>
            <w:r w:rsidR="003B4A71">
              <w:rPr>
                <w:noProof/>
                <w:webHidden/>
              </w:rPr>
              <w:instrText xml:space="preserve"> PAGEREF _Toc99267608 \h </w:instrText>
            </w:r>
            <w:r w:rsidR="003B4A71">
              <w:rPr>
                <w:noProof/>
                <w:webHidden/>
              </w:rPr>
            </w:r>
            <w:r w:rsidR="003B4A71">
              <w:rPr>
                <w:noProof/>
                <w:webHidden/>
              </w:rPr>
              <w:fldChar w:fldCharType="separate"/>
            </w:r>
            <w:r w:rsidR="002101E0">
              <w:rPr>
                <w:noProof/>
                <w:webHidden/>
              </w:rPr>
              <w:t>14</w:t>
            </w:r>
            <w:r w:rsidR="003B4A71">
              <w:rPr>
                <w:noProof/>
                <w:webHidden/>
              </w:rPr>
              <w:fldChar w:fldCharType="end"/>
            </w:r>
          </w:hyperlink>
        </w:p>
        <w:p w14:paraId="0DD6D38C" w14:textId="29A2CDF1"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09" w:history="1">
            <w:r w:rsidR="003B4A71" w:rsidRPr="006D5901">
              <w:rPr>
                <w:rStyle w:val="Hyperlink"/>
                <w:rFonts w:cs="Times New Roman"/>
                <w:bCs/>
                <w:iCs/>
                <w:noProof/>
              </w:rPr>
              <w:t>Internal Training Load</w:t>
            </w:r>
            <w:r w:rsidR="003B4A71">
              <w:rPr>
                <w:noProof/>
                <w:webHidden/>
              </w:rPr>
              <w:tab/>
            </w:r>
            <w:r w:rsidR="003B4A71">
              <w:rPr>
                <w:noProof/>
                <w:webHidden/>
              </w:rPr>
              <w:fldChar w:fldCharType="begin"/>
            </w:r>
            <w:r w:rsidR="003B4A71">
              <w:rPr>
                <w:noProof/>
                <w:webHidden/>
              </w:rPr>
              <w:instrText xml:space="preserve"> PAGEREF _Toc99267609 \h </w:instrText>
            </w:r>
            <w:r w:rsidR="003B4A71">
              <w:rPr>
                <w:noProof/>
                <w:webHidden/>
              </w:rPr>
            </w:r>
            <w:r w:rsidR="003B4A71">
              <w:rPr>
                <w:noProof/>
                <w:webHidden/>
              </w:rPr>
              <w:fldChar w:fldCharType="separate"/>
            </w:r>
            <w:r w:rsidR="002101E0">
              <w:rPr>
                <w:noProof/>
                <w:webHidden/>
              </w:rPr>
              <w:t>18</w:t>
            </w:r>
            <w:r w:rsidR="003B4A71">
              <w:rPr>
                <w:noProof/>
                <w:webHidden/>
              </w:rPr>
              <w:fldChar w:fldCharType="end"/>
            </w:r>
          </w:hyperlink>
        </w:p>
        <w:p w14:paraId="057E4B60" w14:textId="1385377B"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10" w:history="1">
            <w:r w:rsidR="003B4A71" w:rsidRPr="006D5901">
              <w:rPr>
                <w:rStyle w:val="Hyperlink"/>
                <w:noProof/>
                <w:lang w:bidi="en-US"/>
              </w:rPr>
              <w:t>Endocrine Responses to Training</w:t>
            </w:r>
            <w:r w:rsidR="003B4A71">
              <w:rPr>
                <w:noProof/>
                <w:webHidden/>
              </w:rPr>
              <w:tab/>
            </w:r>
            <w:r w:rsidR="003B4A71">
              <w:rPr>
                <w:noProof/>
                <w:webHidden/>
              </w:rPr>
              <w:fldChar w:fldCharType="begin"/>
            </w:r>
            <w:r w:rsidR="003B4A71">
              <w:rPr>
                <w:noProof/>
                <w:webHidden/>
              </w:rPr>
              <w:instrText xml:space="preserve"> PAGEREF _Toc99267610 \h </w:instrText>
            </w:r>
            <w:r w:rsidR="003B4A71">
              <w:rPr>
                <w:noProof/>
                <w:webHidden/>
              </w:rPr>
            </w:r>
            <w:r w:rsidR="003B4A71">
              <w:rPr>
                <w:noProof/>
                <w:webHidden/>
              </w:rPr>
              <w:fldChar w:fldCharType="separate"/>
            </w:r>
            <w:r w:rsidR="002101E0">
              <w:rPr>
                <w:noProof/>
                <w:webHidden/>
              </w:rPr>
              <w:t>20</w:t>
            </w:r>
            <w:r w:rsidR="003B4A71">
              <w:rPr>
                <w:noProof/>
                <w:webHidden/>
              </w:rPr>
              <w:fldChar w:fldCharType="end"/>
            </w:r>
          </w:hyperlink>
        </w:p>
        <w:p w14:paraId="591E471D" w14:textId="4B7ED59C"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11" w:history="1">
            <w:r w:rsidR="003B4A71" w:rsidRPr="006D5901">
              <w:rPr>
                <w:rStyle w:val="Hyperlink"/>
                <w:rFonts w:cs="Times New Roman"/>
                <w:bCs/>
                <w:iCs/>
                <w:noProof/>
              </w:rPr>
              <w:t>Testosterone</w:t>
            </w:r>
            <w:r w:rsidR="003B4A71">
              <w:rPr>
                <w:noProof/>
                <w:webHidden/>
              </w:rPr>
              <w:tab/>
            </w:r>
            <w:r w:rsidR="003B4A71">
              <w:rPr>
                <w:noProof/>
                <w:webHidden/>
              </w:rPr>
              <w:fldChar w:fldCharType="begin"/>
            </w:r>
            <w:r w:rsidR="003B4A71">
              <w:rPr>
                <w:noProof/>
                <w:webHidden/>
              </w:rPr>
              <w:instrText xml:space="preserve"> PAGEREF _Toc99267611 \h </w:instrText>
            </w:r>
            <w:r w:rsidR="003B4A71">
              <w:rPr>
                <w:noProof/>
                <w:webHidden/>
              </w:rPr>
            </w:r>
            <w:r w:rsidR="003B4A71">
              <w:rPr>
                <w:noProof/>
                <w:webHidden/>
              </w:rPr>
              <w:fldChar w:fldCharType="separate"/>
            </w:r>
            <w:r w:rsidR="002101E0">
              <w:rPr>
                <w:noProof/>
                <w:webHidden/>
              </w:rPr>
              <w:t>21</w:t>
            </w:r>
            <w:r w:rsidR="003B4A71">
              <w:rPr>
                <w:noProof/>
                <w:webHidden/>
              </w:rPr>
              <w:fldChar w:fldCharType="end"/>
            </w:r>
          </w:hyperlink>
        </w:p>
        <w:p w14:paraId="799B07F0" w14:textId="2B1DD4E3"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12" w:history="1">
            <w:r w:rsidR="003B4A71" w:rsidRPr="006D5901">
              <w:rPr>
                <w:rStyle w:val="Hyperlink"/>
                <w:rFonts w:cs="Times New Roman"/>
                <w:bCs/>
                <w:iCs/>
                <w:noProof/>
              </w:rPr>
              <w:t>Cortisol</w:t>
            </w:r>
            <w:r w:rsidR="003B4A71">
              <w:rPr>
                <w:noProof/>
                <w:webHidden/>
              </w:rPr>
              <w:tab/>
            </w:r>
            <w:r w:rsidR="003B4A71">
              <w:rPr>
                <w:noProof/>
                <w:webHidden/>
              </w:rPr>
              <w:fldChar w:fldCharType="begin"/>
            </w:r>
            <w:r w:rsidR="003B4A71">
              <w:rPr>
                <w:noProof/>
                <w:webHidden/>
              </w:rPr>
              <w:instrText xml:space="preserve"> PAGEREF _Toc99267612 \h </w:instrText>
            </w:r>
            <w:r w:rsidR="003B4A71">
              <w:rPr>
                <w:noProof/>
                <w:webHidden/>
              </w:rPr>
            </w:r>
            <w:r w:rsidR="003B4A71">
              <w:rPr>
                <w:noProof/>
                <w:webHidden/>
              </w:rPr>
              <w:fldChar w:fldCharType="separate"/>
            </w:r>
            <w:r w:rsidR="002101E0">
              <w:rPr>
                <w:noProof/>
                <w:webHidden/>
              </w:rPr>
              <w:t>22</w:t>
            </w:r>
            <w:r w:rsidR="003B4A71">
              <w:rPr>
                <w:noProof/>
                <w:webHidden/>
              </w:rPr>
              <w:fldChar w:fldCharType="end"/>
            </w:r>
          </w:hyperlink>
        </w:p>
        <w:p w14:paraId="4B8C6B50" w14:textId="78E37FF5"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13" w:history="1">
            <w:r w:rsidR="003B4A71" w:rsidRPr="006D5901">
              <w:rPr>
                <w:rStyle w:val="Hyperlink"/>
                <w:rFonts w:cs="Times New Roman"/>
                <w:bCs/>
                <w:iCs/>
                <w:noProof/>
              </w:rPr>
              <w:t>T:C Ratio</w:t>
            </w:r>
            <w:r w:rsidR="003B4A71">
              <w:rPr>
                <w:noProof/>
                <w:webHidden/>
              </w:rPr>
              <w:tab/>
            </w:r>
            <w:r w:rsidR="003B4A71">
              <w:rPr>
                <w:noProof/>
                <w:webHidden/>
              </w:rPr>
              <w:fldChar w:fldCharType="begin"/>
            </w:r>
            <w:r w:rsidR="003B4A71">
              <w:rPr>
                <w:noProof/>
                <w:webHidden/>
              </w:rPr>
              <w:instrText xml:space="preserve"> PAGEREF _Toc99267613 \h </w:instrText>
            </w:r>
            <w:r w:rsidR="003B4A71">
              <w:rPr>
                <w:noProof/>
                <w:webHidden/>
              </w:rPr>
            </w:r>
            <w:r w:rsidR="003B4A71">
              <w:rPr>
                <w:noProof/>
                <w:webHidden/>
              </w:rPr>
              <w:fldChar w:fldCharType="separate"/>
            </w:r>
            <w:r w:rsidR="002101E0">
              <w:rPr>
                <w:noProof/>
                <w:webHidden/>
              </w:rPr>
              <w:t>23</w:t>
            </w:r>
            <w:r w:rsidR="003B4A71">
              <w:rPr>
                <w:noProof/>
                <w:webHidden/>
              </w:rPr>
              <w:fldChar w:fldCharType="end"/>
            </w:r>
          </w:hyperlink>
        </w:p>
        <w:p w14:paraId="64FDAFE8" w14:textId="7CD57ED3"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14" w:history="1">
            <w:r w:rsidR="003B4A71" w:rsidRPr="006D5901">
              <w:rPr>
                <w:rStyle w:val="Hyperlink"/>
                <w:rFonts w:cs="Times New Roman"/>
                <w:bCs/>
                <w:iCs/>
                <w:noProof/>
              </w:rPr>
              <w:t>Collection Techniques</w:t>
            </w:r>
            <w:r w:rsidR="003B4A71">
              <w:rPr>
                <w:noProof/>
                <w:webHidden/>
              </w:rPr>
              <w:tab/>
            </w:r>
            <w:r w:rsidR="003B4A71">
              <w:rPr>
                <w:noProof/>
                <w:webHidden/>
              </w:rPr>
              <w:fldChar w:fldCharType="begin"/>
            </w:r>
            <w:r w:rsidR="003B4A71">
              <w:rPr>
                <w:noProof/>
                <w:webHidden/>
              </w:rPr>
              <w:instrText xml:space="preserve"> PAGEREF _Toc99267614 \h </w:instrText>
            </w:r>
            <w:r w:rsidR="003B4A71">
              <w:rPr>
                <w:noProof/>
                <w:webHidden/>
              </w:rPr>
            </w:r>
            <w:r w:rsidR="003B4A71">
              <w:rPr>
                <w:noProof/>
                <w:webHidden/>
              </w:rPr>
              <w:fldChar w:fldCharType="separate"/>
            </w:r>
            <w:r w:rsidR="002101E0">
              <w:rPr>
                <w:noProof/>
                <w:webHidden/>
              </w:rPr>
              <w:t>24</w:t>
            </w:r>
            <w:r w:rsidR="003B4A71">
              <w:rPr>
                <w:noProof/>
                <w:webHidden/>
              </w:rPr>
              <w:fldChar w:fldCharType="end"/>
            </w:r>
          </w:hyperlink>
        </w:p>
        <w:p w14:paraId="73523AEF" w14:textId="3F688144"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15" w:history="1">
            <w:r w:rsidR="003B4A71" w:rsidRPr="006D5901">
              <w:rPr>
                <w:rStyle w:val="Hyperlink"/>
                <w:rFonts w:cs="Times New Roman"/>
                <w:bCs/>
                <w:iCs/>
                <w:noProof/>
              </w:rPr>
              <w:t>Acute Endocrine Responses</w:t>
            </w:r>
            <w:r w:rsidR="003B4A71">
              <w:rPr>
                <w:noProof/>
                <w:webHidden/>
              </w:rPr>
              <w:tab/>
            </w:r>
            <w:r w:rsidR="003B4A71">
              <w:rPr>
                <w:noProof/>
                <w:webHidden/>
              </w:rPr>
              <w:fldChar w:fldCharType="begin"/>
            </w:r>
            <w:r w:rsidR="003B4A71">
              <w:rPr>
                <w:noProof/>
                <w:webHidden/>
              </w:rPr>
              <w:instrText xml:space="preserve"> PAGEREF _Toc99267615 \h </w:instrText>
            </w:r>
            <w:r w:rsidR="003B4A71">
              <w:rPr>
                <w:noProof/>
                <w:webHidden/>
              </w:rPr>
            </w:r>
            <w:r w:rsidR="003B4A71">
              <w:rPr>
                <w:noProof/>
                <w:webHidden/>
              </w:rPr>
              <w:fldChar w:fldCharType="separate"/>
            </w:r>
            <w:r w:rsidR="002101E0">
              <w:rPr>
                <w:noProof/>
                <w:webHidden/>
              </w:rPr>
              <w:t>24</w:t>
            </w:r>
            <w:r w:rsidR="003B4A71">
              <w:rPr>
                <w:noProof/>
                <w:webHidden/>
              </w:rPr>
              <w:fldChar w:fldCharType="end"/>
            </w:r>
          </w:hyperlink>
        </w:p>
        <w:p w14:paraId="34ABD2FE" w14:textId="0D2CB256"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16" w:history="1">
            <w:r w:rsidR="003B4A71" w:rsidRPr="006D5901">
              <w:rPr>
                <w:rStyle w:val="Hyperlink"/>
                <w:rFonts w:cs="Times New Roman"/>
                <w:bCs/>
                <w:iCs/>
                <w:noProof/>
              </w:rPr>
              <w:t>Longitudinal Endocrine Responses</w:t>
            </w:r>
            <w:r w:rsidR="003B4A71">
              <w:rPr>
                <w:noProof/>
                <w:webHidden/>
              </w:rPr>
              <w:tab/>
            </w:r>
            <w:r w:rsidR="003B4A71">
              <w:rPr>
                <w:noProof/>
                <w:webHidden/>
              </w:rPr>
              <w:fldChar w:fldCharType="begin"/>
            </w:r>
            <w:r w:rsidR="003B4A71">
              <w:rPr>
                <w:noProof/>
                <w:webHidden/>
              </w:rPr>
              <w:instrText xml:space="preserve"> PAGEREF _Toc99267616 \h </w:instrText>
            </w:r>
            <w:r w:rsidR="003B4A71">
              <w:rPr>
                <w:noProof/>
                <w:webHidden/>
              </w:rPr>
            </w:r>
            <w:r w:rsidR="003B4A71">
              <w:rPr>
                <w:noProof/>
                <w:webHidden/>
              </w:rPr>
              <w:fldChar w:fldCharType="separate"/>
            </w:r>
            <w:r w:rsidR="002101E0">
              <w:rPr>
                <w:noProof/>
                <w:webHidden/>
              </w:rPr>
              <w:t>25</w:t>
            </w:r>
            <w:r w:rsidR="003B4A71">
              <w:rPr>
                <w:noProof/>
                <w:webHidden/>
              </w:rPr>
              <w:fldChar w:fldCharType="end"/>
            </w:r>
          </w:hyperlink>
        </w:p>
        <w:p w14:paraId="3ECA30F7" w14:textId="64F7877D"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17" w:history="1">
            <w:r w:rsidR="003B4A71" w:rsidRPr="006D5901">
              <w:rPr>
                <w:rStyle w:val="Hyperlink"/>
                <w:noProof/>
                <w:lang w:bidi="en-US"/>
              </w:rPr>
              <w:t>Assessment of Neuromuscular Performance</w:t>
            </w:r>
            <w:r w:rsidR="003B4A71">
              <w:rPr>
                <w:noProof/>
                <w:webHidden/>
              </w:rPr>
              <w:tab/>
            </w:r>
            <w:r w:rsidR="003B4A71">
              <w:rPr>
                <w:noProof/>
                <w:webHidden/>
              </w:rPr>
              <w:fldChar w:fldCharType="begin"/>
            </w:r>
            <w:r w:rsidR="003B4A71">
              <w:rPr>
                <w:noProof/>
                <w:webHidden/>
              </w:rPr>
              <w:instrText xml:space="preserve"> PAGEREF _Toc99267617 \h </w:instrText>
            </w:r>
            <w:r w:rsidR="003B4A71">
              <w:rPr>
                <w:noProof/>
                <w:webHidden/>
              </w:rPr>
            </w:r>
            <w:r w:rsidR="003B4A71">
              <w:rPr>
                <w:noProof/>
                <w:webHidden/>
              </w:rPr>
              <w:fldChar w:fldCharType="separate"/>
            </w:r>
            <w:r w:rsidR="002101E0">
              <w:rPr>
                <w:noProof/>
                <w:webHidden/>
              </w:rPr>
              <w:t>26</w:t>
            </w:r>
            <w:r w:rsidR="003B4A71">
              <w:rPr>
                <w:noProof/>
                <w:webHidden/>
              </w:rPr>
              <w:fldChar w:fldCharType="end"/>
            </w:r>
          </w:hyperlink>
        </w:p>
        <w:p w14:paraId="6DC553A3" w14:textId="66550A87"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18" w:history="1">
            <w:r w:rsidR="003B4A71" w:rsidRPr="006D5901">
              <w:rPr>
                <w:rStyle w:val="Hyperlink"/>
                <w:rFonts w:cs="Times New Roman"/>
                <w:bCs/>
                <w:iCs/>
                <w:noProof/>
              </w:rPr>
              <w:t>Countermovement Jump</w:t>
            </w:r>
            <w:r w:rsidR="003B4A71">
              <w:rPr>
                <w:noProof/>
                <w:webHidden/>
              </w:rPr>
              <w:tab/>
            </w:r>
            <w:r w:rsidR="003B4A71">
              <w:rPr>
                <w:noProof/>
                <w:webHidden/>
              </w:rPr>
              <w:fldChar w:fldCharType="begin"/>
            </w:r>
            <w:r w:rsidR="003B4A71">
              <w:rPr>
                <w:noProof/>
                <w:webHidden/>
              </w:rPr>
              <w:instrText xml:space="preserve"> PAGEREF _Toc99267618 \h </w:instrText>
            </w:r>
            <w:r w:rsidR="003B4A71">
              <w:rPr>
                <w:noProof/>
                <w:webHidden/>
              </w:rPr>
            </w:r>
            <w:r w:rsidR="003B4A71">
              <w:rPr>
                <w:noProof/>
                <w:webHidden/>
              </w:rPr>
              <w:fldChar w:fldCharType="separate"/>
            </w:r>
            <w:r w:rsidR="002101E0">
              <w:rPr>
                <w:noProof/>
                <w:webHidden/>
              </w:rPr>
              <w:t>26</w:t>
            </w:r>
            <w:r w:rsidR="003B4A71">
              <w:rPr>
                <w:noProof/>
                <w:webHidden/>
              </w:rPr>
              <w:fldChar w:fldCharType="end"/>
            </w:r>
          </w:hyperlink>
        </w:p>
        <w:p w14:paraId="4626813C" w14:textId="7A98FC7F"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19" w:history="1">
            <w:r w:rsidR="003B4A71" w:rsidRPr="006D5901">
              <w:rPr>
                <w:rStyle w:val="Hyperlink"/>
                <w:rFonts w:cs="Times New Roman"/>
                <w:bCs/>
                <w:iCs/>
                <w:noProof/>
              </w:rPr>
              <w:t>Monitoring Neuromuscular Responses with the Countermovement Jump</w:t>
            </w:r>
            <w:r w:rsidR="003B4A71">
              <w:rPr>
                <w:noProof/>
                <w:webHidden/>
              </w:rPr>
              <w:tab/>
            </w:r>
            <w:r w:rsidR="003B4A71">
              <w:rPr>
                <w:noProof/>
                <w:webHidden/>
              </w:rPr>
              <w:fldChar w:fldCharType="begin"/>
            </w:r>
            <w:r w:rsidR="003B4A71">
              <w:rPr>
                <w:noProof/>
                <w:webHidden/>
              </w:rPr>
              <w:instrText xml:space="preserve"> PAGEREF _Toc99267619 \h </w:instrText>
            </w:r>
            <w:r w:rsidR="003B4A71">
              <w:rPr>
                <w:noProof/>
                <w:webHidden/>
              </w:rPr>
            </w:r>
            <w:r w:rsidR="003B4A71">
              <w:rPr>
                <w:noProof/>
                <w:webHidden/>
              </w:rPr>
              <w:fldChar w:fldCharType="separate"/>
            </w:r>
            <w:r w:rsidR="002101E0">
              <w:rPr>
                <w:noProof/>
                <w:webHidden/>
              </w:rPr>
              <w:t>26</w:t>
            </w:r>
            <w:r w:rsidR="003B4A71">
              <w:rPr>
                <w:noProof/>
                <w:webHidden/>
              </w:rPr>
              <w:fldChar w:fldCharType="end"/>
            </w:r>
          </w:hyperlink>
        </w:p>
        <w:p w14:paraId="4E38BFBA" w14:textId="6F6FBB6A"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20" w:history="1">
            <w:r w:rsidR="003B4A71" w:rsidRPr="006D5901">
              <w:rPr>
                <w:rStyle w:val="Hyperlink"/>
                <w:noProof/>
                <w:lang w:bidi="en-US"/>
              </w:rPr>
              <w:t>Summary</w:t>
            </w:r>
            <w:r w:rsidR="003B4A71">
              <w:rPr>
                <w:noProof/>
                <w:webHidden/>
              </w:rPr>
              <w:tab/>
            </w:r>
            <w:r w:rsidR="003B4A71">
              <w:rPr>
                <w:noProof/>
                <w:webHidden/>
              </w:rPr>
              <w:fldChar w:fldCharType="begin"/>
            </w:r>
            <w:r w:rsidR="003B4A71">
              <w:rPr>
                <w:noProof/>
                <w:webHidden/>
              </w:rPr>
              <w:instrText xml:space="preserve"> PAGEREF _Toc99267620 \h </w:instrText>
            </w:r>
            <w:r w:rsidR="003B4A71">
              <w:rPr>
                <w:noProof/>
                <w:webHidden/>
              </w:rPr>
            </w:r>
            <w:r w:rsidR="003B4A71">
              <w:rPr>
                <w:noProof/>
                <w:webHidden/>
              </w:rPr>
              <w:fldChar w:fldCharType="separate"/>
            </w:r>
            <w:r w:rsidR="002101E0">
              <w:rPr>
                <w:noProof/>
                <w:webHidden/>
              </w:rPr>
              <w:t>28</w:t>
            </w:r>
            <w:r w:rsidR="003B4A71">
              <w:rPr>
                <w:noProof/>
                <w:webHidden/>
              </w:rPr>
              <w:fldChar w:fldCharType="end"/>
            </w:r>
          </w:hyperlink>
        </w:p>
        <w:p w14:paraId="72200FBE" w14:textId="3F1AA384" w:rsidR="003B4A71" w:rsidRDefault="00A84B98">
          <w:pPr>
            <w:pStyle w:val="TOC1"/>
            <w:rPr>
              <w:rFonts w:asciiTheme="minorHAnsi" w:eastAsiaTheme="minorEastAsia" w:hAnsiTheme="minorHAnsi" w:cstheme="minorBidi"/>
              <w:b w:val="0"/>
              <w:bCs w:val="0"/>
              <w:iCs w:val="0"/>
              <w:lang w:bidi="ar-SA"/>
            </w:rPr>
          </w:pPr>
          <w:hyperlink w:anchor="_Toc99267621" w:history="1">
            <w:r w:rsidR="003B4A71" w:rsidRPr="006D5901">
              <w:rPr>
                <w:rStyle w:val="Hyperlink"/>
              </w:rPr>
              <w:t>Chapter III: Methodology</w:t>
            </w:r>
            <w:r w:rsidR="003B4A71">
              <w:rPr>
                <w:webHidden/>
              </w:rPr>
              <w:tab/>
            </w:r>
            <w:r w:rsidR="003B4A71">
              <w:rPr>
                <w:webHidden/>
              </w:rPr>
              <w:fldChar w:fldCharType="begin"/>
            </w:r>
            <w:r w:rsidR="003B4A71">
              <w:rPr>
                <w:webHidden/>
              </w:rPr>
              <w:instrText xml:space="preserve"> PAGEREF _Toc99267621 \h </w:instrText>
            </w:r>
            <w:r w:rsidR="003B4A71">
              <w:rPr>
                <w:webHidden/>
              </w:rPr>
            </w:r>
            <w:r w:rsidR="003B4A71">
              <w:rPr>
                <w:webHidden/>
              </w:rPr>
              <w:fldChar w:fldCharType="separate"/>
            </w:r>
            <w:r w:rsidR="002101E0">
              <w:rPr>
                <w:webHidden/>
              </w:rPr>
              <w:t>29</w:t>
            </w:r>
            <w:r w:rsidR="003B4A71">
              <w:rPr>
                <w:webHidden/>
              </w:rPr>
              <w:fldChar w:fldCharType="end"/>
            </w:r>
          </w:hyperlink>
        </w:p>
        <w:p w14:paraId="5308EFAC" w14:textId="2226CA2B"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22" w:history="1">
            <w:r w:rsidR="003B4A71" w:rsidRPr="006D5901">
              <w:rPr>
                <w:rStyle w:val="Hyperlink"/>
                <w:noProof/>
                <w:lang w:bidi="en-US"/>
              </w:rPr>
              <w:t>Study Design</w:t>
            </w:r>
            <w:r w:rsidR="003B4A71">
              <w:rPr>
                <w:noProof/>
                <w:webHidden/>
              </w:rPr>
              <w:tab/>
            </w:r>
            <w:r w:rsidR="003B4A71">
              <w:rPr>
                <w:noProof/>
                <w:webHidden/>
              </w:rPr>
              <w:fldChar w:fldCharType="begin"/>
            </w:r>
            <w:r w:rsidR="003B4A71">
              <w:rPr>
                <w:noProof/>
                <w:webHidden/>
              </w:rPr>
              <w:instrText xml:space="preserve"> PAGEREF _Toc99267622 \h </w:instrText>
            </w:r>
            <w:r w:rsidR="003B4A71">
              <w:rPr>
                <w:noProof/>
                <w:webHidden/>
              </w:rPr>
            </w:r>
            <w:r w:rsidR="003B4A71">
              <w:rPr>
                <w:noProof/>
                <w:webHidden/>
              </w:rPr>
              <w:fldChar w:fldCharType="separate"/>
            </w:r>
            <w:r w:rsidR="002101E0">
              <w:rPr>
                <w:noProof/>
                <w:webHidden/>
              </w:rPr>
              <w:t>29</w:t>
            </w:r>
            <w:r w:rsidR="003B4A71">
              <w:rPr>
                <w:noProof/>
                <w:webHidden/>
              </w:rPr>
              <w:fldChar w:fldCharType="end"/>
            </w:r>
          </w:hyperlink>
        </w:p>
        <w:p w14:paraId="18DF78DF" w14:textId="75CE3113"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23" w:history="1">
            <w:r w:rsidR="003B4A71" w:rsidRPr="006D5901">
              <w:rPr>
                <w:rStyle w:val="Hyperlink"/>
                <w:noProof/>
                <w:lang w:bidi="en-US"/>
              </w:rPr>
              <w:t>Participants</w:t>
            </w:r>
            <w:r w:rsidR="003B4A71">
              <w:rPr>
                <w:noProof/>
                <w:webHidden/>
              </w:rPr>
              <w:tab/>
            </w:r>
            <w:r w:rsidR="003B4A71">
              <w:rPr>
                <w:noProof/>
                <w:webHidden/>
              </w:rPr>
              <w:fldChar w:fldCharType="begin"/>
            </w:r>
            <w:r w:rsidR="003B4A71">
              <w:rPr>
                <w:noProof/>
                <w:webHidden/>
              </w:rPr>
              <w:instrText xml:space="preserve"> PAGEREF _Toc99267623 \h </w:instrText>
            </w:r>
            <w:r w:rsidR="003B4A71">
              <w:rPr>
                <w:noProof/>
                <w:webHidden/>
              </w:rPr>
            </w:r>
            <w:r w:rsidR="003B4A71">
              <w:rPr>
                <w:noProof/>
                <w:webHidden/>
              </w:rPr>
              <w:fldChar w:fldCharType="separate"/>
            </w:r>
            <w:r w:rsidR="002101E0">
              <w:rPr>
                <w:noProof/>
                <w:webHidden/>
              </w:rPr>
              <w:t>30</w:t>
            </w:r>
            <w:r w:rsidR="003B4A71">
              <w:rPr>
                <w:noProof/>
                <w:webHidden/>
              </w:rPr>
              <w:fldChar w:fldCharType="end"/>
            </w:r>
          </w:hyperlink>
        </w:p>
        <w:p w14:paraId="502CBF41" w14:textId="0F73CA14"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24" w:history="1">
            <w:r w:rsidR="003B4A71" w:rsidRPr="006D5901">
              <w:rPr>
                <w:rStyle w:val="Hyperlink"/>
                <w:noProof/>
                <w:lang w:bidi="en-US"/>
              </w:rPr>
              <w:t>Inclusion Criteria</w:t>
            </w:r>
            <w:r w:rsidR="003B4A71">
              <w:rPr>
                <w:noProof/>
                <w:webHidden/>
              </w:rPr>
              <w:tab/>
            </w:r>
            <w:r w:rsidR="003B4A71">
              <w:rPr>
                <w:noProof/>
                <w:webHidden/>
              </w:rPr>
              <w:fldChar w:fldCharType="begin"/>
            </w:r>
            <w:r w:rsidR="003B4A71">
              <w:rPr>
                <w:noProof/>
                <w:webHidden/>
              </w:rPr>
              <w:instrText xml:space="preserve"> PAGEREF _Toc99267624 \h </w:instrText>
            </w:r>
            <w:r w:rsidR="003B4A71">
              <w:rPr>
                <w:noProof/>
                <w:webHidden/>
              </w:rPr>
            </w:r>
            <w:r w:rsidR="003B4A71">
              <w:rPr>
                <w:noProof/>
                <w:webHidden/>
              </w:rPr>
              <w:fldChar w:fldCharType="separate"/>
            </w:r>
            <w:r w:rsidR="002101E0">
              <w:rPr>
                <w:noProof/>
                <w:webHidden/>
              </w:rPr>
              <w:t>30</w:t>
            </w:r>
            <w:r w:rsidR="003B4A71">
              <w:rPr>
                <w:noProof/>
                <w:webHidden/>
              </w:rPr>
              <w:fldChar w:fldCharType="end"/>
            </w:r>
          </w:hyperlink>
        </w:p>
        <w:p w14:paraId="5FB1FBF3" w14:textId="1B54232C"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25" w:history="1">
            <w:r w:rsidR="003B4A71" w:rsidRPr="006D5901">
              <w:rPr>
                <w:rStyle w:val="Hyperlink"/>
                <w:noProof/>
                <w:lang w:bidi="en-US"/>
              </w:rPr>
              <w:t>Exclusion Criteria</w:t>
            </w:r>
            <w:r w:rsidR="003B4A71">
              <w:rPr>
                <w:noProof/>
                <w:webHidden/>
              </w:rPr>
              <w:tab/>
            </w:r>
            <w:r w:rsidR="003B4A71">
              <w:rPr>
                <w:noProof/>
                <w:webHidden/>
              </w:rPr>
              <w:fldChar w:fldCharType="begin"/>
            </w:r>
            <w:r w:rsidR="003B4A71">
              <w:rPr>
                <w:noProof/>
                <w:webHidden/>
              </w:rPr>
              <w:instrText xml:space="preserve"> PAGEREF _Toc99267625 \h </w:instrText>
            </w:r>
            <w:r w:rsidR="003B4A71">
              <w:rPr>
                <w:noProof/>
                <w:webHidden/>
              </w:rPr>
            </w:r>
            <w:r w:rsidR="003B4A71">
              <w:rPr>
                <w:noProof/>
                <w:webHidden/>
              </w:rPr>
              <w:fldChar w:fldCharType="separate"/>
            </w:r>
            <w:r w:rsidR="002101E0">
              <w:rPr>
                <w:noProof/>
                <w:webHidden/>
              </w:rPr>
              <w:t>31</w:t>
            </w:r>
            <w:r w:rsidR="003B4A71">
              <w:rPr>
                <w:noProof/>
                <w:webHidden/>
              </w:rPr>
              <w:fldChar w:fldCharType="end"/>
            </w:r>
          </w:hyperlink>
        </w:p>
        <w:p w14:paraId="4A1B833A" w14:textId="7E90B5E1"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26" w:history="1">
            <w:r w:rsidR="003B4A71" w:rsidRPr="006D5901">
              <w:rPr>
                <w:rStyle w:val="Hyperlink"/>
                <w:noProof/>
                <w:lang w:bidi="en-US"/>
              </w:rPr>
              <w:t>Questionnaires and Documentation</w:t>
            </w:r>
            <w:r w:rsidR="003B4A71">
              <w:rPr>
                <w:noProof/>
                <w:webHidden/>
              </w:rPr>
              <w:tab/>
            </w:r>
            <w:r w:rsidR="003B4A71">
              <w:rPr>
                <w:noProof/>
                <w:webHidden/>
              </w:rPr>
              <w:fldChar w:fldCharType="begin"/>
            </w:r>
            <w:r w:rsidR="003B4A71">
              <w:rPr>
                <w:noProof/>
                <w:webHidden/>
              </w:rPr>
              <w:instrText xml:space="preserve"> PAGEREF _Toc99267626 \h </w:instrText>
            </w:r>
            <w:r w:rsidR="003B4A71">
              <w:rPr>
                <w:noProof/>
                <w:webHidden/>
              </w:rPr>
            </w:r>
            <w:r w:rsidR="003B4A71">
              <w:rPr>
                <w:noProof/>
                <w:webHidden/>
              </w:rPr>
              <w:fldChar w:fldCharType="separate"/>
            </w:r>
            <w:r w:rsidR="002101E0">
              <w:rPr>
                <w:noProof/>
                <w:webHidden/>
              </w:rPr>
              <w:t>31</w:t>
            </w:r>
            <w:r w:rsidR="003B4A71">
              <w:rPr>
                <w:noProof/>
                <w:webHidden/>
              </w:rPr>
              <w:fldChar w:fldCharType="end"/>
            </w:r>
          </w:hyperlink>
        </w:p>
        <w:p w14:paraId="1C861BC5" w14:textId="2B44BF48"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27" w:history="1">
            <w:r w:rsidR="003B4A71" w:rsidRPr="006D5901">
              <w:rPr>
                <w:rStyle w:val="Hyperlink"/>
                <w:rFonts w:cs="Times New Roman"/>
                <w:bCs/>
                <w:iCs/>
                <w:noProof/>
              </w:rPr>
              <w:t>Informed Consent</w:t>
            </w:r>
            <w:r w:rsidR="003B4A71">
              <w:rPr>
                <w:noProof/>
                <w:webHidden/>
              </w:rPr>
              <w:tab/>
            </w:r>
            <w:r w:rsidR="003B4A71">
              <w:rPr>
                <w:noProof/>
                <w:webHidden/>
              </w:rPr>
              <w:fldChar w:fldCharType="begin"/>
            </w:r>
            <w:r w:rsidR="003B4A71">
              <w:rPr>
                <w:noProof/>
                <w:webHidden/>
              </w:rPr>
              <w:instrText xml:space="preserve"> PAGEREF _Toc99267627 \h </w:instrText>
            </w:r>
            <w:r w:rsidR="003B4A71">
              <w:rPr>
                <w:noProof/>
                <w:webHidden/>
              </w:rPr>
            </w:r>
            <w:r w:rsidR="003B4A71">
              <w:rPr>
                <w:noProof/>
                <w:webHidden/>
              </w:rPr>
              <w:fldChar w:fldCharType="separate"/>
            </w:r>
            <w:r w:rsidR="002101E0">
              <w:rPr>
                <w:noProof/>
                <w:webHidden/>
              </w:rPr>
              <w:t>31</w:t>
            </w:r>
            <w:r w:rsidR="003B4A71">
              <w:rPr>
                <w:noProof/>
                <w:webHidden/>
              </w:rPr>
              <w:fldChar w:fldCharType="end"/>
            </w:r>
          </w:hyperlink>
        </w:p>
        <w:p w14:paraId="5FE403EB" w14:textId="2D26B6C5"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28" w:history="1">
            <w:r w:rsidR="003B4A71" w:rsidRPr="006D5901">
              <w:rPr>
                <w:rStyle w:val="Hyperlink"/>
                <w:rFonts w:cs="Times New Roman"/>
                <w:bCs/>
                <w:iCs/>
                <w:noProof/>
              </w:rPr>
              <w:t>Health Insurance Portability and Accountability Act</w:t>
            </w:r>
            <w:r w:rsidR="003B4A71">
              <w:rPr>
                <w:noProof/>
                <w:webHidden/>
              </w:rPr>
              <w:tab/>
            </w:r>
            <w:r w:rsidR="003B4A71">
              <w:rPr>
                <w:noProof/>
                <w:webHidden/>
              </w:rPr>
              <w:fldChar w:fldCharType="begin"/>
            </w:r>
            <w:r w:rsidR="003B4A71">
              <w:rPr>
                <w:noProof/>
                <w:webHidden/>
              </w:rPr>
              <w:instrText xml:space="preserve"> PAGEREF _Toc99267628 \h </w:instrText>
            </w:r>
            <w:r w:rsidR="003B4A71">
              <w:rPr>
                <w:noProof/>
                <w:webHidden/>
              </w:rPr>
            </w:r>
            <w:r w:rsidR="003B4A71">
              <w:rPr>
                <w:noProof/>
                <w:webHidden/>
              </w:rPr>
              <w:fldChar w:fldCharType="separate"/>
            </w:r>
            <w:r w:rsidR="002101E0">
              <w:rPr>
                <w:noProof/>
                <w:webHidden/>
              </w:rPr>
              <w:t>31</w:t>
            </w:r>
            <w:r w:rsidR="003B4A71">
              <w:rPr>
                <w:noProof/>
                <w:webHidden/>
              </w:rPr>
              <w:fldChar w:fldCharType="end"/>
            </w:r>
          </w:hyperlink>
        </w:p>
        <w:p w14:paraId="497746C8" w14:textId="1515F3B0"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29" w:history="1">
            <w:r w:rsidR="003B4A71" w:rsidRPr="006D5901">
              <w:rPr>
                <w:rStyle w:val="Hyperlink"/>
                <w:noProof/>
                <w:lang w:bidi="en-US"/>
              </w:rPr>
              <w:t>Anthropometric Measurements and Familiarization</w:t>
            </w:r>
            <w:r w:rsidR="003B4A71">
              <w:rPr>
                <w:noProof/>
                <w:webHidden/>
              </w:rPr>
              <w:tab/>
            </w:r>
            <w:r w:rsidR="003B4A71">
              <w:rPr>
                <w:noProof/>
                <w:webHidden/>
              </w:rPr>
              <w:fldChar w:fldCharType="begin"/>
            </w:r>
            <w:r w:rsidR="003B4A71">
              <w:rPr>
                <w:noProof/>
                <w:webHidden/>
              </w:rPr>
              <w:instrText xml:space="preserve"> PAGEREF _Toc99267629 \h </w:instrText>
            </w:r>
            <w:r w:rsidR="003B4A71">
              <w:rPr>
                <w:noProof/>
                <w:webHidden/>
              </w:rPr>
            </w:r>
            <w:r w:rsidR="003B4A71">
              <w:rPr>
                <w:noProof/>
                <w:webHidden/>
              </w:rPr>
              <w:fldChar w:fldCharType="separate"/>
            </w:r>
            <w:r w:rsidR="002101E0">
              <w:rPr>
                <w:noProof/>
                <w:webHidden/>
              </w:rPr>
              <w:t>31</w:t>
            </w:r>
            <w:r w:rsidR="003B4A71">
              <w:rPr>
                <w:noProof/>
                <w:webHidden/>
              </w:rPr>
              <w:fldChar w:fldCharType="end"/>
            </w:r>
          </w:hyperlink>
        </w:p>
        <w:p w14:paraId="7FE33C85" w14:textId="58A31990"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30" w:history="1">
            <w:r w:rsidR="003B4A71" w:rsidRPr="006D5901">
              <w:rPr>
                <w:rStyle w:val="Hyperlink"/>
                <w:noProof/>
                <w:lang w:bidi="en-US"/>
              </w:rPr>
              <w:t>External Load Monitoring of Sport Specific Training Exposures</w:t>
            </w:r>
            <w:r w:rsidR="003B4A71">
              <w:rPr>
                <w:noProof/>
                <w:webHidden/>
              </w:rPr>
              <w:tab/>
            </w:r>
            <w:r w:rsidR="003B4A71">
              <w:rPr>
                <w:noProof/>
                <w:webHidden/>
              </w:rPr>
              <w:fldChar w:fldCharType="begin"/>
            </w:r>
            <w:r w:rsidR="003B4A71">
              <w:rPr>
                <w:noProof/>
                <w:webHidden/>
              </w:rPr>
              <w:instrText xml:space="preserve"> PAGEREF _Toc99267630 \h </w:instrText>
            </w:r>
            <w:r w:rsidR="003B4A71">
              <w:rPr>
                <w:noProof/>
                <w:webHidden/>
              </w:rPr>
            </w:r>
            <w:r w:rsidR="003B4A71">
              <w:rPr>
                <w:noProof/>
                <w:webHidden/>
              </w:rPr>
              <w:fldChar w:fldCharType="separate"/>
            </w:r>
            <w:r w:rsidR="002101E0">
              <w:rPr>
                <w:noProof/>
                <w:webHidden/>
              </w:rPr>
              <w:t>32</w:t>
            </w:r>
            <w:r w:rsidR="003B4A71">
              <w:rPr>
                <w:noProof/>
                <w:webHidden/>
              </w:rPr>
              <w:fldChar w:fldCharType="end"/>
            </w:r>
          </w:hyperlink>
        </w:p>
        <w:p w14:paraId="4B95C0AA" w14:textId="3B01E5A0"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31" w:history="1">
            <w:r w:rsidR="003B4A71" w:rsidRPr="006D5901">
              <w:rPr>
                <w:rStyle w:val="Hyperlink"/>
                <w:noProof/>
                <w:lang w:bidi="en-US"/>
              </w:rPr>
              <w:t>Internal Load Monitoring of Sport Specific Training Exposures</w:t>
            </w:r>
            <w:r w:rsidR="003B4A71">
              <w:rPr>
                <w:noProof/>
                <w:webHidden/>
              </w:rPr>
              <w:tab/>
            </w:r>
            <w:r w:rsidR="003B4A71">
              <w:rPr>
                <w:noProof/>
                <w:webHidden/>
              </w:rPr>
              <w:fldChar w:fldCharType="begin"/>
            </w:r>
            <w:r w:rsidR="003B4A71">
              <w:rPr>
                <w:noProof/>
                <w:webHidden/>
              </w:rPr>
              <w:instrText xml:space="preserve"> PAGEREF _Toc99267631 \h </w:instrText>
            </w:r>
            <w:r w:rsidR="003B4A71">
              <w:rPr>
                <w:noProof/>
                <w:webHidden/>
              </w:rPr>
            </w:r>
            <w:r w:rsidR="003B4A71">
              <w:rPr>
                <w:noProof/>
                <w:webHidden/>
              </w:rPr>
              <w:fldChar w:fldCharType="separate"/>
            </w:r>
            <w:r w:rsidR="002101E0">
              <w:rPr>
                <w:noProof/>
                <w:webHidden/>
              </w:rPr>
              <w:t>33</w:t>
            </w:r>
            <w:r w:rsidR="003B4A71">
              <w:rPr>
                <w:noProof/>
                <w:webHidden/>
              </w:rPr>
              <w:fldChar w:fldCharType="end"/>
            </w:r>
          </w:hyperlink>
        </w:p>
        <w:p w14:paraId="4B0D0775" w14:textId="043BABDD"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32" w:history="1">
            <w:r w:rsidR="003B4A71" w:rsidRPr="006D5901">
              <w:rPr>
                <w:rStyle w:val="Hyperlink"/>
                <w:noProof/>
                <w:lang w:bidi="en-US"/>
              </w:rPr>
              <w:t>Countermovement Jump Testing</w:t>
            </w:r>
            <w:r w:rsidR="003B4A71">
              <w:rPr>
                <w:noProof/>
                <w:webHidden/>
              </w:rPr>
              <w:tab/>
            </w:r>
            <w:r w:rsidR="003B4A71">
              <w:rPr>
                <w:noProof/>
                <w:webHidden/>
              </w:rPr>
              <w:fldChar w:fldCharType="begin"/>
            </w:r>
            <w:r w:rsidR="003B4A71">
              <w:rPr>
                <w:noProof/>
                <w:webHidden/>
              </w:rPr>
              <w:instrText xml:space="preserve"> PAGEREF _Toc99267632 \h </w:instrText>
            </w:r>
            <w:r w:rsidR="003B4A71">
              <w:rPr>
                <w:noProof/>
                <w:webHidden/>
              </w:rPr>
            </w:r>
            <w:r w:rsidR="003B4A71">
              <w:rPr>
                <w:noProof/>
                <w:webHidden/>
              </w:rPr>
              <w:fldChar w:fldCharType="separate"/>
            </w:r>
            <w:r w:rsidR="002101E0">
              <w:rPr>
                <w:noProof/>
                <w:webHidden/>
              </w:rPr>
              <w:t>33</w:t>
            </w:r>
            <w:r w:rsidR="003B4A71">
              <w:rPr>
                <w:noProof/>
                <w:webHidden/>
              </w:rPr>
              <w:fldChar w:fldCharType="end"/>
            </w:r>
          </w:hyperlink>
        </w:p>
        <w:p w14:paraId="4DE3FB34" w14:textId="3D185893"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33" w:history="1">
            <w:r w:rsidR="003B4A71" w:rsidRPr="006D5901">
              <w:rPr>
                <w:rStyle w:val="Hyperlink"/>
                <w:noProof/>
                <w:lang w:bidi="en-US"/>
              </w:rPr>
              <w:t>Endocrine Measures</w:t>
            </w:r>
            <w:r w:rsidR="003B4A71">
              <w:rPr>
                <w:noProof/>
                <w:webHidden/>
              </w:rPr>
              <w:tab/>
            </w:r>
            <w:r w:rsidR="003B4A71">
              <w:rPr>
                <w:noProof/>
                <w:webHidden/>
              </w:rPr>
              <w:fldChar w:fldCharType="begin"/>
            </w:r>
            <w:r w:rsidR="003B4A71">
              <w:rPr>
                <w:noProof/>
                <w:webHidden/>
              </w:rPr>
              <w:instrText xml:space="preserve"> PAGEREF _Toc99267633 \h </w:instrText>
            </w:r>
            <w:r w:rsidR="003B4A71">
              <w:rPr>
                <w:noProof/>
                <w:webHidden/>
              </w:rPr>
            </w:r>
            <w:r w:rsidR="003B4A71">
              <w:rPr>
                <w:noProof/>
                <w:webHidden/>
              </w:rPr>
              <w:fldChar w:fldCharType="separate"/>
            </w:r>
            <w:r w:rsidR="002101E0">
              <w:rPr>
                <w:noProof/>
                <w:webHidden/>
              </w:rPr>
              <w:t>34</w:t>
            </w:r>
            <w:r w:rsidR="003B4A71">
              <w:rPr>
                <w:noProof/>
                <w:webHidden/>
              </w:rPr>
              <w:fldChar w:fldCharType="end"/>
            </w:r>
          </w:hyperlink>
        </w:p>
        <w:p w14:paraId="3E28E2B7" w14:textId="39A808D6"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34" w:history="1">
            <w:r w:rsidR="003B4A71" w:rsidRPr="006D5901">
              <w:rPr>
                <w:rStyle w:val="Hyperlink"/>
                <w:noProof/>
                <w:lang w:bidi="en-US"/>
              </w:rPr>
              <w:t>Dietary Restrictions</w:t>
            </w:r>
            <w:r w:rsidR="003B4A71">
              <w:rPr>
                <w:noProof/>
                <w:webHidden/>
              </w:rPr>
              <w:tab/>
            </w:r>
            <w:r w:rsidR="003B4A71">
              <w:rPr>
                <w:noProof/>
                <w:webHidden/>
              </w:rPr>
              <w:fldChar w:fldCharType="begin"/>
            </w:r>
            <w:r w:rsidR="003B4A71">
              <w:rPr>
                <w:noProof/>
                <w:webHidden/>
              </w:rPr>
              <w:instrText xml:space="preserve"> PAGEREF _Toc99267634 \h </w:instrText>
            </w:r>
            <w:r w:rsidR="003B4A71">
              <w:rPr>
                <w:noProof/>
                <w:webHidden/>
              </w:rPr>
            </w:r>
            <w:r w:rsidR="003B4A71">
              <w:rPr>
                <w:noProof/>
                <w:webHidden/>
              </w:rPr>
              <w:fldChar w:fldCharType="separate"/>
            </w:r>
            <w:r w:rsidR="002101E0">
              <w:rPr>
                <w:noProof/>
                <w:webHidden/>
              </w:rPr>
              <w:t>36</w:t>
            </w:r>
            <w:r w:rsidR="003B4A71">
              <w:rPr>
                <w:noProof/>
                <w:webHidden/>
              </w:rPr>
              <w:fldChar w:fldCharType="end"/>
            </w:r>
          </w:hyperlink>
        </w:p>
        <w:p w14:paraId="418E64BE" w14:textId="70ED6422"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35" w:history="1">
            <w:r w:rsidR="003B4A71" w:rsidRPr="006D5901">
              <w:rPr>
                <w:rStyle w:val="Hyperlink"/>
                <w:noProof/>
                <w:lang w:bidi="en-US"/>
              </w:rPr>
              <w:t>Statistical Analyses</w:t>
            </w:r>
            <w:r w:rsidR="003B4A71">
              <w:rPr>
                <w:noProof/>
                <w:webHidden/>
              </w:rPr>
              <w:tab/>
            </w:r>
            <w:r w:rsidR="003B4A71">
              <w:rPr>
                <w:noProof/>
                <w:webHidden/>
              </w:rPr>
              <w:fldChar w:fldCharType="begin"/>
            </w:r>
            <w:r w:rsidR="003B4A71">
              <w:rPr>
                <w:noProof/>
                <w:webHidden/>
              </w:rPr>
              <w:instrText xml:space="preserve"> PAGEREF _Toc99267635 \h </w:instrText>
            </w:r>
            <w:r w:rsidR="003B4A71">
              <w:rPr>
                <w:noProof/>
                <w:webHidden/>
              </w:rPr>
            </w:r>
            <w:r w:rsidR="003B4A71">
              <w:rPr>
                <w:noProof/>
                <w:webHidden/>
              </w:rPr>
              <w:fldChar w:fldCharType="separate"/>
            </w:r>
            <w:r w:rsidR="002101E0">
              <w:rPr>
                <w:noProof/>
                <w:webHidden/>
              </w:rPr>
              <w:t>36</w:t>
            </w:r>
            <w:r w:rsidR="003B4A71">
              <w:rPr>
                <w:noProof/>
                <w:webHidden/>
              </w:rPr>
              <w:fldChar w:fldCharType="end"/>
            </w:r>
          </w:hyperlink>
        </w:p>
        <w:p w14:paraId="0EBB93D6" w14:textId="284BA30B" w:rsidR="003B4A71" w:rsidRDefault="00A84B98">
          <w:pPr>
            <w:pStyle w:val="TOC1"/>
            <w:rPr>
              <w:rFonts w:asciiTheme="minorHAnsi" w:eastAsiaTheme="minorEastAsia" w:hAnsiTheme="minorHAnsi" w:cstheme="minorBidi"/>
              <w:b w:val="0"/>
              <w:bCs w:val="0"/>
              <w:iCs w:val="0"/>
              <w:lang w:bidi="ar-SA"/>
            </w:rPr>
          </w:pPr>
          <w:hyperlink w:anchor="_Toc99267636" w:history="1">
            <w:r w:rsidR="003B4A71" w:rsidRPr="006D5901">
              <w:rPr>
                <w:rStyle w:val="Hyperlink"/>
              </w:rPr>
              <w:t>Chapter IV: Results and Discussion</w:t>
            </w:r>
            <w:r w:rsidR="003B4A71">
              <w:rPr>
                <w:webHidden/>
              </w:rPr>
              <w:tab/>
            </w:r>
            <w:r w:rsidR="003B4A71">
              <w:rPr>
                <w:webHidden/>
              </w:rPr>
              <w:fldChar w:fldCharType="begin"/>
            </w:r>
            <w:r w:rsidR="003B4A71">
              <w:rPr>
                <w:webHidden/>
              </w:rPr>
              <w:instrText xml:space="preserve"> PAGEREF _Toc99267636 \h </w:instrText>
            </w:r>
            <w:r w:rsidR="003B4A71">
              <w:rPr>
                <w:webHidden/>
              </w:rPr>
            </w:r>
            <w:r w:rsidR="003B4A71">
              <w:rPr>
                <w:webHidden/>
              </w:rPr>
              <w:fldChar w:fldCharType="separate"/>
            </w:r>
            <w:r w:rsidR="002101E0">
              <w:rPr>
                <w:webHidden/>
              </w:rPr>
              <w:t>38</w:t>
            </w:r>
            <w:r w:rsidR="003B4A71">
              <w:rPr>
                <w:webHidden/>
              </w:rPr>
              <w:fldChar w:fldCharType="end"/>
            </w:r>
          </w:hyperlink>
        </w:p>
        <w:p w14:paraId="4D231ECE" w14:textId="2B787EC6"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37" w:history="1">
            <w:r w:rsidR="003B4A71" w:rsidRPr="006D5901">
              <w:rPr>
                <w:rStyle w:val="Hyperlink"/>
                <w:noProof/>
                <w:lang w:bidi="en-US"/>
              </w:rPr>
              <w:t>Results</w:t>
            </w:r>
            <w:r w:rsidR="003B4A71">
              <w:rPr>
                <w:noProof/>
                <w:webHidden/>
              </w:rPr>
              <w:tab/>
            </w:r>
            <w:r w:rsidR="003B4A71">
              <w:rPr>
                <w:noProof/>
                <w:webHidden/>
              </w:rPr>
              <w:fldChar w:fldCharType="begin"/>
            </w:r>
            <w:r w:rsidR="003B4A71">
              <w:rPr>
                <w:noProof/>
                <w:webHidden/>
              </w:rPr>
              <w:instrText xml:space="preserve"> PAGEREF _Toc99267637 \h </w:instrText>
            </w:r>
            <w:r w:rsidR="003B4A71">
              <w:rPr>
                <w:noProof/>
                <w:webHidden/>
              </w:rPr>
            </w:r>
            <w:r w:rsidR="003B4A71">
              <w:rPr>
                <w:noProof/>
                <w:webHidden/>
              </w:rPr>
              <w:fldChar w:fldCharType="separate"/>
            </w:r>
            <w:r w:rsidR="002101E0">
              <w:rPr>
                <w:noProof/>
                <w:webHidden/>
              </w:rPr>
              <w:t>38</w:t>
            </w:r>
            <w:r w:rsidR="003B4A71">
              <w:rPr>
                <w:noProof/>
                <w:webHidden/>
              </w:rPr>
              <w:fldChar w:fldCharType="end"/>
            </w:r>
          </w:hyperlink>
        </w:p>
        <w:p w14:paraId="5761A92A" w14:textId="5E63BF9F"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38" w:history="1">
            <w:r w:rsidR="003B4A71" w:rsidRPr="006D5901">
              <w:rPr>
                <w:rStyle w:val="Hyperlink"/>
                <w:rFonts w:cs="Times New Roman"/>
                <w:bCs/>
                <w:iCs/>
                <w:noProof/>
              </w:rPr>
              <w:t>Participant Anthropometrics</w:t>
            </w:r>
            <w:r w:rsidR="003B4A71">
              <w:rPr>
                <w:noProof/>
                <w:webHidden/>
              </w:rPr>
              <w:tab/>
            </w:r>
            <w:r w:rsidR="003B4A71">
              <w:rPr>
                <w:noProof/>
                <w:webHidden/>
              </w:rPr>
              <w:fldChar w:fldCharType="begin"/>
            </w:r>
            <w:r w:rsidR="003B4A71">
              <w:rPr>
                <w:noProof/>
                <w:webHidden/>
              </w:rPr>
              <w:instrText xml:space="preserve"> PAGEREF _Toc99267638 \h </w:instrText>
            </w:r>
            <w:r w:rsidR="003B4A71">
              <w:rPr>
                <w:noProof/>
                <w:webHidden/>
              </w:rPr>
            </w:r>
            <w:r w:rsidR="003B4A71">
              <w:rPr>
                <w:noProof/>
                <w:webHidden/>
              </w:rPr>
              <w:fldChar w:fldCharType="separate"/>
            </w:r>
            <w:r w:rsidR="002101E0">
              <w:rPr>
                <w:noProof/>
                <w:webHidden/>
              </w:rPr>
              <w:t>38</w:t>
            </w:r>
            <w:r w:rsidR="003B4A71">
              <w:rPr>
                <w:noProof/>
                <w:webHidden/>
              </w:rPr>
              <w:fldChar w:fldCharType="end"/>
            </w:r>
          </w:hyperlink>
        </w:p>
        <w:p w14:paraId="58A3926A" w14:textId="2C8F5D90"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39" w:history="1">
            <w:r w:rsidR="003B4A71" w:rsidRPr="006D5901">
              <w:rPr>
                <w:rStyle w:val="Hyperlink"/>
                <w:noProof/>
                <w:lang w:bidi="en-US"/>
              </w:rPr>
              <w:t>Training Loads During the Preseason Training Phase</w:t>
            </w:r>
            <w:r w:rsidR="003B4A71">
              <w:rPr>
                <w:noProof/>
                <w:webHidden/>
              </w:rPr>
              <w:tab/>
            </w:r>
            <w:r w:rsidR="003B4A71">
              <w:rPr>
                <w:noProof/>
                <w:webHidden/>
              </w:rPr>
              <w:fldChar w:fldCharType="begin"/>
            </w:r>
            <w:r w:rsidR="003B4A71">
              <w:rPr>
                <w:noProof/>
                <w:webHidden/>
              </w:rPr>
              <w:instrText xml:space="preserve"> PAGEREF _Toc99267639 \h </w:instrText>
            </w:r>
            <w:r w:rsidR="003B4A71">
              <w:rPr>
                <w:noProof/>
                <w:webHidden/>
              </w:rPr>
            </w:r>
            <w:r w:rsidR="003B4A71">
              <w:rPr>
                <w:noProof/>
                <w:webHidden/>
              </w:rPr>
              <w:fldChar w:fldCharType="separate"/>
            </w:r>
            <w:r w:rsidR="002101E0">
              <w:rPr>
                <w:noProof/>
                <w:webHidden/>
              </w:rPr>
              <w:t>38</w:t>
            </w:r>
            <w:r w:rsidR="003B4A71">
              <w:rPr>
                <w:noProof/>
                <w:webHidden/>
              </w:rPr>
              <w:fldChar w:fldCharType="end"/>
            </w:r>
          </w:hyperlink>
        </w:p>
        <w:p w14:paraId="1634C467" w14:textId="4A2D2452"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40" w:history="1">
            <w:r w:rsidR="003B4A71" w:rsidRPr="006D5901">
              <w:rPr>
                <w:rStyle w:val="Hyperlink"/>
                <w:rFonts w:cs="Times New Roman"/>
                <w:bCs/>
                <w:iCs/>
                <w:noProof/>
              </w:rPr>
              <w:t>External Training Load</w:t>
            </w:r>
            <w:r w:rsidR="003B4A71">
              <w:rPr>
                <w:noProof/>
                <w:webHidden/>
              </w:rPr>
              <w:tab/>
            </w:r>
            <w:r w:rsidR="003B4A71">
              <w:rPr>
                <w:noProof/>
                <w:webHidden/>
              </w:rPr>
              <w:fldChar w:fldCharType="begin"/>
            </w:r>
            <w:r w:rsidR="003B4A71">
              <w:rPr>
                <w:noProof/>
                <w:webHidden/>
              </w:rPr>
              <w:instrText xml:space="preserve"> PAGEREF _Toc99267640 \h </w:instrText>
            </w:r>
            <w:r w:rsidR="003B4A71">
              <w:rPr>
                <w:noProof/>
                <w:webHidden/>
              </w:rPr>
            </w:r>
            <w:r w:rsidR="003B4A71">
              <w:rPr>
                <w:noProof/>
                <w:webHidden/>
              </w:rPr>
              <w:fldChar w:fldCharType="separate"/>
            </w:r>
            <w:r w:rsidR="002101E0">
              <w:rPr>
                <w:noProof/>
                <w:webHidden/>
              </w:rPr>
              <w:t>38</w:t>
            </w:r>
            <w:r w:rsidR="003B4A71">
              <w:rPr>
                <w:noProof/>
                <w:webHidden/>
              </w:rPr>
              <w:fldChar w:fldCharType="end"/>
            </w:r>
          </w:hyperlink>
        </w:p>
        <w:p w14:paraId="015F595F" w14:textId="1EB4082D"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41" w:history="1">
            <w:r w:rsidR="003B4A71" w:rsidRPr="006D5901">
              <w:rPr>
                <w:rStyle w:val="Hyperlink"/>
                <w:rFonts w:cs="Times New Roman"/>
                <w:bCs/>
                <w:iCs/>
                <w:noProof/>
              </w:rPr>
              <w:t>Internal Training Load</w:t>
            </w:r>
            <w:r w:rsidR="003B4A71">
              <w:rPr>
                <w:noProof/>
                <w:webHidden/>
              </w:rPr>
              <w:tab/>
            </w:r>
            <w:r w:rsidR="003B4A71">
              <w:rPr>
                <w:noProof/>
                <w:webHidden/>
              </w:rPr>
              <w:fldChar w:fldCharType="begin"/>
            </w:r>
            <w:r w:rsidR="003B4A71">
              <w:rPr>
                <w:noProof/>
                <w:webHidden/>
              </w:rPr>
              <w:instrText xml:space="preserve"> PAGEREF _Toc99267641 \h </w:instrText>
            </w:r>
            <w:r w:rsidR="003B4A71">
              <w:rPr>
                <w:noProof/>
                <w:webHidden/>
              </w:rPr>
            </w:r>
            <w:r w:rsidR="003B4A71">
              <w:rPr>
                <w:noProof/>
                <w:webHidden/>
              </w:rPr>
              <w:fldChar w:fldCharType="separate"/>
            </w:r>
            <w:r w:rsidR="002101E0">
              <w:rPr>
                <w:noProof/>
                <w:webHidden/>
              </w:rPr>
              <w:t>42</w:t>
            </w:r>
            <w:r w:rsidR="003B4A71">
              <w:rPr>
                <w:noProof/>
                <w:webHidden/>
              </w:rPr>
              <w:fldChar w:fldCharType="end"/>
            </w:r>
          </w:hyperlink>
        </w:p>
        <w:p w14:paraId="41F43C98" w14:textId="52CBB3BC"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42" w:history="1">
            <w:r w:rsidR="003B4A71" w:rsidRPr="006D5901">
              <w:rPr>
                <w:rStyle w:val="Hyperlink"/>
                <w:noProof/>
                <w:lang w:bidi="en-US"/>
              </w:rPr>
              <w:t>Countermovement Jump (CMJ) Results</w:t>
            </w:r>
            <w:r w:rsidR="003B4A71">
              <w:rPr>
                <w:noProof/>
                <w:webHidden/>
              </w:rPr>
              <w:tab/>
            </w:r>
            <w:r w:rsidR="003B4A71">
              <w:rPr>
                <w:noProof/>
                <w:webHidden/>
              </w:rPr>
              <w:fldChar w:fldCharType="begin"/>
            </w:r>
            <w:r w:rsidR="003B4A71">
              <w:rPr>
                <w:noProof/>
                <w:webHidden/>
              </w:rPr>
              <w:instrText xml:space="preserve"> PAGEREF _Toc99267642 \h </w:instrText>
            </w:r>
            <w:r w:rsidR="003B4A71">
              <w:rPr>
                <w:noProof/>
                <w:webHidden/>
              </w:rPr>
            </w:r>
            <w:r w:rsidR="003B4A71">
              <w:rPr>
                <w:noProof/>
                <w:webHidden/>
              </w:rPr>
              <w:fldChar w:fldCharType="separate"/>
            </w:r>
            <w:r w:rsidR="002101E0">
              <w:rPr>
                <w:noProof/>
                <w:webHidden/>
              </w:rPr>
              <w:t>44</w:t>
            </w:r>
            <w:r w:rsidR="003B4A71">
              <w:rPr>
                <w:noProof/>
                <w:webHidden/>
              </w:rPr>
              <w:fldChar w:fldCharType="end"/>
            </w:r>
          </w:hyperlink>
        </w:p>
        <w:p w14:paraId="51C57E11" w14:textId="0427300B"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43" w:history="1">
            <w:r w:rsidR="003B4A71" w:rsidRPr="006D5901">
              <w:rPr>
                <w:rStyle w:val="Hyperlink"/>
                <w:noProof/>
                <w:lang w:bidi="en-US"/>
              </w:rPr>
              <w:t>CMJ Performance Results Relative to Body Mass</w:t>
            </w:r>
            <w:r w:rsidR="003B4A71">
              <w:rPr>
                <w:noProof/>
                <w:webHidden/>
              </w:rPr>
              <w:tab/>
            </w:r>
            <w:r w:rsidR="003B4A71">
              <w:rPr>
                <w:noProof/>
                <w:webHidden/>
              </w:rPr>
              <w:fldChar w:fldCharType="begin"/>
            </w:r>
            <w:r w:rsidR="003B4A71">
              <w:rPr>
                <w:noProof/>
                <w:webHidden/>
              </w:rPr>
              <w:instrText xml:space="preserve"> PAGEREF _Toc99267643 \h </w:instrText>
            </w:r>
            <w:r w:rsidR="003B4A71">
              <w:rPr>
                <w:noProof/>
                <w:webHidden/>
              </w:rPr>
            </w:r>
            <w:r w:rsidR="003B4A71">
              <w:rPr>
                <w:noProof/>
                <w:webHidden/>
              </w:rPr>
              <w:fldChar w:fldCharType="separate"/>
            </w:r>
            <w:r w:rsidR="002101E0">
              <w:rPr>
                <w:noProof/>
                <w:webHidden/>
              </w:rPr>
              <w:t>48</w:t>
            </w:r>
            <w:r w:rsidR="003B4A71">
              <w:rPr>
                <w:noProof/>
                <w:webHidden/>
              </w:rPr>
              <w:fldChar w:fldCharType="end"/>
            </w:r>
          </w:hyperlink>
        </w:p>
        <w:p w14:paraId="2082383B" w14:textId="1163FCC5"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44" w:history="1">
            <w:r w:rsidR="003B4A71" w:rsidRPr="006D5901">
              <w:rPr>
                <w:rStyle w:val="Hyperlink"/>
                <w:noProof/>
                <w:lang w:bidi="en-US"/>
              </w:rPr>
              <w:t>Endocrine Response Results</w:t>
            </w:r>
            <w:r w:rsidR="003B4A71">
              <w:rPr>
                <w:noProof/>
                <w:webHidden/>
              </w:rPr>
              <w:tab/>
            </w:r>
            <w:r w:rsidR="003B4A71">
              <w:rPr>
                <w:noProof/>
                <w:webHidden/>
              </w:rPr>
              <w:fldChar w:fldCharType="begin"/>
            </w:r>
            <w:r w:rsidR="003B4A71">
              <w:rPr>
                <w:noProof/>
                <w:webHidden/>
              </w:rPr>
              <w:instrText xml:space="preserve"> PAGEREF _Toc99267644 \h </w:instrText>
            </w:r>
            <w:r w:rsidR="003B4A71">
              <w:rPr>
                <w:noProof/>
                <w:webHidden/>
              </w:rPr>
            </w:r>
            <w:r w:rsidR="003B4A71">
              <w:rPr>
                <w:noProof/>
                <w:webHidden/>
              </w:rPr>
              <w:fldChar w:fldCharType="separate"/>
            </w:r>
            <w:r w:rsidR="002101E0">
              <w:rPr>
                <w:noProof/>
                <w:webHidden/>
              </w:rPr>
              <w:t>49</w:t>
            </w:r>
            <w:r w:rsidR="003B4A71">
              <w:rPr>
                <w:noProof/>
                <w:webHidden/>
              </w:rPr>
              <w:fldChar w:fldCharType="end"/>
            </w:r>
          </w:hyperlink>
        </w:p>
        <w:p w14:paraId="3EB3F20C" w14:textId="3CE06C37"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45" w:history="1">
            <w:r w:rsidR="003B4A71" w:rsidRPr="006D5901">
              <w:rPr>
                <w:rStyle w:val="Hyperlink"/>
                <w:rFonts w:cs="Times New Roman"/>
                <w:bCs/>
                <w:iCs/>
                <w:noProof/>
              </w:rPr>
              <w:t>Testosterone</w:t>
            </w:r>
            <w:r w:rsidR="003B4A71">
              <w:rPr>
                <w:noProof/>
                <w:webHidden/>
              </w:rPr>
              <w:tab/>
            </w:r>
            <w:r w:rsidR="003B4A71">
              <w:rPr>
                <w:noProof/>
                <w:webHidden/>
              </w:rPr>
              <w:fldChar w:fldCharType="begin"/>
            </w:r>
            <w:r w:rsidR="003B4A71">
              <w:rPr>
                <w:noProof/>
                <w:webHidden/>
              </w:rPr>
              <w:instrText xml:space="preserve"> PAGEREF _Toc99267645 \h </w:instrText>
            </w:r>
            <w:r w:rsidR="003B4A71">
              <w:rPr>
                <w:noProof/>
                <w:webHidden/>
              </w:rPr>
            </w:r>
            <w:r w:rsidR="003B4A71">
              <w:rPr>
                <w:noProof/>
                <w:webHidden/>
              </w:rPr>
              <w:fldChar w:fldCharType="separate"/>
            </w:r>
            <w:r w:rsidR="002101E0">
              <w:rPr>
                <w:noProof/>
                <w:webHidden/>
              </w:rPr>
              <w:t>50</w:t>
            </w:r>
            <w:r w:rsidR="003B4A71">
              <w:rPr>
                <w:noProof/>
                <w:webHidden/>
              </w:rPr>
              <w:fldChar w:fldCharType="end"/>
            </w:r>
          </w:hyperlink>
        </w:p>
        <w:p w14:paraId="18597C32" w14:textId="253B996D"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46" w:history="1">
            <w:r w:rsidR="003B4A71" w:rsidRPr="006D5901">
              <w:rPr>
                <w:rStyle w:val="Hyperlink"/>
                <w:rFonts w:cs="Times New Roman"/>
                <w:bCs/>
                <w:iCs/>
                <w:noProof/>
              </w:rPr>
              <w:t>Cortisol</w:t>
            </w:r>
            <w:r w:rsidR="003B4A71">
              <w:rPr>
                <w:noProof/>
                <w:webHidden/>
              </w:rPr>
              <w:tab/>
            </w:r>
            <w:r w:rsidR="003B4A71">
              <w:rPr>
                <w:noProof/>
                <w:webHidden/>
              </w:rPr>
              <w:fldChar w:fldCharType="begin"/>
            </w:r>
            <w:r w:rsidR="003B4A71">
              <w:rPr>
                <w:noProof/>
                <w:webHidden/>
              </w:rPr>
              <w:instrText xml:space="preserve"> PAGEREF _Toc99267646 \h </w:instrText>
            </w:r>
            <w:r w:rsidR="003B4A71">
              <w:rPr>
                <w:noProof/>
                <w:webHidden/>
              </w:rPr>
            </w:r>
            <w:r w:rsidR="003B4A71">
              <w:rPr>
                <w:noProof/>
                <w:webHidden/>
              </w:rPr>
              <w:fldChar w:fldCharType="separate"/>
            </w:r>
            <w:r w:rsidR="002101E0">
              <w:rPr>
                <w:noProof/>
                <w:webHidden/>
              </w:rPr>
              <w:t>50</w:t>
            </w:r>
            <w:r w:rsidR="003B4A71">
              <w:rPr>
                <w:noProof/>
                <w:webHidden/>
              </w:rPr>
              <w:fldChar w:fldCharType="end"/>
            </w:r>
          </w:hyperlink>
        </w:p>
        <w:p w14:paraId="3BFE48BB" w14:textId="2935F39B"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47" w:history="1">
            <w:r w:rsidR="003B4A71" w:rsidRPr="006D5901">
              <w:rPr>
                <w:rStyle w:val="Hyperlink"/>
                <w:rFonts w:cs="Times New Roman"/>
                <w:bCs/>
                <w:iCs/>
                <w:noProof/>
              </w:rPr>
              <w:t>Testosterone:Cortisol Ratio</w:t>
            </w:r>
            <w:r w:rsidR="003B4A71">
              <w:rPr>
                <w:noProof/>
                <w:webHidden/>
              </w:rPr>
              <w:tab/>
            </w:r>
            <w:r w:rsidR="003B4A71">
              <w:rPr>
                <w:noProof/>
                <w:webHidden/>
              </w:rPr>
              <w:fldChar w:fldCharType="begin"/>
            </w:r>
            <w:r w:rsidR="003B4A71">
              <w:rPr>
                <w:noProof/>
                <w:webHidden/>
              </w:rPr>
              <w:instrText xml:space="preserve"> PAGEREF _Toc99267647 \h </w:instrText>
            </w:r>
            <w:r w:rsidR="003B4A71">
              <w:rPr>
                <w:noProof/>
                <w:webHidden/>
              </w:rPr>
            </w:r>
            <w:r w:rsidR="003B4A71">
              <w:rPr>
                <w:noProof/>
                <w:webHidden/>
              </w:rPr>
              <w:fldChar w:fldCharType="separate"/>
            </w:r>
            <w:r w:rsidR="002101E0">
              <w:rPr>
                <w:noProof/>
                <w:webHidden/>
              </w:rPr>
              <w:t>51</w:t>
            </w:r>
            <w:r w:rsidR="003B4A71">
              <w:rPr>
                <w:noProof/>
                <w:webHidden/>
              </w:rPr>
              <w:fldChar w:fldCharType="end"/>
            </w:r>
          </w:hyperlink>
        </w:p>
        <w:p w14:paraId="2538FB1D" w14:textId="4E811722"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48" w:history="1">
            <w:r w:rsidR="003B4A71" w:rsidRPr="006D5901">
              <w:rPr>
                <w:rStyle w:val="Hyperlink"/>
                <w:noProof/>
                <w:lang w:bidi="en-US"/>
              </w:rPr>
              <w:t>Discussion</w:t>
            </w:r>
            <w:r w:rsidR="003B4A71">
              <w:rPr>
                <w:noProof/>
                <w:webHidden/>
              </w:rPr>
              <w:tab/>
            </w:r>
            <w:r w:rsidR="003B4A71">
              <w:rPr>
                <w:noProof/>
                <w:webHidden/>
              </w:rPr>
              <w:fldChar w:fldCharType="begin"/>
            </w:r>
            <w:r w:rsidR="003B4A71">
              <w:rPr>
                <w:noProof/>
                <w:webHidden/>
              </w:rPr>
              <w:instrText xml:space="preserve"> PAGEREF _Toc99267648 \h </w:instrText>
            </w:r>
            <w:r w:rsidR="003B4A71">
              <w:rPr>
                <w:noProof/>
                <w:webHidden/>
              </w:rPr>
            </w:r>
            <w:r w:rsidR="003B4A71">
              <w:rPr>
                <w:noProof/>
                <w:webHidden/>
              </w:rPr>
              <w:fldChar w:fldCharType="separate"/>
            </w:r>
            <w:r w:rsidR="002101E0">
              <w:rPr>
                <w:noProof/>
                <w:webHidden/>
              </w:rPr>
              <w:t>58</w:t>
            </w:r>
            <w:r w:rsidR="003B4A71">
              <w:rPr>
                <w:noProof/>
                <w:webHidden/>
              </w:rPr>
              <w:fldChar w:fldCharType="end"/>
            </w:r>
          </w:hyperlink>
        </w:p>
        <w:p w14:paraId="16063E76" w14:textId="34066C0B"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49" w:history="1">
            <w:r w:rsidR="003B4A71" w:rsidRPr="006D5901">
              <w:rPr>
                <w:rStyle w:val="Hyperlink"/>
                <w:rFonts w:cs="Times New Roman"/>
                <w:bCs/>
                <w:iCs/>
                <w:noProof/>
              </w:rPr>
              <w:t>External Training Load</w:t>
            </w:r>
            <w:r w:rsidR="003B4A71">
              <w:rPr>
                <w:noProof/>
                <w:webHidden/>
              </w:rPr>
              <w:tab/>
            </w:r>
            <w:r w:rsidR="003B4A71">
              <w:rPr>
                <w:noProof/>
                <w:webHidden/>
              </w:rPr>
              <w:fldChar w:fldCharType="begin"/>
            </w:r>
            <w:r w:rsidR="003B4A71">
              <w:rPr>
                <w:noProof/>
                <w:webHidden/>
              </w:rPr>
              <w:instrText xml:space="preserve"> PAGEREF _Toc99267649 \h </w:instrText>
            </w:r>
            <w:r w:rsidR="003B4A71">
              <w:rPr>
                <w:noProof/>
                <w:webHidden/>
              </w:rPr>
            </w:r>
            <w:r w:rsidR="003B4A71">
              <w:rPr>
                <w:noProof/>
                <w:webHidden/>
              </w:rPr>
              <w:fldChar w:fldCharType="separate"/>
            </w:r>
            <w:r w:rsidR="002101E0">
              <w:rPr>
                <w:noProof/>
                <w:webHidden/>
              </w:rPr>
              <w:t>58</w:t>
            </w:r>
            <w:r w:rsidR="003B4A71">
              <w:rPr>
                <w:noProof/>
                <w:webHidden/>
              </w:rPr>
              <w:fldChar w:fldCharType="end"/>
            </w:r>
          </w:hyperlink>
        </w:p>
        <w:p w14:paraId="0896EDD1" w14:textId="40B5D68E"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50" w:history="1">
            <w:r w:rsidR="003B4A71" w:rsidRPr="006D5901">
              <w:rPr>
                <w:rStyle w:val="Hyperlink"/>
                <w:rFonts w:cs="Times New Roman"/>
                <w:bCs/>
                <w:iCs/>
                <w:noProof/>
              </w:rPr>
              <w:t>Internal Training Load</w:t>
            </w:r>
            <w:r w:rsidR="003B4A71">
              <w:rPr>
                <w:noProof/>
                <w:webHidden/>
              </w:rPr>
              <w:tab/>
            </w:r>
            <w:r w:rsidR="003B4A71">
              <w:rPr>
                <w:noProof/>
                <w:webHidden/>
              </w:rPr>
              <w:fldChar w:fldCharType="begin"/>
            </w:r>
            <w:r w:rsidR="003B4A71">
              <w:rPr>
                <w:noProof/>
                <w:webHidden/>
              </w:rPr>
              <w:instrText xml:space="preserve"> PAGEREF _Toc99267650 \h </w:instrText>
            </w:r>
            <w:r w:rsidR="003B4A71">
              <w:rPr>
                <w:noProof/>
                <w:webHidden/>
              </w:rPr>
            </w:r>
            <w:r w:rsidR="003B4A71">
              <w:rPr>
                <w:noProof/>
                <w:webHidden/>
              </w:rPr>
              <w:fldChar w:fldCharType="separate"/>
            </w:r>
            <w:r w:rsidR="002101E0">
              <w:rPr>
                <w:noProof/>
                <w:webHidden/>
              </w:rPr>
              <w:t>59</w:t>
            </w:r>
            <w:r w:rsidR="003B4A71">
              <w:rPr>
                <w:noProof/>
                <w:webHidden/>
              </w:rPr>
              <w:fldChar w:fldCharType="end"/>
            </w:r>
          </w:hyperlink>
        </w:p>
        <w:p w14:paraId="212E2034" w14:textId="3BE4D009"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51" w:history="1">
            <w:r w:rsidR="003B4A71" w:rsidRPr="006D5901">
              <w:rPr>
                <w:rStyle w:val="Hyperlink"/>
                <w:rFonts w:cs="Times New Roman"/>
                <w:bCs/>
                <w:iCs/>
                <w:noProof/>
              </w:rPr>
              <w:t>Countermovement Jump</w:t>
            </w:r>
            <w:r w:rsidR="003B4A71">
              <w:rPr>
                <w:noProof/>
                <w:webHidden/>
              </w:rPr>
              <w:tab/>
            </w:r>
            <w:r w:rsidR="003B4A71">
              <w:rPr>
                <w:noProof/>
                <w:webHidden/>
              </w:rPr>
              <w:fldChar w:fldCharType="begin"/>
            </w:r>
            <w:r w:rsidR="003B4A71">
              <w:rPr>
                <w:noProof/>
                <w:webHidden/>
              </w:rPr>
              <w:instrText xml:space="preserve"> PAGEREF _Toc99267651 \h </w:instrText>
            </w:r>
            <w:r w:rsidR="003B4A71">
              <w:rPr>
                <w:noProof/>
                <w:webHidden/>
              </w:rPr>
            </w:r>
            <w:r w:rsidR="003B4A71">
              <w:rPr>
                <w:noProof/>
                <w:webHidden/>
              </w:rPr>
              <w:fldChar w:fldCharType="separate"/>
            </w:r>
            <w:r w:rsidR="002101E0">
              <w:rPr>
                <w:noProof/>
                <w:webHidden/>
              </w:rPr>
              <w:t>60</w:t>
            </w:r>
            <w:r w:rsidR="003B4A71">
              <w:rPr>
                <w:noProof/>
                <w:webHidden/>
              </w:rPr>
              <w:fldChar w:fldCharType="end"/>
            </w:r>
          </w:hyperlink>
        </w:p>
        <w:p w14:paraId="019623FD" w14:textId="2B4E4586"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52" w:history="1">
            <w:r w:rsidR="003B4A71" w:rsidRPr="006D5901">
              <w:rPr>
                <w:rStyle w:val="Hyperlink"/>
                <w:rFonts w:cs="Times New Roman"/>
                <w:bCs/>
                <w:iCs/>
                <w:noProof/>
              </w:rPr>
              <w:t>Countermovement Jump Relative to Body Mass</w:t>
            </w:r>
            <w:r w:rsidR="003B4A71">
              <w:rPr>
                <w:noProof/>
                <w:webHidden/>
              </w:rPr>
              <w:tab/>
            </w:r>
            <w:r w:rsidR="003B4A71">
              <w:rPr>
                <w:noProof/>
                <w:webHidden/>
              </w:rPr>
              <w:fldChar w:fldCharType="begin"/>
            </w:r>
            <w:r w:rsidR="003B4A71">
              <w:rPr>
                <w:noProof/>
                <w:webHidden/>
              </w:rPr>
              <w:instrText xml:space="preserve"> PAGEREF _Toc99267652 \h </w:instrText>
            </w:r>
            <w:r w:rsidR="003B4A71">
              <w:rPr>
                <w:noProof/>
                <w:webHidden/>
              </w:rPr>
            </w:r>
            <w:r w:rsidR="003B4A71">
              <w:rPr>
                <w:noProof/>
                <w:webHidden/>
              </w:rPr>
              <w:fldChar w:fldCharType="separate"/>
            </w:r>
            <w:r w:rsidR="002101E0">
              <w:rPr>
                <w:noProof/>
                <w:webHidden/>
              </w:rPr>
              <w:t>60</w:t>
            </w:r>
            <w:r w:rsidR="003B4A71">
              <w:rPr>
                <w:noProof/>
                <w:webHidden/>
              </w:rPr>
              <w:fldChar w:fldCharType="end"/>
            </w:r>
          </w:hyperlink>
        </w:p>
        <w:p w14:paraId="77EF641E" w14:textId="1A94883D"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53" w:history="1">
            <w:r w:rsidR="003B4A71" w:rsidRPr="006D5901">
              <w:rPr>
                <w:rStyle w:val="Hyperlink"/>
                <w:rFonts w:cs="Times New Roman"/>
                <w:bCs/>
                <w:iCs/>
                <w:noProof/>
              </w:rPr>
              <w:t>Endocrine Responses</w:t>
            </w:r>
            <w:r w:rsidR="003B4A71">
              <w:rPr>
                <w:noProof/>
                <w:webHidden/>
              </w:rPr>
              <w:tab/>
            </w:r>
            <w:r w:rsidR="003B4A71">
              <w:rPr>
                <w:noProof/>
                <w:webHidden/>
              </w:rPr>
              <w:fldChar w:fldCharType="begin"/>
            </w:r>
            <w:r w:rsidR="003B4A71">
              <w:rPr>
                <w:noProof/>
                <w:webHidden/>
              </w:rPr>
              <w:instrText xml:space="preserve"> PAGEREF _Toc99267653 \h </w:instrText>
            </w:r>
            <w:r w:rsidR="003B4A71">
              <w:rPr>
                <w:noProof/>
                <w:webHidden/>
              </w:rPr>
            </w:r>
            <w:r w:rsidR="003B4A71">
              <w:rPr>
                <w:noProof/>
                <w:webHidden/>
              </w:rPr>
              <w:fldChar w:fldCharType="separate"/>
            </w:r>
            <w:r w:rsidR="002101E0">
              <w:rPr>
                <w:noProof/>
                <w:webHidden/>
              </w:rPr>
              <w:t>61</w:t>
            </w:r>
            <w:r w:rsidR="003B4A71">
              <w:rPr>
                <w:noProof/>
                <w:webHidden/>
              </w:rPr>
              <w:fldChar w:fldCharType="end"/>
            </w:r>
          </w:hyperlink>
        </w:p>
        <w:p w14:paraId="35E0D07B" w14:textId="2E9DA68B" w:rsidR="003B4A71" w:rsidRDefault="00A84B98">
          <w:pPr>
            <w:pStyle w:val="TOC1"/>
            <w:rPr>
              <w:rFonts w:asciiTheme="minorHAnsi" w:eastAsiaTheme="minorEastAsia" w:hAnsiTheme="minorHAnsi" w:cstheme="minorBidi"/>
              <w:b w:val="0"/>
              <w:bCs w:val="0"/>
              <w:iCs w:val="0"/>
              <w:lang w:bidi="ar-SA"/>
            </w:rPr>
          </w:pPr>
          <w:hyperlink w:anchor="_Toc99267654" w:history="1">
            <w:r w:rsidR="003B4A71" w:rsidRPr="006D5901">
              <w:rPr>
                <w:rStyle w:val="Hyperlink"/>
              </w:rPr>
              <w:t>Chapter V: Conclusion</w:t>
            </w:r>
            <w:r w:rsidR="003B4A71">
              <w:rPr>
                <w:webHidden/>
              </w:rPr>
              <w:tab/>
            </w:r>
            <w:r w:rsidR="003B4A71">
              <w:rPr>
                <w:webHidden/>
              </w:rPr>
              <w:fldChar w:fldCharType="begin"/>
            </w:r>
            <w:r w:rsidR="003B4A71">
              <w:rPr>
                <w:webHidden/>
              </w:rPr>
              <w:instrText xml:space="preserve"> PAGEREF _Toc99267654 \h </w:instrText>
            </w:r>
            <w:r w:rsidR="003B4A71">
              <w:rPr>
                <w:webHidden/>
              </w:rPr>
            </w:r>
            <w:r w:rsidR="003B4A71">
              <w:rPr>
                <w:webHidden/>
              </w:rPr>
              <w:fldChar w:fldCharType="separate"/>
            </w:r>
            <w:r w:rsidR="002101E0">
              <w:rPr>
                <w:webHidden/>
              </w:rPr>
              <w:t>65</w:t>
            </w:r>
            <w:r w:rsidR="003B4A71">
              <w:rPr>
                <w:webHidden/>
              </w:rPr>
              <w:fldChar w:fldCharType="end"/>
            </w:r>
          </w:hyperlink>
        </w:p>
        <w:p w14:paraId="0CAACE30" w14:textId="4CAA8A7C"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55" w:history="1">
            <w:r w:rsidR="003B4A71" w:rsidRPr="006D5901">
              <w:rPr>
                <w:rStyle w:val="Hyperlink"/>
                <w:noProof/>
                <w:lang w:bidi="en-US"/>
              </w:rPr>
              <w:t>Research Questions</w:t>
            </w:r>
            <w:r w:rsidR="003B4A71">
              <w:rPr>
                <w:noProof/>
                <w:webHidden/>
              </w:rPr>
              <w:tab/>
            </w:r>
            <w:r w:rsidR="003B4A71">
              <w:rPr>
                <w:noProof/>
                <w:webHidden/>
              </w:rPr>
              <w:fldChar w:fldCharType="begin"/>
            </w:r>
            <w:r w:rsidR="003B4A71">
              <w:rPr>
                <w:noProof/>
                <w:webHidden/>
              </w:rPr>
              <w:instrText xml:space="preserve"> PAGEREF _Toc99267655 \h </w:instrText>
            </w:r>
            <w:r w:rsidR="003B4A71">
              <w:rPr>
                <w:noProof/>
                <w:webHidden/>
              </w:rPr>
            </w:r>
            <w:r w:rsidR="003B4A71">
              <w:rPr>
                <w:noProof/>
                <w:webHidden/>
              </w:rPr>
              <w:fldChar w:fldCharType="separate"/>
            </w:r>
            <w:r w:rsidR="002101E0">
              <w:rPr>
                <w:noProof/>
                <w:webHidden/>
              </w:rPr>
              <w:t>65</w:t>
            </w:r>
            <w:r w:rsidR="003B4A71">
              <w:rPr>
                <w:noProof/>
                <w:webHidden/>
              </w:rPr>
              <w:fldChar w:fldCharType="end"/>
            </w:r>
          </w:hyperlink>
        </w:p>
        <w:p w14:paraId="0FB4B034" w14:textId="2F5A2A47"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56" w:history="1">
            <w:r w:rsidR="003B4A71" w:rsidRPr="006D5901">
              <w:rPr>
                <w:rStyle w:val="Hyperlink"/>
                <w:rFonts w:cs="Times New Roman"/>
                <w:bCs/>
                <w:iCs/>
                <w:noProof/>
              </w:rPr>
              <w:t>Research Question 1</w:t>
            </w:r>
            <w:r w:rsidR="003B4A71">
              <w:rPr>
                <w:noProof/>
                <w:webHidden/>
              </w:rPr>
              <w:tab/>
            </w:r>
            <w:r w:rsidR="003B4A71">
              <w:rPr>
                <w:noProof/>
                <w:webHidden/>
              </w:rPr>
              <w:fldChar w:fldCharType="begin"/>
            </w:r>
            <w:r w:rsidR="003B4A71">
              <w:rPr>
                <w:noProof/>
                <w:webHidden/>
              </w:rPr>
              <w:instrText xml:space="preserve"> PAGEREF _Toc99267656 \h </w:instrText>
            </w:r>
            <w:r w:rsidR="003B4A71">
              <w:rPr>
                <w:noProof/>
                <w:webHidden/>
              </w:rPr>
            </w:r>
            <w:r w:rsidR="003B4A71">
              <w:rPr>
                <w:noProof/>
                <w:webHidden/>
              </w:rPr>
              <w:fldChar w:fldCharType="separate"/>
            </w:r>
            <w:r w:rsidR="002101E0">
              <w:rPr>
                <w:noProof/>
                <w:webHidden/>
              </w:rPr>
              <w:t>65</w:t>
            </w:r>
            <w:r w:rsidR="003B4A71">
              <w:rPr>
                <w:noProof/>
                <w:webHidden/>
              </w:rPr>
              <w:fldChar w:fldCharType="end"/>
            </w:r>
          </w:hyperlink>
        </w:p>
        <w:p w14:paraId="21D8672D" w14:textId="00BB618D"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57" w:history="1">
            <w:r w:rsidR="003B4A71" w:rsidRPr="006D5901">
              <w:rPr>
                <w:rStyle w:val="Hyperlink"/>
                <w:rFonts w:cs="Times New Roman"/>
                <w:bCs/>
                <w:iCs/>
                <w:noProof/>
              </w:rPr>
              <w:t>Hypothesis 1</w:t>
            </w:r>
            <w:r w:rsidR="003B4A71">
              <w:rPr>
                <w:noProof/>
                <w:webHidden/>
              </w:rPr>
              <w:tab/>
            </w:r>
            <w:r w:rsidR="003B4A71">
              <w:rPr>
                <w:noProof/>
                <w:webHidden/>
              </w:rPr>
              <w:fldChar w:fldCharType="begin"/>
            </w:r>
            <w:r w:rsidR="003B4A71">
              <w:rPr>
                <w:noProof/>
                <w:webHidden/>
              </w:rPr>
              <w:instrText xml:space="preserve"> PAGEREF _Toc99267657 \h </w:instrText>
            </w:r>
            <w:r w:rsidR="003B4A71">
              <w:rPr>
                <w:noProof/>
                <w:webHidden/>
              </w:rPr>
            </w:r>
            <w:r w:rsidR="003B4A71">
              <w:rPr>
                <w:noProof/>
                <w:webHidden/>
              </w:rPr>
              <w:fldChar w:fldCharType="separate"/>
            </w:r>
            <w:r w:rsidR="002101E0">
              <w:rPr>
                <w:noProof/>
                <w:webHidden/>
              </w:rPr>
              <w:t>65</w:t>
            </w:r>
            <w:r w:rsidR="003B4A71">
              <w:rPr>
                <w:noProof/>
                <w:webHidden/>
              </w:rPr>
              <w:fldChar w:fldCharType="end"/>
            </w:r>
          </w:hyperlink>
        </w:p>
        <w:p w14:paraId="05FAEA3D" w14:textId="422D6E27"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58" w:history="1">
            <w:r w:rsidR="003B4A71" w:rsidRPr="006D5901">
              <w:rPr>
                <w:rStyle w:val="Hyperlink"/>
                <w:rFonts w:cs="Times New Roman"/>
                <w:bCs/>
                <w:iCs/>
                <w:noProof/>
              </w:rPr>
              <w:t>Research Question 2</w:t>
            </w:r>
            <w:r w:rsidR="003B4A71">
              <w:rPr>
                <w:noProof/>
                <w:webHidden/>
              </w:rPr>
              <w:tab/>
            </w:r>
            <w:r w:rsidR="003B4A71">
              <w:rPr>
                <w:noProof/>
                <w:webHidden/>
              </w:rPr>
              <w:fldChar w:fldCharType="begin"/>
            </w:r>
            <w:r w:rsidR="003B4A71">
              <w:rPr>
                <w:noProof/>
                <w:webHidden/>
              </w:rPr>
              <w:instrText xml:space="preserve"> PAGEREF _Toc99267658 \h </w:instrText>
            </w:r>
            <w:r w:rsidR="003B4A71">
              <w:rPr>
                <w:noProof/>
                <w:webHidden/>
              </w:rPr>
            </w:r>
            <w:r w:rsidR="003B4A71">
              <w:rPr>
                <w:noProof/>
                <w:webHidden/>
              </w:rPr>
              <w:fldChar w:fldCharType="separate"/>
            </w:r>
            <w:r w:rsidR="002101E0">
              <w:rPr>
                <w:noProof/>
                <w:webHidden/>
              </w:rPr>
              <w:t>65</w:t>
            </w:r>
            <w:r w:rsidR="003B4A71">
              <w:rPr>
                <w:noProof/>
                <w:webHidden/>
              </w:rPr>
              <w:fldChar w:fldCharType="end"/>
            </w:r>
          </w:hyperlink>
        </w:p>
        <w:p w14:paraId="05F8E52E" w14:textId="48B0BBAC"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59" w:history="1">
            <w:r w:rsidR="003B4A71" w:rsidRPr="006D5901">
              <w:rPr>
                <w:rStyle w:val="Hyperlink"/>
                <w:rFonts w:cs="Times New Roman"/>
                <w:bCs/>
                <w:iCs/>
                <w:noProof/>
              </w:rPr>
              <w:t>Hypothesis 2</w:t>
            </w:r>
            <w:r w:rsidR="003B4A71">
              <w:rPr>
                <w:noProof/>
                <w:webHidden/>
              </w:rPr>
              <w:tab/>
            </w:r>
            <w:r w:rsidR="003B4A71">
              <w:rPr>
                <w:noProof/>
                <w:webHidden/>
              </w:rPr>
              <w:fldChar w:fldCharType="begin"/>
            </w:r>
            <w:r w:rsidR="003B4A71">
              <w:rPr>
                <w:noProof/>
                <w:webHidden/>
              </w:rPr>
              <w:instrText xml:space="preserve"> PAGEREF _Toc99267659 \h </w:instrText>
            </w:r>
            <w:r w:rsidR="003B4A71">
              <w:rPr>
                <w:noProof/>
                <w:webHidden/>
              </w:rPr>
            </w:r>
            <w:r w:rsidR="003B4A71">
              <w:rPr>
                <w:noProof/>
                <w:webHidden/>
              </w:rPr>
              <w:fldChar w:fldCharType="separate"/>
            </w:r>
            <w:r w:rsidR="002101E0">
              <w:rPr>
                <w:noProof/>
                <w:webHidden/>
              </w:rPr>
              <w:t>66</w:t>
            </w:r>
            <w:r w:rsidR="003B4A71">
              <w:rPr>
                <w:noProof/>
                <w:webHidden/>
              </w:rPr>
              <w:fldChar w:fldCharType="end"/>
            </w:r>
          </w:hyperlink>
        </w:p>
        <w:p w14:paraId="387CBFF9" w14:textId="482B985F"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60" w:history="1">
            <w:r w:rsidR="003B4A71" w:rsidRPr="006D5901">
              <w:rPr>
                <w:rStyle w:val="Hyperlink"/>
                <w:rFonts w:cs="Times New Roman"/>
                <w:bCs/>
                <w:iCs/>
                <w:noProof/>
              </w:rPr>
              <w:t>Research Question 3</w:t>
            </w:r>
            <w:r w:rsidR="003B4A71">
              <w:rPr>
                <w:noProof/>
                <w:webHidden/>
              </w:rPr>
              <w:tab/>
            </w:r>
            <w:r w:rsidR="003B4A71">
              <w:rPr>
                <w:noProof/>
                <w:webHidden/>
              </w:rPr>
              <w:fldChar w:fldCharType="begin"/>
            </w:r>
            <w:r w:rsidR="003B4A71">
              <w:rPr>
                <w:noProof/>
                <w:webHidden/>
              </w:rPr>
              <w:instrText xml:space="preserve"> PAGEREF _Toc99267660 \h </w:instrText>
            </w:r>
            <w:r w:rsidR="003B4A71">
              <w:rPr>
                <w:noProof/>
                <w:webHidden/>
              </w:rPr>
            </w:r>
            <w:r w:rsidR="003B4A71">
              <w:rPr>
                <w:noProof/>
                <w:webHidden/>
              </w:rPr>
              <w:fldChar w:fldCharType="separate"/>
            </w:r>
            <w:r w:rsidR="002101E0">
              <w:rPr>
                <w:noProof/>
                <w:webHidden/>
              </w:rPr>
              <w:t>66</w:t>
            </w:r>
            <w:r w:rsidR="003B4A71">
              <w:rPr>
                <w:noProof/>
                <w:webHidden/>
              </w:rPr>
              <w:fldChar w:fldCharType="end"/>
            </w:r>
          </w:hyperlink>
        </w:p>
        <w:p w14:paraId="24DD7805" w14:textId="3CB2CCD5"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61" w:history="1">
            <w:r w:rsidR="003B4A71" w:rsidRPr="006D5901">
              <w:rPr>
                <w:rStyle w:val="Hyperlink"/>
                <w:rFonts w:cs="Times New Roman"/>
                <w:bCs/>
                <w:iCs/>
                <w:noProof/>
              </w:rPr>
              <w:t>Hypothesis 3</w:t>
            </w:r>
            <w:r w:rsidR="003B4A71">
              <w:rPr>
                <w:noProof/>
                <w:webHidden/>
              </w:rPr>
              <w:tab/>
            </w:r>
            <w:r w:rsidR="003B4A71">
              <w:rPr>
                <w:noProof/>
                <w:webHidden/>
              </w:rPr>
              <w:fldChar w:fldCharType="begin"/>
            </w:r>
            <w:r w:rsidR="003B4A71">
              <w:rPr>
                <w:noProof/>
                <w:webHidden/>
              </w:rPr>
              <w:instrText xml:space="preserve"> PAGEREF _Toc99267661 \h </w:instrText>
            </w:r>
            <w:r w:rsidR="003B4A71">
              <w:rPr>
                <w:noProof/>
                <w:webHidden/>
              </w:rPr>
            </w:r>
            <w:r w:rsidR="003B4A71">
              <w:rPr>
                <w:noProof/>
                <w:webHidden/>
              </w:rPr>
              <w:fldChar w:fldCharType="separate"/>
            </w:r>
            <w:r w:rsidR="002101E0">
              <w:rPr>
                <w:noProof/>
                <w:webHidden/>
              </w:rPr>
              <w:t>67</w:t>
            </w:r>
            <w:r w:rsidR="003B4A71">
              <w:rPr>
                <w:noProof/>
                <w:webHidden/>
              </w:rPr>
              <w:fldChar w:fldCharType="end"/>
            </w:r>
          </w:hyperlink>
        </w:p>
        <w:p w14:paraId="5F521302" w14:textId="79591842"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62" w:history="1">
            <w:r w:rsidR="003B4A71" w:rsidRPr="006D5901">
              <w:rPr>
                <w:rStyle w:val="Hyperlink"/>
                <w:rFonts w:cs="Times New Roman"/>
                <w:bCs/>
                <w:iCs/>
                <w:noProof/>
              </w:rPr>
              <w:t>Research Question 4</w:t>
            </w:r>
            <w:r w:rsidR="003B4A71">
              <w:rPr>
                <w:noProof/>
                <w:webHidden/>
              </w:rPr>
              <w:tab/>
            </w:r>
            <w:r w:rsidR="003B4A71">
              <w:rPr>
                <w:noProof/>
                <w:webHidden/>
              </w:rPr>
              <w:fldChar w:fldCharType="begin"/>
            </w:r>
            <w:r w:rsidR="003B4A71">
              <w:rPr>
                <w:noProof/>
                <w:webHidden/>
              </w:rPr>
              <w:instrText xml:space="preserve"> PAGEREF _Toc99267662 \h </w:instrText>
            </w:r>
            <w:r w:rsidR="003B4A71">
              <w:rPr>
                <w:noProof/>
                <w:webHidden/>
              </w:rPr>
            </w:r>
            <w:r w:rsidR="003B4A71">
              <w:rPr>
                <w:noProof/>
                <w:webHidden/>
              </w:rPr>
              <w:fldChar w:fldCharType="separate"/>
            </w:r>
            <w:r w:rsidR="002101E0">
              <w:rPr>
                <w:noProof/>
                <w:webHidden/>
              </w:rPr>
              <w:t>67</w:t>
            </w:r>
            <w:r w:rsidR="003B4A71">
              <w:rPr>
                <w:noProof/>
                <w:webHidden/>
              </w:rPr>
              <w:fldChar w:fldCharType="end"/>
            </w:r>
          </w:hyperlink>
        </w:p>
        <w:p w14:paraId="6AB02098" w14:textId="4D7B275F" w:rsidR="003B4A71" w:rsidRDefault="00A84B98">
          <w:pPr>
            <w:pStyle w:val="TOC3"/>
            <w:tabs>
              <w:tab w:val="right" w:leader="dot" w:pos="9350"/>
            </w:tabs>
            <w:rPr>
              <w:rFonts w:asciiTheme="minorHAnsi" w:eastAsiaTheme="minorEastAsia" w:hAnsiTheme="minorHAnsi" w:cstheme="minorBidi"/>
              <w:b w:val="0"/>
              <w:i w:val="0"/>
              <w:noProof/>
              <w:szCs w:val="24"/>
            </w:rPr>
          </w:pPr>
          <w:hyperlink w:anchor="_Toc99267663" w:history="1">
            <w:r w:rsidR="003B4A71" w:rsidRPr="006D5901">
              <w:rPr>
                <w:rStyle w:val="Hyperlink"/>
                <w:rFonts w:cs="Times New Roman"/>
                <w:bCs/>
                <w:iCs/>
                <w:noProof/>
              </w:rPr>
              <w:t>Hypothesis 4</w:t>
            </w:r>
            <w:r w:rsidR="003B4A71">
              <w:rPr>
                <w:noProof/>
                <w:webHidden/>
              </w:rPr>
              <w:tab/>
            </w:r>
            <w:r w:rsidR="003B4A71">
              <w:rPr>
                <w:noProof/>
                <w:webHidden/>
              </w:rPr>
              <w:fldChar w:fldCharType="begin"/>
            </w:r>
            <w:r w:rsidR="003B4A71">
              <w:rPr>
                <w:noProof/>
                <w:webHidden/>
              </w:rPr>
              <w:instrText xml:space="preserve"> PAGEREF _Toc99267663 \h </w:instrText>
            </w:r>
            <w:r w:rsidR="003B4A71">
              <w:rPr>
                <w:noProof/>
                <w:webHidden/>
              </w:rPr>
            </w:r>
            <w:r w:rsidR="003B4A71">
              <w:rPr>
                <w:noProof/>
                <w:webHidden/>
              </w:rPr>
              <w:fldChar w:fldCharType="separate"/>
            </w:r>
            <w:r w:rsidR="002101E0">
              <w:rPr>
                <w:noProof/>
                <w:webHidden/>
              </w:rPr>
              <w:t>67</w:t>
            </w:r>
            <w:r w:rsidR="003B4A71">
              <w:rPr>
                <w:noProof/>
                <w:webHidden/>
              </w:rPr>
              <w:fldChar w:fldCharType="end"/>
            </w:r>
          </w:hyperlink>
        </w:p>
        <w:p w14:paraId="01DF6481" w14:textId="5524BAAF"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64" w:history="1">
            <w:r w:rsidR="003B4A71" w:rsidRPr="006D5901">
              <w:rPr>
                <w:rStyle w:val="Hyperlink"/>
                <w:noProof/>
                <w:lang w:bidi="en-US"/>
              </w:rPr>
              <w:t>Practical Significance</w:t>
            </w:r>
            <w:r w:rsidR="003B4A71">
              <w:rPr>
                <w:noProof/>
                <w:webHidden/>
              </w:rPr>
              <w:tab/>
            </w:r>
            <w:r w:rsidR="003B4A71">
              <w:rPr>
                <w:noProof/>
                <w:webHidden/>
              </w:rPr>
              <w:fldChar w:fldCharType="begin"/>
            </w:r>
            <w:r w:rsidR="003B4A71">
              <w:rPr>
                <w:noProof/>
                <w:webHidden/>
              </w:rPr>
              <w:instrText xml:space="preserve"> PAGEREF _Toc99267664 \h </w:instrText>
            </w:r>
            <w:r w:rsidR="003B4A71">
              <w:rPr>
                <w:noProof/>
                <w:webHidden/>
              </w:rPr>
            </w:r>
            <w:r w:rsidR="003B4A71">
              <w:rPr>
                <w:noProof/>
                <w:webHidden/>
              </w:rPr>
              <w:fldChar w:fldCharType="separate"/>
            </w:r>
            <w:r w:rsidR="002101E0">
              <w:rPr>
                <w:noProof/>
                <w:webHidden/>
              </w:rPr>
              <w:t>67</w:t>
            </w:r>
            <w:r w:rsidR="003B4A71">
              <w:rPr>
                <w:noProof/>
                <w:webHidden/>
              </w:rPr>
              <w:fldChar w:fldCharType="end"/>
            </w:r>
          </w:hyperlink>
        </w:p>
        <w:p w14:paraId="721F50F2" w14:textId="03093C85"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65" w:history="1">
            <w:r w:rsidR="003B4A71" w:rsidRPr="006D5901">
              <w:rPr>
                <w:rStyle w:val="Hyperlink"/>
                <w:noProof/>
                <w:lang w:bidi="en-US"/>
              </w:rPr>
              <w:t>Suggestions for Future Research</w:t>
            </w:r>
            <w:r w:rsidR="003B4A71">
              <w:rPr>
                <w:noProof/>
                <w:webHidden/>
              </w:rPr>
              <w:tab/>
            </w:r>
            <w:r w:rsidR="003B4A71">
              <w:rPr>
                <w:noProof/>
                <w:webHidden/>
              </w:rPr>
              <w:fldChar w:fldCharType="begin"/>
            </w:r>
            <w:r w:rsidR="003B4A71">
              <w:rPr>
                <w:noProof/>
                <w:webHidden/>
              </w:rPr>
              <w:instrText xml:space="preserve"> PAGEREF _Toc99267665 \h </w:instrText>
            </w:r>
            <w:r w:rsidR="003B4A71">
              <w:rPr>
                <w:noProof/>
                <w:webHidden/>
              </w:rPr>
            </w:r>
            <w:r w:rsidR="003B4A71">
              <w:rPr>
                <w:noProof/>
                <w:webHidden/>
              </w:rPr>
              <w:fldChar w:fldCharType="separate"/>
            </w:r>
            <w:r w:rsidR="002101E0">
              <w:rPr>
                <w:noProof/>
                <w:webHidden/>
              </w:rPr>
              <w:t>68</w:t>
            </w:r>
            <w:r w:rsidR="003B4A71">
              <w:rPr>
                <w:noProof/>
                <w:webHidden/>
              </w:rPr>
              <w:fldChar w:fldCharType="end"/>
            </w:r>
          </w:hyperlink>
        </w:p>
        <w:p w14:paraId="36715AF0" w14:textId="44472421" w:rsidR="003B4A71" w:rsidRDefault="00A84B98">
          <w:pPr>
            <w:pStyle w:val="TOC1"/>
            <w:rPr>
              <w:rFonts w:asciiTheme="minorHAnsi" w:eastAsiaTheme="minorEastAsia" w:hAnsiTheme="minorHAnsi" w:cstheme="minorBidi"/>
              <w:b w:val="0"/>
              <w:bCs w:val="0"/>
              <w:iCs w:val="0"/>
              <w:lang w:bidi="ar-SA"/>
            </w:rPr>
          </w:pPr>
          <w:hyperlink w:anchor="_Toc99267666" w:history="1">
            <w:r w:rsidR="003B4A71" w:rsidRPr="006D5901">
              <w:rPr>
                <w:rStyle w:val="Hyperlink"/>
              </w:rPr>
              <w:t>References</w:t>
            </w:r>
            <w:r w:rsidR="003B4A71">
              <w:rPr>
                <w:webHidden/>
              </w:rPr>
              <w:tab/>
            </w:r>
            <w:r w:rsidR="003B4A71">
              <w:rPr>
                <w:webHidden/>
              </w:rPr>
              <w:fldChar w:fldCharType="begin"/>
            </w:r>
            <w:r w:rsidR="003B4A71">
              <w:rPr>
                <w:webHidden/>
              </w:rPr>
              <w:instrText xml:space="preserve"> PAGEREF _Toc99267666 \h </w:instrText>
            </w:r>
            <w:r w:rsidR="003B4A71">
              <w:rPr>
                <w:webHidden/>
              </w:rPr>
            </w:r>
            <w:r w:rsidR="003B4A71">
              <w:rPr>
                <w:webHidden/>
              </w:rPr>
              <w:fldChar w:fldCharType="separate"/>
            </w:r>
            <w:r w:rsidR="002101E0">
              <w:rPr>
                <w:webHidden/>
              </w:rPr>
              <w:t>69</w:t>
            </w:r>
            <w:r w:rsidR="003B4A71">
              <w:rPr>
                <w:webHidden/>
              </w:rPr>
              <w:fldChar w:fldCharType="end"/>
            </w:r>
          </w:hyperlink>
        </w:p>
        <w:p w14:paraId="35BA7FE1" w14:textId="120F3B5F" w:rsidR="003B4A71" w:rsidRDefault="00A84B98">
          <w:pPr>
            <w:pStyle w:val="TOC1"/>
            <w:rPr>
              <w:rFonts w:asciiTheme="minorHAnsi" w:eastAsiaTheme="minorEastAsia" w:hAnsiTheme="minorHAnsi" w:cstheme="minorBidi"/>
              <w:b w:val="0"/>
              <w:bCs w:val="0"/>
              <w:iCs w:val="0"/>
              <w:lang w:bidi="ar-SA"/>
            </w:rPr>
          </w:pPr>
          <w:hyperlink w:anchor="_Toc99267667" w:history="1">
            <w:r w:rsidR="003B4A71" w:rsidRPr="006D5901">
              <w:rPr>
                <w:rStyle w:val="Hyperlink"/>
              </w:rPr>
              <w:t>Appendices</w:t>
            </w:r>
            <w:r w:rsidR="003B4A71">
              <w:rPr>
                <w:webHidden/>
              </w:rPr>
              <w:tab/>
            </w:r>
            <w:r w:rsidR="003B4A71">
              <w:rPr>
                <w:webHidden/>
              </w:rPr>
              <w:fldChar w:fldCharType="begin"/>
            </w:r>
            <w:r w:rsidR="003B4A71">
              <w:rPr>
                <w:webHidden/>
              </w:rPr>
              <w:instrText xml:space="preserve"> PAGEREF _Toc99267667 \h </w:instrText>
            </w:r>
            <w:r w:rsidR="003B4A71">
              <w:rPr>
                <w:webHidden/>
              </w:rPr>
            </w:r>
            <w:r w:rsidR="003B4A71">
              <w:rPr>
                <w:webHidden/>
              </w:rPr>
              <w:fldChar w:fldCharType="separate"/>
            </w:r>
            <w:r w:rsidR="002101E0">
              <w:rPr>
                <w:webHidden/>
              </w:rPr>
              <w:t>87</w:t>
            </w:r>
            <w:r w:rsidR="003B4A71">
              <w:rPr>
                <w:webHidden/>
              </w:rPr>
              <w:fldChar w:fldCharType="end"/>
            </w:r>
          </w:hyperlink>
        </w:p>
        <w:p w14:paraId="4EC8BAA5" w14:textId="673307F9"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68" w:history="1">
            <w:r w:rsidR="003B4A71" w:rsidRPr="006D5901">
              <w:rPr>
                <w:rStyle w:val="Hyperlink"/>
                <w:noProof/>
                <w:lang w:bidi="en-US"/>
              </w:rPr>
              <w:t>Appendix A: IRB Approval Letter</w:t>
            </w:r>
            <w:r w:rsidR="003B4A71">
              <w:rPr>
                <w:noProof/>
                <w:webHidden/>
              </w:rPr>
              <w:tab/>
            </w:r>
            <w:r w:rsidR="003B4A71">
              <w:rPr>
                <w:noProof/>
                <w:webHidden/>
              </w:rPr>
              <w:fldChar w:fldCharType="begin"/>
            </w:r>
            <w:r w:rsidR="003B4A71">
              <w:rPr>
                <w:noProof/>
                <w:webHidden/>
              </w:rPr>
              <w:instrText xml:space="preserve"> PAGEREF _Toc99267668 \h </w:instrText>
            </w:r>
            <w:r w:rsidR="003B4A71">
              <w:rPr>
                <w:noProof/>
                <w:webHidden/>
              </w:rPr>
            </w:r>
            <w:r w:rsidR="003B4A71">
              <w:rPr>
                <w:noProof/>
                <w:webHidden/>
              </w:rPr>
              <w:fldChar w:fldCharType="separate"/>
            </w:r>
            <w:r w:rsidR="002101E0">
              <w:rPr>
                <w:noProof/>
                <w:webHidden/>
              </w:rPr>
              <w:t>87</w:t>
            </w:r>
            <w:r w:rsidR="003B4A71">
              <w:rPr>
                <w:noProof/>
                <w:webHidden/>
              </w:rPr>
              <w:fldChar w:fldCharType="end"/>
            </w:r>
          </w:hyperlink>
        </w:p>
        <w:p w14:paraId="05AD38F7" w14:textId="5EEAC6B0"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69" w:history="1">
            <w:r w:rsidR="003B4A71" w:rsidRPr="006D5901">
              <w:rPr>
                <w:rStyle w:val="Hyperlink"/>
                <w:noProof/>
                <w:lang w:bidi="en-US"/>
              </w:rPr>
              <w:t>Appendix B: Informed Consent</w:t>
            </w:r>
            <w:r w:rsidR="003B4A71">
              <w:rPr>
                <w:noProof/>
                <w:webHidden/>
              </w:rPr>
              <w:tab/>
            </w:r>
            <w:r w:rsidR="003B4A71">
              <w:rPr>
                <w:noProof/>
                <w:webHidden/>
              </w:rPr>
              <w:fldChar w:fldCharType="begin"/>
            </w:r>
            <w:r w:rsidR="003B4A71">
              <w:rPr>
                <w:noProof/>
                <w:webHidden/>
              </w:rPr>
              <w:instrText xml:space="preserve"> PAGEREF _Toc99267669 \h </w:instrText>
            </w:r>
            <w:r w:rsidR="003B4A71">
              <w:rPr>
                <w:noProof/>
                <w:webHidden/>
              </w:rPr>
            </w:r>
            <w:r w:rsidR="003B4A71">
              <w:rPr>
                <w:noProof/>
                <w:webHidden/>
              </w:rPr>
              <w:fldChar w:fldCharType="separate"/>
            </w:r>
            <w:r w:rsidR="002101E0">
              <w:rPr>
                <w:noProof/>
                <w:webHidden/>
              </w:rPr>
              <w:t>89</w:t>
            </w:r>
            <w:r w:rsidR="003B4A71">
              <w:rPr>
                <w:noProof/>
                <w:webHidden/>
              </w:rPr>
              <w:fldChar w:fldCharType="end"/>
            </w:r>
          </w:hyperlink>
        </w:p>
        <w:p w14:paraId="616F1A38" w14:textId="620470B3"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70" w:history="1">
            <w:r w:rsidR="003B4A71" w:rsidRPr="006D5901">
              <w:rPr>
                <w:rStyle w:val="Hyperlink"/>
                <w:noProof/>
                <w:lang w:bidi="en-US"/>
              </w:rPr>
              <w:t>Appendix C: HIPAA</w:t>
            </w:r>
            <w:r w:rsidR="003B4A71">
              <w:rPr>
                <w:noProof/>
                <w:webHidden/>
              </w:rPr>
              <w:tab/>
            </w:r>
            <w:r w:rsidR="003B4A71">
              <w:rPr>
                <w:noProof/>
                <w:webHidden/>
              </w:rPr>
              <w:fldChar w:fldCharType="begin"/>
            </w:r>
            <w:r w:rsidR="003B4A71">
              <w:rPr>
                <w:noProof/>
                <w:webHidden/>
              </w:rPr>
              <w:instrText xml:space="preserve"> PAGEREF _Toc99267670 \h </w:instrText>
            </w:r>
            <w:r w:rsidR="003B4A71">
              <w:rPr>
                <w:noProof/>
                <w:webHidden/>
              </w:rPr>
            </w:r>
            <w:r w:rsidR="003B4A71">
              <w:rPr>
                <w:noProof/>
                <w:webHidden/>
              </w:rPr>
              <w:fldChar w:fldCharType="separate"/>
            </w:r>
            <w:r w:rsidR="002101E0">
              <w:rPr>
                <w:noProof/>
                <w:webHidden/>
              </w:rPr>
              <w:t>91</w:t>
            </w:r>
            <w:r w:rsidR="003B4A71">
              <w:rPr>
                <w:noProof/>
                <w:webHidden/>
              </w:rPr>
              <w:fldChar w:fldCharType="end"/>
            </w:r>
          </w:hyperlink>
        </w:p>
        <w:p w14:paraId="7E4DC2E9" w14:textId="2D30C9F0"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71" w:history="1">
            <w:r w:rsidR="003B4A71" w:rsidRPr="006D5901">
              <w:rPr>
                <w:rStyle w:val="Hyperlink"/>
                <w:noProof/>
                <w:lang w:bidi="en-US"/>
              </w:rPr>
              <w:t>Appendix D: Oklahoma Men’s Basketball Letter of Support</w:t>
            </w:r>
            <w:r w:rsidR="003B4A71">
              <w:rPr>
                <w:noProof/>
                <w:webHidden/>
              </w:rPr>
              <w:tab/>
            </w:r>
            <w:r w:rsidR="003B4A71">
              <w:rPr>
                <w:noProof/>
                <w:webHidden/>
              </w:rPr>
              <w:fldChar w:fldCharType="begin"/>
            </w:r>
            <w:r w:rsidR="003B4A71">
              <w:rPr>
                <w:noProof/>
                <w:webHidden/>
              </w:rPr>
              <w:instrText xml:space="preserve"> PAGEREF _Toc99267671 \h </w:instrText>
            </w:r>
            <w:r w:rsidR="003B4A71">
              <w:rPr>
                <w:noProof/>
                <w:webHidden/>
              </w:rPr>
            </w:r>
            <w:r w:rsidR="003B4A71">
              <w:rPr>
                <w:noProof/>
                <w:webHidden/>
              </w:rPr>
              <w:fldChar w:fldCharType="separate"/>
            </w:r>
            <w:r w:rsidR="002101E0">
              <w:rPr>
                <w:noProof/>
                <w:webHidden/>
              </w:rPr>
              <w:t>94</w:t>
            </w:r>
            <w:r w:rsidR="003B4A71">
              <w:rPr>
                <w:noProof/>
                <w:webHidden/>
              </w:rPr>
              <w:fldChar w:fldCharType="end"/>
            </w:r>
          </w:hyperlink>
        </w:p>
        <w:p w14:paraId="083B6C6B" w14:textId="2CA31458"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72" w:history="1">
            <w:r w:rsidR="003B4A71" w:rsidRPr="006D5901">
              <w:rPr>
                <w:rStyle w:val="Hyperlink"/>
                <w:noProof/>
                <w:lang w:bidi="en-US"/>
              </w:rPr>
              <w:t>Appendix E: Rating of Perceived Exertion Chart</w:t>
            </w:r>
            <w:r w:rsidR="003B4A71">
              <w:rPr>
                <w:noProof/>
                <w:webHidden/>
              </w:rPr>
              <w:tab/>
            </w:r>
            <w:r w:rsidR="003B4A71">
              <w:rPr>
                <w:noProof/>
                <w:webHidden/>
              </w:rPr>
              <w:fldChar w:fldCharType="begin"/>
            </w:r>
            <w:r w:rsidR="003B4A71">
              <w:rPr>
                <w:noProof/>
                <w:webHidden/>
              </w:rPr>
              <w:instrText xml:space="preserve"> PAGEREF _Toc99267672 \h </w:instrText>
            </w:r>
            <w:r w:rsidR="003B4A71">
              <w:rPr>
                <w:noProof/>
                <w:webHidden/>
              </w:rPr>
            </w:r>
            <w:r w:rsidR="003B4A71">
              <w:rPr>
                <w:noProof/>
                <w:webHidden/>
              </w:rPr>
              <w:fldChar w:fldCharType="separate"/>
            </w:r>
            <w:r w:rsidR="002101E0">
              <w:rPr>
                <w:noProof/>
                <w:webHidden/>
              </w:rPr>
              <w:t>95</w:t>
            </w:r>
            <w:r w:rsidR="003B4A71">
              <w:rPr>
                <w:noProof/>
                <w:webHidden/>
              </w:rPr>
              <w:fldChar w:fldCharType="end"/>
            </w:r>
          </w:hyperlink>
        </w:p>
        <w:p w14:paraId="6ABAFD71" w14:textId="2C86E9BD" w:rsidR="003B4A71" w:rsidRDefault="00A84B98">
          <w:pPr>
            <w:pStyle w:val="TOC2"/>
            <w:tabs>
              <w:tab w:val="right" w:leader="dot" w:pos="9350"/>
            </w:tabs>
            <w:rPr>
              <w:rFonts w:asciiTheme="minorHAnsi" w:eastAsiaTheme="minorEastAsia" w:hAnsiTheme="minorHAnsi" w:cstheme="minorBidi"/>
              <w:b w:val="0"/>
              <w:bCs w:val="0"/>
              <w:noProof/>
              <w:szCs w:val="24"/>
            </w:rPr>
          </w:pPr>
          <w:hyperlink w:anchor="_Toc99267673" w:history="1">
            <w:r w:rsidR="003B4A71" w:rsidRPr="006D5901">
              <w:rPr>
                <w:rStyle w:val="Hyperlink"/>
                <w:noProof/>
                <w:lang w:bidi="en-US"/>
              </w:rPr>
              <w:t>Appendix F: Salivary Collection</w:t>
            </w:r>
            <w:r w:rsidR="003B4A71">
              <w:rPr>
                <w:noProof/>
                <w:webHidden/>
              </w:rPr>
              <w:tab/>
            </w:r>
            <w:r w:rsidR="003B4A71">
              <w:rPr>
                <w:noProof/>
                <w:webHidden/>
              </w:rPr>
              <w:fldChar w:fldCharType="begin"/>
            </w:r>
            <w:r w:rsidR="003B4A71">
              <w:rPr>
                <w:noProof/>
                <w:webHidden/>
              </w:rPr>
              <w:instrText xml:space="preserve"> PAGEREF _Toc99267673 \h </w:instrText>
            </w:r>
            <w:r w:rsidR="003B4A71">
              <w:rPr>
                <w:noProof/>
                <w:webHidden/>
              </w:rPr>
            </w:r>
            <w:r w:rsidR="003B4A71">
              <w:rPr>
                <w:noProof/>
                <w:webHidden/>
              </w:rPr>
              <w:fldChar w:fldCharType="separate"/>
            </w:r>
            <w:r w:rsidR="002101E0">
              <w:rPr>
                <w:noProof/>
                <w:webHidden/>
              </w:rPr>
              <w:t>96</w:t>
            </w:r>
            <w:r w:rsidR="003B4A71">
              <w:rPr>
                <w:noProof/>
                <w:webHidden/>
              </w:rPr>
              <w:fldChar w:fldCharType="end"/>
            </w:r>
          </w:hyperlink>
        </w:p>
        <w:p w14:paraId="4F6BB370" w14:textId="2299B736" w:rsidR="007121D3" w:rsidRPr="00FC2055" w:rsidRDefault="00CE2317" w:rsidP="002B2BC5">
          <w:pPr>
            <w:spacing w:line="480" w:lineRule="auto"/>
            <w:rPr>
              <w:rFonts w:ascii="Times New Roman" w:hAnsi="Times New Roman" w:cs="Times New Roman"/>
            </w:rPr>
          </w:pPr>
          <w:r>
            <w:rPr>
              <w:rFonts w:ascii="Times New Roman" w:hAnsi="Times New Roman" w:cs="Times New Roman"/>
              <w:i/>
              <w:noProof/>
              <w:lang w:bidi="en-US"/>
            </w:rPr>
            <w:fldChar w:fldCharType="end"/>
          </w:r>
        </w:p>
      </w:sdtContent>
    </w:sdt>
    <w:p w14:paraId="457C7F2A" w14:textId="5FA85C51" w:rsidR="007121D3" w:rsidRPr="00FC2055" w:rsidRDefault="007121D3" w:rsidP="007121D3">
      <w:pPr>
        <w:spacing w:line="480" w:lineRule="auto"/>
        <w:rPr>
          <w:rFonts w:ascii="Times New Roman" w:hAnsi="Times New Roman" w:cs="Times New Roman"/>
          <w:smallCaps/>
        </w:rPr>
      </w:pPr>
    </w:p>
    <w:p w14:paraId="58EA7D1F" w14:textId="507A6C18" w:rsidR="007121D3" w:rsidRPr="00FC2055" w:rsidRDefault="007121D3" w:rsidP="007121D3">
      <w:pPr>
        <w:spacing w:line="480" w:lineRule="auto"/>
        <w:rPr>
          <w:rFonts w:ascii="Times New Roman" w:hAnsi="Times New Roman" w:cs="Times New Roman"/>
          <w:smallCaps/>
        </w:rPr>
      </w:pPr>
    </w:p>
    <w:p w14:paraId="1FF78CA8" w14:textId="1E50E61B" w:rsidR="000A2BB6" w:rsidRPr="0046205E" w:rsidRDefault="0046205E" w:rsidP="0046205E">
      <w:pPr>
        <w:rPr>
          <w:rFonts w:ascii="Times New Roman" w:hAnsi="Times New Roman" w:cs="Times New Roman"/>
          <w:smallCaps/>
        </w:rPr>
      </w:pPr>
      <w:r>
        <w:rPr>
          <w:rFonts w:ascii="Times New Roman" w:hAnsi="Times New Roman" w:cs="Times New Roman"/>
          <w:smallCaps/>
        </w:rPr>
        <w:br w:type="page"/>
      </w:r>
    </w:p>
    <w:p w14:paraId="26F2B65A" w14:textId="556307AD" w:rsidR="001B5ACB" w:rsidRPr="00FC2055" w:rsidRDefault="001B5ACB" w:rsidP="00FC2055">
      <w:pPr>
        <w:pStyle w:val="Heading1"/>
        <w:spacing w:line="480" w:lineRule="auto"/>
        <w:jc w:val="center"/>
        <w:rPr>
          <w:rFonts w:ascii="Times New Roman" w:hAnsi="Times New Roman" w:cs="Times New Roman"/>
          <w:b/>
          <w:bCs/>
          <w:color w:val="000000" w:themeColor="text1"/>
          <w:sz w:val="24"/>
          <w:szCs w:val="24"/>
        </w:rPr>
      </w:pPr>
      <w:bookmarkStart w:id="1" w:name="_Toc99267592"/>
      <w:r w:rsidRPr="00FC2055">
        <w:rPr>
          <w:rFonts w:ascii="Times New Roman" w:hAnsi="Times New Roman" w:cs="Times New Roman"/>
          <w:b/>
          <w:bCs/>
          <w:color w:val="000000" w:themeColor="text1"/>
          <w:sz w:val="24"/>
          <w:szCs w:val="24"/>
        </w:rPr>
        <w:lastRenderedPageBreak/>
        <w:t>List of Tables</w:t>
      </w:r>
      <w:bookmarkEnd w:id="1"/>
    </w:p>
    <w:p w14:paraId="155BC70B" w14:textId="7986D016" w:rsidR="00CE2317" w:rsidRDefault="00CE2317">
      <w:pPr>
        <w:pStyle w:val="TableofFigures"/>
        <w:tabs>
          <w:tab w:val="right" w:leader="dot" w:pos="9350"/>
        </w:tabs>
        <w:rPr>
          <w:rFonts w:asciiTheme="minorHAnsi" w:eastAsiaTheme="minorEastAsia" w:hAnsiTheme="minorHAnsi"/>
          <w:noProof/>
        </w:rPr>
      </w:pPr>
      <w:r>
        <w:rPr>
          <w:rFonts w:cs="Times New Roman"/>
        </w:rPr>
        <w:fldChar w:fldCharType="begin"/>
      </w:r>
      <w:r>
        <w:rPr>
          <w:rFonts w:cs="Times New Roman"/>
        </w:rPr>
        <w:instrText xml:space="preserve"> TOC \h \z \c "Table" </w:instrText>
      </w:r>
      <w:r>
        <w:rPr>
          <w:rFonts w:cs="Times New Roman"/>
        </w:rPr>
        <w:fldChar w:fldCharType="separate"/>
      </w:r>
      <w:hyperlink w:anchor="_Toc93726097" w:history="1">
        <w:r w:rsidRPr="00B05893">
          <w:rPr>
            <w:rStyle w:val="Hyperlink"/>
            <w:noProof/>
            <w:lang w:bidi="en-US"/>
          </w:rPr>
          <w:t>Table 1. Differences in External Training Load through the Preseason.</w:t>
        </w:r>
        <w:r>
          <w:rPr>
            <w:noProof/>
            <w:webHidden/>
          </w:rPr>
          <w:tab/>
        </w:r>
        <w:r>
          <w:rPr>
            <w:noProof/>
            <w:webHidden/>
          </w:rPr>
          <w:fldChar w:fldCharType="begin"/>
        </w:r>
        <w:r>
          <w:rPr>
            <w:noProof/>
            <w:webHidden/>
          </w:rPr>
          <w:instrText xml:space="preserve"> PAGEREF _Toc93726097 \h </w:instrText>
        </w:r>
        <w:r>
          <w:rPr>
            <w:noProof/>
            <w:webHidden/>
          </w:rPr>
        </w:r>
        <w:r>
          <w:rPr>
            <w:noProof/>
            <w:webHidden/>
          </w:rPr>
          <w:fldChar w:fldCharType="separate"/>
        </w:r>
        <w:r w:rsidR="002101E0">
          <w:rPr>
            <w:noProof/>
            <w:webHidden/>
          </w:rPr>
          <w:t>40</w:t>
        </w:r>
        <w:r>
          <w:rPr>
            <w:noProof/>
            <w:webHidden/>
          </w:rPr>
          <w:fldChar w:fldCharType="end"/>
        </w:r>
      </w:hyperlink>
    </w:p>
    <w:p w14:paraId="7CEFB63A" w14:textId="7DA5BC6D" w:rsidR="00CE2317" w:rsidRDefault="00A84B98">
      <w:pPr>
        <w:pStyle w:val="TableofFigures"/>
        <w:tabs>
          <w:tab w:val="right" w:leader="dot" w:pos="9350"/>
        </w:tabs>
        <w:rPr>
          <w:rFonts w:asciiTheme="minorHAnsi" w:eastAsiaTheme="minorEastAsia" w:hAnsiTheme="minorHAnsi"/>
          <w:noProof/>
        </w:rPr>
      </w:pPr>
      <w:hyperlink w:anchor="_Toc93726098" w:history="1">
        <w:r w:rsidR="00CE2317" w:rsidRPr="00B05893">
          <w:rPr>
            <w:rStyle w:val="Hyperlink"/>
            <w:noProof/>
            <w:lang w:bidi="en-US"/>
          </w:rPr>
          <w:t>Table 2. Differences in Internal Training Load through the Preseason.</w:t>
        </w:r>
        <w:r w:rsidR="00CE2317">
          <w:rPr>
            <w:noProof/>
            <w:webHidden/>
          </w:rPr>
          <w:tab/>
        </w:r>
        <w:r w:rsidR="00CE2317">
          <w:rPr>
            <w:noProof/>
            <w:webHidden/>
          </w:rPr>
          <w:fldChar w:fldCharType="begin"/>
        </w:r>
        <w:r w:rsidR="00CE2317">
          <w:rPr>
            <w:noProof/>
            <w:webHidden/>
          </w:rPr>
          <w:instrText xml:space="preserve"> PAGEREF _Toc93726098 \h </w:instrText>
        </w:r>
        <w:r w:rsidR="00CE2317">
          <w:rPr>
            <w:noProof/>
            <w:webHidden/>
          </w:rPr>
        </w:r>
        <w:r w:rsidR="00CE2317">
          <w:rPr>
            <w:noProof/>
            <w:webHidden/>
          </w:rPr>
          <w:fldChar w:fldCharType="separate"/>
        </w:r>
        <w:r w:rsidR="002101E0">
          <w:rPr>
            <w:noProof/>
            <w:webHidden/>
          </w:rPr>
          <w:t>43</w:t>
        </w:r>
        <w:r w:rsidR="00CE2317">
          <w:rPr>
            <w:noProof/>
            <w:webHidden/>
          </w:rPr>
          <w:fldChar w:fldCharType="end"/>
        </w:r>
      </w:hyperlink>
    </w:p>
    <w:p w14:paraId="132EC8FB" w14:textId="1410C1CF" w:rsidR="00CE2317" w:rsidRDefault="00A84B98">
      <w:pPr>
        <w:pStyle w:val="TableofFigures"/>
        <w:tabs>
          <w:tab w:val="right" w:leader="dot" w:pos="9350"/>
        </w:tabs>
        <w:rPr>
          <w:rFonts w:asciiTheme="minorHAnsi" w:eastAsiaTheme="minorEastAsia" w:hAnsiTheme="minorHAnsi"/>
          <w:noProof/>
        </w:rPr>
      </w:pPr>
      <w:hyperlink w:anchor="_Toc93726099" w:history="1">
        <w:r w:rsidR="00CE2317" w:rsidRPr="00B05893">
          <w:rPr>
            <w:rStyle w:val="Hyperlink"/>
            <w:noProof/>
            <w:lang w:bidi="en-US"/>
          </w:rPr>
          <w:t>Table 3. Countermovement Jump Descriptive Statistics.</w:t>
        </w:r>
        <w:r w:rsidR="00CE2317">
          <w:rPr>
            <w:noProof/>
            <w:webHidden/>
          </w:rPr>
          <w:tab/>
        </w:r>
        <w:r w:rsidR="00CE2317">
          <w:rPr>
            <w:noProof/>
            <w:webHidden/>
          </w:rPr>
          <w:fldChar w:fldCharType="begin"/>
        </w:r>
        <w:r w:rsidR="00CE2317">
          <w:rPr>
            <w:noProof/>
            <w:webHidden/>
          </w:rPr>
          <w:instrText xml:space="preserve"> PAGEREF _Toc93726099 \h </w:instrText>
        </w:r>
        <w:r w:rsidR="00CE2317">
          <w:rPr>
            <w:noProof/>
            <w:webHidden/>
          </w:rPr>
        </w:r>
        <w:r w:rsidR="00CE2317">
          <w:rPr>
            <w:noProof/>
            <w:webHidden/>
          </w:rPr>
          <w:fldChar w:fldCharType="separate"/>
        </w:r>
        <w:r w:rsidR="002101E0">
          <w:rPr>
            <w:noProof/>
            <w:webHidden/>
          </w:rPr>
          <w:t>47</w:t>
        </w:r>
        <w:r w:rsidR="00CE2317">
          <w:rPr>
            <w:noProof/>
            <w:webHidden/>
          </w:rPr>
          <w:fldChar w:fldCharType="end"/>
        </w:r>
      </w:hyperlink>
    </w:p>
    <w:p w14:paraId="04E10D0B" w14:textId="182226D2" w:rsidR="00CE2317" w:rsidRDefault="00A84B98">
      <w:pPr>
        <w:pStyle w:val="TableofFigures"/>
        <w:tabs>
          <w:tab w:val="right" w:leader="dot" w:pos="9350"/>
        </w:tabs>
        <w:rPr>
          <w:rFonts w:asciiTheme="minorHAnsi" w:eastAsiaTheme="minorEastAsia" w:hAnsiTheme="minorHAnsi"/>
          <w:noProof/>
        </w:rPr>
      </w:pPr>
      <w:hyperlink w:anchor="_Toc93726100" w:history="1">
        <w:r w:rsidR="00CE2317" w:rsidRPr="00B05893">
          <w:rPr>
            <w:rStyle w:val="Hyperlink"/>
            <w:noProof/>
            <w:lang w:bidi="en-US"/>
          </w:rPr>
          <w:t>Table 4. Countermovement Jump Descriptive Statistics Relative to Body Mass.</w:t>
        </w:r>
        <w:r w:rsidR="00CE2317">
          <w:rPr>
            <w:noProof/>
            <w:webHidden/>
          </w:rPr>
          <w:tab/>
        </w:r>
        <w:r w:rsidR="00CE2317">
          <w:rPr>
            <w:noProof/>
            <w:webHidden/>
          </w:rPr>
          <w:fldChar w:fldCharType="begin"/>
        </w:r>
        <w:r w:rsidR="00CE2317">
          <w:rPr>
            <w:noProof/>
            <w:webHidden/>
          </w:rPr>
          <w:instrText xml:space="preserve"> PAGEREF _Toc93726100 \h </w:instrText>
        </w:r>
        <w:r w:rsidR="00CE2317">
          <w:rPr>
            <w:noProof/>
            <w:webHidden/>
          </w:rPr>
        </w:r>
        <w:r w:rsidR="00CE2317">
          <w:rPr>
            <w:noProof/>
            <w:webHidden/>
          </w:rPr>
          <w:fldChar w:fldCharType="separate"/>
        </w:r>
        <w:r w:rsidR="002101E0">
          <w:rPr>
            <w:noProof/>
            <w:webHidden/>
          </w:rPr>
          <w:t>49</w:t>
        </w:r>
        <w:r w:rsidR="00CE2317">
          <w:rPr>
            <w:noProof/>
            <w:webHidden/>
          </w:rPr>
          <w:fldChar w:fldCharType="end"/>
        </w:r>
      </w:hyperlink>
    </w:p>
    <w:p w14:paraId="48BE19E4" w14:textId="0E2A66B6" w:rsidR="00CE2317" w:rsidRDefault="00A84B98">
      <w:pPr>
        <w:pStyle w:val="TableofFigures"/>
        <w:tabs>
          <w:tab w:val="right" w:leader="dot" w:pos="9350"/>
        </w:tabs>
        <w:rPr>
          <w:rFonts w:asciiTheme="minorHAnsi" w:eastAsiaTheme="minorEastAsia" w:hAnsiTheme="minorHAnsi"/>
          <w:noProof/>
        </w:rPr>
      </w:pPr>
      <w:hyperlink w:anchor="_Toc93726101" w:history="1">
        <w:r w:rsidR="00CE2317" w:rsidRPr="00B05893">
          <w:rPr>
            <w:rStyle w:val="Hyperlink"/>
            <w:noProof/>
            <w:lang w:bidi="en-US"/>
          </w:rPr>
          <w:t>Table 5. Endocrine Baseline Measurements.</w:t>
        </w:r>
        <w:r w:rsidR="00CE2317">
          <w:rPr>
            <w:noProof/>
            <w:webHidden/>
          </w:rPr>
          <w:tab/>
        </w:r>
        <w:r w:rsidR="00CE2317">
          <w:rPr>
            <w:noProof/>
            <w:webHidden/>
          </w:rPr>
          <w:fldChar w:fldCharType="begin"/>
        </w:r>
        <w:r w:rsidR="00CE2317">
          <w:rPr>
            <w:noProof/>
            <w:webHidden/>
          </w:rPr>
          <w:instrText xml:space="preserve"> PAGEREF _Toc93726101 \h </w:instrText>
        </w:r>
        <w:r w:rsidR="00CE2317">
          <w:rPr>
            <w:noProof/>
            <w:webHidden/>
          </w:rPr>
        </w:r>
        <w:r w:rsidR="00CE2317">
          <w:rPr>
            <w:noProof/>
            <w:webHidden/>
          </w:rPr>
          <w:fldChar w:fldCharType="separate"/>
        </w:r>
        <w:r w:rsidR="002101E0">
          <w:rPr>
            <w:noProof/>
            <w:webHidden/>
          </w:rPr>
          <w:t>53</w:t>
        </w:r>
        <w:r w:rsidR="00CE2317">
          <w:rPr>
            <w:noProof/>
            <w:webHidden/>
          </w:rPr>
          <w:fldChar w:fldCharType="end"/>
        </w:r>
      </w:hyperlink>
    </w:p>
    <w:p w14:paraId="3FF410D3" w14:textId="6ECC9D2A" w:rsidR="00CE2317" w:rsidRDefault="00A84B98">
      <w:pPr>
        <w:pStyle w:val="TableofFigures"/>
        <w:tabs>
          <w:tab w:val="right" w:leader="dot" w:pos="9350"/>
        </w:tabs>
        <w:rPr>
          <w:rFonts w:asciiTheme="minorHAnsi" w:eastAsiaTheme="minorEastAsia" w:hAnsiTheme="minorHAnsi"/>
          <w:noProof/>
        </w:rPr>
      </w:pPr>
      <w:hyperlink w:anchor="_Toc93726102" w:history="1">
        <w:r w:rsidR="00CE2317" w:rsidRPr="00B05893">
          <w:rPr>
            <w:rStyle w:val="Hyperlink"/>
            <w:noProof/>
            <w:lang w:bidi="en-US"/>
          </w:rPr>
          <w:t>Table 6. Endocrine Responses throughout the Preseason.</w:t>
        </w:r>
        <w:r w:rsidR="00CE2317">
          <w:rPr>
            <w:noProof/>
            <w:webHidden/>
          </w:rPr>
          <w:tab/>
        </w:r>
        <w:r w:rsidR="00CE2317">
          <w:rPr>
            <w:noProof/>
            <w:webHidden/>
          </w:rPr>
          <w:fldChar w:fldCharType="begin"/>
        </w:r>
        <w:r w:rsidR="00CE2317">
          <w:rPr>
            <w:noProof/>
            <w:webHidden/>
          </w:rPr>
          <w:instrText xml:space="preserve"> PAGEREF _Toc93726102 \h </w:instrText>
        </w:r>
        <w:r w:rsidR="00CE2317">
          <w:rPr>
            <w:noProof/>
            <w:webHidden/>
          </w:rPr>
        </w:r>
        <w:r w:rsidR="00CE2317">
          <w:rPr>
            <w:noProof/>
            <w:webHidden/>
          </w:rPr>
          <w:fldChar w:fldCharType="separate"/>
        </w:r>
        <w:r w:rsidR="002101E0">
          <w:rPr>
            <w:noProof/>
            <w:webHidden/>
          </w:rPr>
          <w:t>54</w:t>
        </w:r>
        <w:r w:rsidR="00CE2317">
          <w:rPr>
            <w:noProof/>
            <w:webHidden/>
          </w:rPr>
          <w:fldChar w:fldCharType="end"/>
        </w:r>
      </w:hyperlink>
    </w:p>
    <w:p w14:paraId="1136560E" w14:textId="7C636C2F" w:rsidR="00CE2317" w:rsidRDefault="00A84B98">
      <w:pPr>
        <w:pStyle w:val="TableofFigures"/>
        <w:tabs>
          <w:tab w:val="right" w:leader="dot" w:pos="9350"/>
        </w:tabs>
        <w:rPr>
          <w:rFonts w:asciiTheme="minorHAnsi" w:eastAsiaTheme="minorEastAsia" w:hAnsiTheme="minorHAnsi"/>
          <w:noProof/>
        </w:rPr>
      </w:pPr>
      <w:hyperlink w:anchor="_Toc93726103" w:history="1">
        <w:r w:rsidR="00CE2317" w:rsidRPr="00B05893">
          <w:rPr>
            <w:rStyle w:val="Hyperlink"/>
            <w:noProof/>
            <w:lang w:bidi="en-US"/>
          </w:rPr>
          <w:t>Table 7. Absolute Change Scores in Endocrine Responses throughout the Preseason.</w:t>
        </w:r>
        <w:r w:rsidR="00CE2317">
          <w:rPr>
            <w:noProof/>
            <w:webHidden/>
          </w:rPr>
          <w:tab/>
        </w:r>
        <w:r w:rsidR="00CE2317">
          <w:rPr>
            <w:noProof/>
            <w:webHidden/>
          </w:rPr>
          <w:fldChar w:fldCharType="begin"/>
        </w:r>
        <w:r w:rsidR="00CE2317">
          <w:rPr>
            <w:noProof/>
            <w:webHidden/>
          </w:rPr>
          <w:instrText xml:space="preserve"> PAGEREF _Toc93726103 \h </w:instrText>
        </w:r>
        <w:r w:rsidR="00CE2317">
          <w:rPr>
            <w:noProof/>
            <w:webHidden/>
          </w:rPr>
        </w:r>
        <w:r w:rsidR="00CE2317">
          <w:rPr>
            <w:noProof/>
            <w:webHidden/>
          </w:rPr>
          <w:fldChar w:fldCharType="separate"/>
        </w:r>
        <w:r w:rsidR="002101E0">
          <w:rPr>
            <w:noProof/>
            <w:webHidden/>
          </w:rPr>
          <w:t>56</w:t>
        </w:r>
        <w:r w:rsidR="00CE2317">
          <w:rPr>
            <w:noProof/>
            <w:webHidden/>
          </w:rPr>
          <w:fldChar w:fldCharType="end"/>
        </w:r>
      </w:hyperlink>
    </w:p>
    <w:p w14:paraId="6C902409" w14:textId="10099DC1" w:rsidR="00CE2317" w:rsidRDefault="00A84B98">
      <w:pPr>
        <w:pStyle w:val="TableofFigures"/>
        <w:tabs>
          <w:tab w:val="right" w:leader="dot" w:pos="9350"/>
        </w:tabs>
        <w:rPr>
          <w:rFonts w:asciiTheme="minorHAnsi" w:eastAsiaTheme="minorEastAsia" w:hAnsiTheme="minorHAnsi"/>
          <w:noProof/>
        </w:rPr>
      </w:pPr>
      <w:hyperlink w:anchor="_Toc93726104" w:history="1">
        <w:r w:rsidR="00CE2317" w:rsidRPr="00B05893">
          <w:rPr>
            <w:rStyle w:val="Hyperlink"/>
            <w:noProof/>
            <w:lang w:bidi="en-US"/>
          </w:rPr>
          <w:t>Table 8. Percent Change Scores in Endocrine Responses throughout the Preseason.</w:t>
        </w:r>
        <w:r w:rsidR="00CE2317">
          <w:rPr>
            <w:noProof/>
            <w:webHidden/>
          </w:rPr>
          <w:tab/>
        </w:r>
        <w:r w:rsidR="00CE2317">
          <w:rPr>
            <w:noProof/>
            <w:webHidden/>
          </w:rPr>
          <w:fldChar w:fldCharType="begin"/>
        </w:r>
        <w:r w:rsidR="00CE2317">
          <w:rPr>
            <w:noProof/>
            <w:webHidden/>
          </w:rPr>
          <w:instrText xml:space="preserve"> PAGEREF _Toc93726104 \h </w:instrText>
        </w:r>
        <w:r w:rsidR="00CE2317">
          <w:rPr>
            <w:noProof/>
            <w:webHidden/>
          </w:rPr>
        </w:r>
        <w:r w:rsidR="00CE2317">
          <w:rPr>
            <w:noProof/>
            <w:webHidden/>
          </w:rPr>
          <w:fldChar w:fldCharType="separate"/>
        </w:r>
        <w:r w:rsidR="002101E0">
          <w:rPr>
            <w:noProof/>
            <w:webHidden/>
          </w:rPr>
          <w:t>57</w:t>
        </w:r>
        <w:r w:rsidR="00CE2317">
          <w:rPr>
            <w:noProof/>
            <w:webHidden/>
          </w:rPr>
          <w:fldChar w:fldCharType="end"/>
        </w:r>
      </w:hyperlink>
    </w:p>
    <w:p w14:paraId="07F76EEA" w14:textId="69098AB1" w:rsidR="007121D3" w:rsidRPr="00FC2055" w:rsidRDefault="00CE2317" w:rsidP="007121D3">
      <w:pPr>
        <w:spacing w:line="480" w:lineRule="auto"/>
        <w:rPr>
          <w:rFonts w:ascii="Times New Roman" w:hAnsi="Times New Roman" w:cs="Times New Roman"/>
        </w:rPr>
      </w:pPr>
      <w:r>
        <w:rPr>
          <w:rFonts w:ascii="Times New Roman" w:hAnsi="Times New Roman" w:cs="Times New Roman"/>
        </w:rPr>
        <w:fldChar w:fldCharType="end"/>
      </w:r>
    </w:p>
    <w:p w14:paraId="7AFC646D" w14:textId="19A7E6E9" w:rsidR="007121D3" w:rsidRPr="00FC2055" w:rsidRDefault="007121D3" w:rsidP="007121D3">
      <w:pPr>
        <w:spacing w:line="480" w:lineRule="auto"/>
        <w:rPr>
          <w:rFonts w:ascii="Times New Roman" w:hAnsi="Times New Roman" w:cs="Times New Roman"/>
        </w:rPr>
      </w:pPr>
    </w:p>
    <w:p w14:paraId="59523D34" w14:textId="08C4BE71" w:rsidR="007121D3" w:rsidRPr="00FC2055" w:rsidRDefault="007121D3" w:rsidP="007121D3">
      <w:pPr>
        <w:spacing w:line="480" w:lineRule="auto"/>
        <w:rPr>
          <w:rFonts w:ascii="Times New Roman" w:hAnsi="Times New Roman" w:cs="Times New Roman"/>
        </w:rPr>
      </w:pPr>
    </w:p>
    <w:p w14:paraId="7ECA9D22" w14:textId="69C71F28" w:rsidR="007121D3" w:rsidRDefault="007121D3" w:rsidP="007121D3">
      <w:pPr>
        <w:spacing w:line="480" w:lineRule="auto"/>
        <w:rPr>
          <w:rFonts w:ascii="Times New Roman" w:hAnsi="Times New Roman" w:cs="Times New Roman"/>
        </w:rPr>
      </w:pPr>
    </w:p>
    <w:p w14:paraId="1703299C" w14:textId="2C8F830F" w:rsidR="007121D3" w:rsidRDefault="007121D3" w:rsidP="007121D3">
      <w:pPr>
        <w:spacing w:line="480" w:lineRule="auto"/>
        <w:rPr>
          <w:rFonts w:ascii="Times New Roman" w:hAnsi="Times New Roman" w:cs="Times New Roman"/>
        </w:rPr>
      </w:pPr>
    </w:p>
    <w:p w14:paraId="18A3983D" w14:textId="5566EBF5" w:rsidR="007121D3" w:rsidRDefault="007121D3" w:rsidP="007121D3">
      <w:pPr>
        <w:spacing w:line="480" w:lineRule="auto"/>
        <w:rPr>
          <w:rFonts w:ascii="Times New Roman" w:hAnsi="Times New Roman" w:cs="Times New Roman"/>
        </w:rPr>
      </w:pPr>
    </w:p>
    <w:p w14:paraId="6E61F3AE" w14:textId="09444161" w:rsidR="007121D3" w:rsidRDefault="007121D3" w:rsidP="007121D3">
      <w:pPr>
        <w:spacing w:line="480" w:lineRule="auto"/>
        <w:rPr>
          <w:rFonts w:ascii="Times New Roman" w:hAnsi="Times New Roman" w:cs="Times New Roman"/>
        </w:rPr>
      </w:pPr>
    </w:p>
    <w:p w14:paraId="1A8CD8D1" w14:textId="4345B1BE" w:rsidR="007121D3" w:rsidRDefault="007121D3" w:rsidP="007121D3">
      <w:pPr>
        <w:spacing w:line="480" w:lineRule="auto"/>
        <w:rPr>
          <w:rFonts w:ascii="Times New Roman" w:hAnsi="Times New Roman" w:cs="Times New Roman"/>
        </w:rPr>
      </w:pPr>
    </w:p>
    <w:p w14:paraId="4A83AACD" w14:textId="383C561C" w:rsidR="007121D3" w:rsidRDefault="0046205E" w:rsidP="0046205E">
      <w:pPr>
        <w:rPr>
          <w:rFonts w:ascii="Times New Roman" w:hAnsi="Times New Roman" w:cs="Times New Roman"/>
        </w:rPr>
      </w:pPr>
      <w:r>
        <w:rPr>
          <w:rFonts w:ascii="Times New Roman" w:hAnsi="Times New Roman" w:cs="Times New Roman"/>
        </w:rPr>
        <w:br w:type="page"/>
      </w:r>
    </w:p>
    <w:p w14:paraId="227751FA" w14:textId="63B1A850" w:rsidR="001B5ACB" w:rsidRPr="00C10902" w:rsidRDefault="001B5ACB" w:rsidP="00CC170A">
      <w:pPr>
        <w:pStyle w:val="Heading1"/>
        <w:spacing w:line="480" w:lineRule="auto"/>
        <w:jc w:val="center"/>
        <w:rPr>
          <w:rFonts w:ascii="Times New Roman" w:hAnsi="Times New Roman" w:cs="Times New Roman"/>
          <w:b/>
          <w:bCs/>
          <w:color w:val="000000" w:themeColor="text1"/>
          <w:sz w:val="28"/>
          <w:szCs w:val="28"/>
        </w:rPr>
      </w:pPr>
      <w:bookmarkStart w:id="2" w:name="_Toc99267593"/>
      <w:r w:rsidRPr="00C10902">
        <w:rPr>
          <w:rFonts w:ascii="Times New Roman" w:hAnsi="Times New Roman" w:cs="Times New Roman"/>
          <w:b/>
          <w:bCs/>
          <w:color w:val="000000" w:themeColor="text1"/>
          <w:sz w:val="28"/>
          <w:szCs w:val="28"/>
        </w:rPr>
        <w:lastRenderedPageBreak/>
        <w:t>List of Figures</w:t>
      </w:r>
      <w:bookmarkEnd w:id="2"/>
    </w:p>
    <w:p w14:paraId="10103557" w14:textId="78C7AC3E" w:rsidR="00D00A3B" w:rsidRDefault="0046205E">
      <w:pPr>
        <w:pStyle w:val="TableofFigures"/>
        <w:tabs>
          <w:tab w:val="right" w:leader="dot" w:pos="9350"/>
        </w:tabs>
        <w:rPr>
          <w:rFonts w:asciiTheme="minorHAnsi" w:eastAsiaTheme="minorEastAsia" w:hAnsiTheme="minorHAnsi"/>
          <w:noProof/>
        </w:rPr>
      </w:pPr>
      <w:r>
        <w:rPr>
          <w:rFonts w:cs="Times New Roman"/>
          <w:b/>
          <w:bCs/>
        </w:rPr>
        <w:fldChar w:fldCharType="begin"/>
      </w:r>
      <w:r>
        <w:rPr>
          <w:rFonts w:cs="Times New Roman"/>
          <w:b/>
          <w:bCs/>
        </w:rPr>
        <w:instrText xml:space="preserve"> TOC \h \z \c "Figure" </w:instrText>
      </w:r>
      <w:r>
        <w:rPr>
          <w:rFonts w:cs="Times New Roman"/>
          <w:b/>
          <w:bCs/>
        </w:rPr>
        <w:fldChar w:fldCharType="separate"/>
      </w:r>
      <w:hyperlink r:id="rId11" w:anchor="_Toc100670665" w:history="1">
        <w:r w:rsidR="00D00A3B" w:rsidRPr="0079492D">
          <w:rPr>
            <w:rStyle w:val="Hyperlink"/>
            <w:noProof/>
            <w:lang w:bidi="en-US"/>
          </w:rPr>
          <w:t>Figure 1. Diagrammatic Representation of the Research Design.</w:t>
        </w:r>
        <w:r w:rsidR="00D00A3B">
          <w:rPr>
            <w:noProof/>
            <w:webHidden/>
          </w:rPr>
          <w:tab/>
        </w:r>
        <w:r w:rsidR="00D00A3B">
          <w:rPr>
            <w:noProof/>
            <w:webHidden/>
          </w:rPr>
          <w:fldChar w:fldCharType="begin"/>
        </w:r>
        <w:r w:rsidR="00D00A3B">
          <w:rPr>
            <w:noProof/>
            <w:webHidden/>
          </w:rPr>
          <w:instrText xml:space="preserve"> PAGEREF _Toc100670665 \h </w:instrText>
        </w:r>
        <w:r w:rsidR="00D00A3B">
          <w:rPr>
            <w:noProof/>
            <w:webHidden/>
          </w:rPr>
        </w:r>
        <w:r w:rsidR="00D00A3B">
          <w:rPr>
            <w:noProof/>
            <w:webHidden/>
          </w:rPr>
          <w:fldChar w:fldCharType="separate"/>
        </w:r>
        <w:r w:rsidR="002101E0">
          <w:rPr>
            <w:noProof/>
            <w:webHidden/>
          </w:rPr>
          <w:t>30</w:t>
        </w:r>
        <w:r w:rsidR="00D00A3B">
          <w:rPr>
            <w:noProof/>
            <w:webHidden/>
          </w:rPr>
          <w:fldChar w:fldCharType="end"/>
        </w:r>
      </w:hyperlink>
    </w:p>
    <w:p w14:paraId="58DAFD1B" w14:textId="524D92C5" w:rsidR="00D00A3B" w:rsidRDefault="00A84B98">
      <w:pPr>
        <w:pStyle w:val="TableofFigures"/>
        <w:tabs>
          <w:tab w:val="right" w:leader="dot" w:pos="9350"/>
        </w:tabs>
        <w:rPr>
          <w:rFonts w:asciiTheme="minorHAnsi" w:eastAsiaTheme="minorEastAsia" w:hAnsiTheme="minorHAnsi"/>
          <w:noProof/>
        </w:rPr>
      </w:pPr>
      <w:hyperlink r:id="rId12" w:anchor="_Toc100670666" w:history="1">
        <w:r w:rsidR="00D00A3B" w:rsidRPr="0079492D">
          <w:rPr>
            <w:rStyle w:val="Hyperlink"/>
            <w:noProof/>
            <w:lang w:bidi="en-US"/>
          </w:rPr>
          <w:t>Figure 2. Inertial Measurement Unit (IMU) Placement.</w:t>
        </w:r>
        <w:r w:rsidR="00D00A3B">
          <w:rPr>
            <w:noProof/>
            <w:webHidden/>
          </w:rPr>
          <w:tab/>
        </w:r>
        <w:r w:rsidR="00D00A3B">
          <w:rPr>
            <w:noProof/>
            <w:webHidden/>
          </w:rPr>
          <w:fldChar w:fldCharType="begin"/>
        </w:r>
        <w:r w:rsidR="00D00A3B">
          <w:rPr>
            <w:noProof/>
            <w:webHidden/>
          </w:rPr>
          <w:instrText xml:space="preserve"> PAGEREF _Toc100670666 \h </w:instrText>
        </w:r>
        <w:r w:rsidR="00D00A3B">
          <w:rPr>
            <w:noProof/>
            <w:webHidden/>
          </w:rPr>
        </w:r>
        <w:r w:rsidR="00D00A3B">
          <w:rPr>
            <w:noProof/>
            <w:webHidden/>
          </w:rPr>
          <w:fldChar w:fldCharType="separate"/>
        </w:r>
        <w:r w:rsidR="002101E0">
          <w:rPr>
            <w:noProof/>
            <w:webHidden/>
          </w:rPr>
          <w:t>32</w:t>
        </w:r>
        <w:r w:rsidR="00D00A3B">
          <w:rPr>
            <w:noProof/>
            <w:webHidden/>
          </w:rPr>
          <w:fldChar w:fldCharType="end"/>
        </w:r>
      </w:hyperlink>
    </w:p>
    <w:p w14:paraId="642CDEFB" w14:textId="16801E9E" w:rsidR="00D00A3B" w:rsidRDefault="00A84B98">
      <w:pPr>
        <w:pStyle w:val="TableofFigures"/>
        <w:tabs>
          <w:tab w:val="right" w:leader="dot" w:pos="9350"/>
        </w:tabs>
        <w:rPr>
          <w:rFonts w:asciiTheme="minorHAnsi" w:eastAsiaTheme="minorEastAsia" w:hAnsiTheme="minorHAnsi"/>
          <w:noProof/>
        </w:rPr>
      </w:pPr>
      <w:hyperlink r:id="rId13" w:anchor="_Toc100670667" w:history="1">
        <w:r w:rsidR="00D00A3B" w:rsidRPr="0079492D">
          <w:rPr>
            <w:rStyle w:val="Hyperlink"/>
            <w:noProof/>
            <w:lang w:bidi="en-US"/>
          </w:rPr>
          <w:t>Figure 3. Differences in Duration of Training Between Week</w:t>
        </w:r>
        <w:r w:rsidR="00D00A3B">
          <w:rPr>
            <w:noProof/>
            <w:webHidden/>
          </w:rPr>
          <w:tab/>
        </w:r>
        <w:r w:rsidR="00D00A3B">
          <w:rPr>
            <w:noProof/>
            <w:webHidden/>
          </w:rPr>
          <w:fldChar w:fldCharType="begin"/>
        </w:r>
        <w:r w:rsidR="00D00A3B">
          <w:rPr>
            <w:noProof/>
            <w:webHidden/>
          </w:rPr>
          <w:instrText xml:space="preserve"> PAGEREF _Toc100670667 \h </w:instrText>
        </w:r>
        <w:r w:rsidR="00D00A3B">
          <w:rPr>
            <w:noProof/>
            <w:webHidden/>
          </w:rPr>
        </w:r>
        <w:r w:rsidR="00D00A3B">
          <w:rPr>
            <w:noProof/>
            <w:webHidden/>
          </w:rPr>
          <w:fldChar w:fldCharType="separate"/>
        </w:r>
        <w:r w:rsidR="002101E0">
          <w:rPr>
            <w:noProof/>
            <w:webHidden/>
          </w:rPr>
          <w:t>39</w:t>
        </w:r>
        <w:r w:rsidR="00D00A3B">
          <w:rPr>
            <w:noProof/>
            <w:webHidden/>
          </w:rPr>
          <w:fldChar w:fldCharType="end"/>
        </w:r>
      </w:hyperlink>
    </w:p>
    <w:p w14:paraId="28732BC9" w14:textId="033A1055" w:rsidR="00D00A3B" w:rsidRDefault="00A84B98">
      <w:pPr>
        <w:pStyle w:val="TableofFigures"/>
        <w:tabs>
          <w:tab w:val="right" w:leader="dot" w:pos="9350"/>
        </w:tabs>
        <w:rPr>
          <w:rFonts w:asciiTheme="minorHAnsi" w:eastAsiaTheme="minorEastAsia" w:hAnsiTheme="minorHAnsi"/>
          <w:noProof/>
        </w:rPr>
      </w:pPr>
      <w:hyperlink r:id="rId14" w:anchor="_Toc100670668" w:history="1">
        <w:r w:rsidR="00D00A3B" w:rsidRPr="0079492D">
          <w:rPr>
            <w:rStyle w:val="Hyperlink"/>
            <w:noProof/>
            <w:lang w:bidi="en-US"/>
          </w:rPr>
          <w:t>Figure 4. Differences in External Training Loads between Week</w:t>
        </w:r>
        <w:r w:rsidR="00D00A3B">
          <w:rPr>
            <w:noProof/>
            <w:webHidden/>
          </w:rPr>
          <w:tab/>
        </w:r>
        <w:r w:rsidR="00D00A3B">
          <w:rPr>
            <w:noProof/>
            <w:webHidden/>
          </w:rPr>
          <w:fldChar w:fldCharType="begin"/>
        </w:r>
        <w:r w:rsidR="00D00A3B">
          <w:rPr>
            <w:noProof/>
            <w:webHidden/>
          </w:rPr>
          <w:instrText xml:space="preserve"> PAGEREF _Toc100670668 \h </w:instrText>
        </w:r>
        <w:r w:rsidR="00D00A3B">
          <w:rPr>
            <w:noProof/>
            <w:webHidden/>
          </w:rPr>
        </w:r>
        <w:r w:rsidR="00D00A3B">
          <w:rPr>
            <w:noProof/>
            <w:webHidden/>
          </w:rPr>
          <w:fldChar w:fldCharType="separate"/>
        </w:r>
        <w:r w:rsidR="002101E0">
          <w:rPr>
            <w:noProof/>
            <w:webHidden/>
          </w:rPr>
          <w:t>41</w:t>
        </w:r>
        <w:r w:rsidR="00D00A3B">
          <w:rPr>
            <w:noProof/>
            <w:webHidden/>
          </w:rPr>
          <w:fldChar w:fldCharType="end"/>
        </w:r>
      </w:hyperlink>
    </w:p>
    <w:p w14:paraId="6563875F" w14:textId="0F47E148" w:rsidR="00D00A3B" w:rsidRDefault="00A84B98">
      <w:pPr>
        <w:pStyle w:val="TableofFigures"/>
        <w:tabs>
          <w:tab w:val="right" w:leader="dot" w:pos="9350"/>
        </w:tabs>
        <w:rPr>
          <w:rFonts w:asciiTheme="minorHAnsi" w:eastAsiaTheme="minorEastAsia" w:hAnsiTheme="minorHAnsi"/>
          <w:noProof/>
        </w:rPr>
      </w:pPr>
      <w:hyperlink r:id="rId15" w:anchor="_Toc100670669" w:history="1">
        <w:r w:rsidR="00D00A3B" w:rsidRPr="0079492D">
          <w:rPr>
            <w:rStyle w:val="Hyperlink"/>
            <w:noProof/>
            <w:lang w:bidi="en-US"/>
          </w:rPr>
          <w:t>Figure 5. Differences in Objective Internal Training Loads Between Week</w:t>
        </w:r>
        <w:r w:rsidR="00D00A3B">
          <w:rPr>
            <w:noProof/>
            <w:webHidden/>
          </w:rPr>
          <w:tab/>
        </w:r>
        <w:r w:rsidR="00D00A3B">
          <w:rPr>
            <w:noProof/>
            <w:webHidden/>
          </w:rPr>
          <w:fldChar w:fldCharType="begin"/>
        </w:r>
        <w:r w:rsidR="00D00A3B">
          <w:rPr>
            <w:noProof/>
            <w:webHidden/>
          </w:rPr>
          <w:instrText xml:space="preserve"> PAGEREF _Toc100670669 \h </w:instrText>
        </w:r>
        <w:r w:rsidR="00D00A3B">
          <w:rPr>
            <w:noProof/>
            <w:webHidden/>
          </w:rPr>
        </w:r>
        <w:r w:rsidR="00D00A3B">
          <w:rPr>
            <w:noProof/>
            <w:webHidden/>
          </w:rPr>
          <w:fldChar w:fldCharType="separate"/>
        </w:r>
        <w:r w:rsidR="002101E0">
          <w:rPr>
            <w:noProof/>
            <w:webHidden/>
          </w:rPr>
          <w:t>42</w:t>
        </w:r>
        <w:r w:rsidR="00D00A3B">
          <w:rPr>
            <w:noProof/>
            <w:webHidden/>
          </w:rPr>
          <w:fldChar w:fldCharType="end"/>
        </w:r>
      </w:hyperlink>
    </w:p>
    <w:p w14:paraId="364D410C" w14:textId="5ED3AA01" w:rsidR="00D00A3B" w:rsidRDefault="00A84B98">
      <w:pPr>
        <w:pStyle w:val="TableofFigures"/>
        <w:tabs>
          <w:tab w:val="right" w:leader="dot" w:pos="9350"/>
        </w:tabs>
        <w:rPr>
          <w:rFonts w:asciiTheme="minorHAnsi" w:eastAsiaTheme="minorEastAsia" w:hAnsiTheme="minorHAnsi"/>
          <w:noProof/>
        </w:rPr>
      </w:pPr>
      <w:hyperlink r:id="rId16" w:anchor="_Toc100670670" w:history="1">
        <w:r w:rsidR="00D00A3B" w:rsidRPr="0079492D">
          <w:rPr>
            <w:rStyle w:val="Hyperlink"/>
            <w:noProof/>
            <w:lang w:bidi="en-US"/>
          </w:rPr>
          <w:t>Figure 6. Differences in Subjective Internal Training Loads Between Week</w:t>
        </w:r>
        <w:r w:rsidR="00D00A3B">
          <w:rPr>
            <w:noProof/>
            <w:webHidden/>
          </w:rPr>
          <w:tab/>
        </w:r>
        <w:r w:rsidR="00D00A3B">
          <w:rPr>
            <w:noProof/>
            <w:webHidden/>
          </w:rPr>
          <w:fldChar w:fldCharType="begin"/>
        </w:r>
        <w:r w:rsidR="00D00A3B">
          <w:rPr>
            <w:noProof/>
            <w:webHidden/>
          </w:rPr>
          <w:instrText xml:space="preserve"> PAGEREF _Toc100670670 \h </w:instrText>
        </w:r>
        <w:r w:rsidR="00D00A3B">
          <w:rPr>
            <w:noProof/>
            <w:webHidden/>
          </w:rPr>
        </w:r>
        <w:r w:rsidR="00D00A3B">
          <w:rPr>
            <w:noProof/>
            <w:webHidden/>
          </w:rPr>
          <w:fldChar w:fldCharType="separate"/>
        </w:r>
        <w:r w:rsidR="002101E0">
          <w:rPr>
            <w:noProof/>
            <w:webHidden/>
          </w:rPr>
          <w:t>43</w:t>
        </w:r>
        <w:r w:rsidR="00D00A3B">
          <w:rPr>
            <w:noProof/>
            <w:webHidden/>
          </w:rPr>
          <w:fldChar w:fldCharType="end"/>
        </w:r>
      </w:hyperlink>
    </w:p>
    <w:p w14:paraId="4CC534A9" w14:textId="6EB63193" w:rsidR="00D00A3B" w:rsidRDefault="00A84B98">
      <w:pPr>
        <w:pStyle w:val="TableofFigures"/>
        <w:tabs>
          <w:tab w:val="right" w:leader="dot" w:pos="9350"/>
        </w:tabs>
        <w:rPr>
          <w:rFonts w:asciiTheme="minorHAnsi" w:eastAsiaTheme="minorEastAsia" w:hAnsiTheme="minorHAnsi"/>
          <w:noProof/>
        </w:rPr>
      </w:pPr>
      <w:hyperlink r:id="rId17" w:anchor="_Toc100670671" w:history="1">
        <w:r w:rsidR="00D00A3B" w:rsidRPr="0079492D">
          <w:rPr>
            <w:rStyle w:val="Hyperlink"/>
            <w:noProof/>
            <w:lang w:bidi="en-US"/>
          </w:rPr>
          <w:t>Figure 7. Differences in Countermovement Jump Performance Between Weeks</w:t>
        </w:r>
        <w:r w:rsidR="00D00A3B">
          <w:rPr>
            <w:noProof/>
            <w:webHidden/>
          </w:rPr>
          <w:tab/>
        </w:r>
        <w:r w:rsidR="00D00A3B">
          <w:rPr>
            <w:noProof/>
            <w:webHidden/>
          </w:rPr>
          <w:fldChar w:fldCharType="begin"/>
        </w:r>
        <w:r w:rsidR="00D00A3B">
          <w:rPr>
            <w:noProof/>
            <w:webHidden/>
          </w:rPr>
          <w:instrText xml:space="preserve"> PAGEREF _Toc100670671 \h </w:instrText>
        </w:r>
        <w:r w:rsidR="00D00A3B">
          <w:rPr>
            <w:noProof/>
            <w:webHidden/>
          </w:rPr>
        </w:r>
        <w:r w:rsidR="00D00A3B">
          <w:rPr>
            <w:noProof/>
            <w:webHidden/>
          </w:rPr>
          <w:fldChar w:fldCharType="separate"/>
        </w:r>
        <w:r w:rsidR="002101E0">
          <w:rPr>
            <w:noProof/>
            <w:webHidden/>
          </w:rPr>
          <w:t>44</w:t>
        </w:r>
        <w:r w:rsidR="00D00A3B">
          <w:rPr>
            <w:noProof/>
            <w:webHidden/>
          </w:rPr>
          <w:fldChar w:fldCharType="end"/>
        </w:r>
      </w:hyperlink>
    </w:p>
    <w:p w14:paraId="4482264A" w14:textId="23E840AF" w:rsidR="00D00A3B" w:rsidRDefault="00A84B98">
      <w:pPr>
        <w:pStyle w:val="TableofFigures"/>
        <w:tabs>
          <w:tab w:val="right" w:leader="dot" w:pos="9350"/>
        </w:tabs>
        <w:rPr>
          <w:rFonts w:asciiTheme="minorHAnsi" w:eastAsiaTheme="minorEastAsia" w:hAnsiTheme="minorHAnsi"/>
          <w:noProof/>
        </w:rPr>
      </w:pPr>
      <w:hyperlink r:id="rId18" w:anchor="_Toc100670672" w:history="1">
        <w:r w:rsidR="00D00A3B" w:rsidRPr="0079492D">
          <w:rPr>
            <w:rStyle w:val="Hyperlink"/>
            <w:noProof/>
            <w:lang w:bidi="en-US"/>
          </w:rPr>
          <w:t>Figure 8. Differences in Countermovement Jump Performance Between Weeks</w:t>
        </w:r>
        <w:r w:rsidR="00D00A3B">
          <w:rPr>
            <w:noProof/>
            <w:webHidden/>
          </w:rPr>
          <w:tab/>
        </w:r>
        <w:r w:rsidR="00D00A3B">
          <w:rPr>
            <w:noProof/>
            <w:webHidden/>
          </w:rPr>
          <w:fldChar w:fldCharType="begin"/>
        </w:r>
        <w:r w:rsidR="00D00A3B">
          <w:rPr>
            <w:noProof/>
            <w:webHidden/>
          </w:rPr>
          <w:instrText xml:space="preserve"> PAGEREF _Toc100670672 \h </w:instrText>
        </w:r>
        <w:r w:rsidR="00D00A3B">
          <w:rPr>
            <w:noProof/>
            <w:webHidden/>
          </w:rPr>
        </w:r>
        <w:r w:rsidR="00D00A3B">
          <w:rPr>
            <w:noProof/>
            <w:webHidden/>
          </w:rPr>
          <w:fldChar w:fldCharType="separate"/>
        </w:r>
        <w:r w:rsidR="002101E0">
          <w:rPr>
            <w:noProof/>
            <w:webHidden/>
          </w:rPr>
          <w:t>45</w:t>
        </w:r>
        <w:r w:rsidR="00D00A3B">
          <w:rPr>
            <w:noProof/>
            <w:webHidden/>
          </w:rPr>
          <w:fldChar w:fldCharType="end"/>
        </w:r>
      </w:hyperlink>
    </w:p>
    <w:p w14:paraId="5003B821" w14:textId="2B341848" w:rsidR="00D00A3B" w:rsidRDefault="00A84B98">
      <w:pPr>
        <w:pStyle w:val="TableofFigures"/>
        <w:tabs>
          <w:tab w:val="right" w:leader="dot" w:pos="9350"/>
        </w:tabs>
        <w:rPr>
          <w:rFonts w:asciiTheme="minorHAnsi" w:eastAsiaTheme="minorEastAsia" w:hAnsiTheme="minorHAnsi"/>
          <w:noProof/>
        </w:rPr>
      </w:pPr>
      <w:hyperlink r:id="rId19" w:anchor="_Toc100670673" w:history="1">
        <w:r w:rsidR="00D00A3B" w:rsidRPr="0079492D">
          <w:rPr>
            <w:rStyle w:val="Hyperlink"/>
            <w:noProof/>
            <w:lang w:bidi="en-US"/>
          </w:rPr>
          <w:t>Figure 9. Differences in Countermovement Jump Performance Between Weeks</w:t>
        </w:r>
        <w:r w:rsidR="00D00A3B">
          <w:rPr>
            <w:noProof/>
            <w:webHidden/>
          </w:rPr>
          <w:tab/>
        </w:r>
        <w:r w:rsidR="00D00A3B">
          <w:rPr>
            <w:noProof/>
            <w:webHidden/>
          </w:rPr>
          <w:fldChar w:fldCharType="begin"/>
        </w:r>
        <w:r w:rsidR="00D00A3B">
          <w:rPr>
            <w:noProof/>
            <w:webHidden/>
          </w:rPr>
          <w:instrText xml:space="preserve"> PAGEREF _Toc100670673 \h </w:instrText>
        </w:r>
        <w:r w:rsidR="00D00A3B">
          <w:rPr>
            <w:noProof/>
            <w:webHidden/>
          </w:rPr>
        </w:r>
        <w:r w:rsidR="00D00A3B">
          <w:rPr>
            <w:noProof/>
            <w:webHidden/>
          </w:rPr>
          <w:fldChar w:fldCharType="separate"/>
        </w:r>
        <w:r w:rsidR="002101E0">
          <w:rPr>
            <w:noProof/>
            <w:webHidden/>
          </w:rPr>
          <w:t>46</w:t>
        </w:r>
        <w:r w:rsidR="00D00A3B">
          <w:rPr>
            <w:noProof/>
            <w:webHidden/>
          </w:rPr>
          <w:fldChar w:fldCharType="end"/>
        </w:r>
      </w:hyperlink>
    </w:p>
    <w:p w14:paraId="39BB9C43" w14:textId="39C32F0C" w:rsidR="00D00A3B" w:rsidRDefault="00A84B98">
      <w:pPr>
        <w:pStyle w:val="TableofFigures"/>
        <w:tabs>
          <w:tab w:val="right" w:leader="dot" w:pos="9350"/>
        </w:tabs>
        <w:rPr>
          <w:rFonts w:asciiTheme="minorHAnsi" w:eastAsiaTheme="minorEastAsia" w:hAnsiTheme="minorHAnsi"/>
          <w:noProof/>
        </w:rPr>
      </w:pPr>
      <w:hyperlink r:id="rId20" w:anchor="_Toc100670674" w:history="1">
        <w:r w:rsidR="00D00A3B" w:rsidRPr="0079492D">
          <w:rPr>
            <w:rStyle w:val="Hyperlink"/>
            <w:noProof/>
            <w:lang w:bidi="en-US"/>
          </w:rPr>
          <w:t>Figure 10. Endocrine Baseline Assessments</w:t>
        </w:r>
        <w:r w:rsidR="00D00A3B">
          <w:rPr>
            <w:noProof/>
            <w:webHidden/>
          </w:rPr>
          <w:tab/>
        </w:r>
        <w:r w:rsidR="00D00A3B">
          <w:rPr>
            <w:noProof/>
            <w:webHidden/>
          </w:rPr>
          <w:fldChar w:fldCharType="begin"/>
        </w:r>
        <w:r w:rsidR="00D00A3B">
          <w:rPr>
            <w:noProof/>
            <w:webHidden/>
          </w:rPr>
          <w:instrText xml:space="preserve"> PAGEREF _Toc100670674 \h </w:instrText>
        </w:r>
        <w:r w:rsidR="00D00A3B">
          <w:rPr>
            <w:noProof/>
            <w:webHidden/>
          </w:rPr>
        </w:r>
        <w:r w:rsidR="00D00A3B">
          <w:rPr>
            <w:noProof/>
            <w:webHidden/>
          </w:rPr>
          <w:fldChar w:fldCharType="separate"/>
        </w:r>
        <w:r w:rsidR="002101E0">
          <w:rPr>
            <w:noProof/>
            <w:webHidden/>
          </w:rPr>
          <w:t>53</w:t>
        </w:r>
        <w:r w:rsidR="00D00A3B">
          <w:rPr>
            <w:noProof/>
            <w:webHidden/>
          </w:rPr>
          <w:fldChar w:fldCharType="end"/>
        </w:r>
      </w:hyperlink>
    </w:p>
    <w:p w14:paraId="6D667ABF" w14:textId="22A43831" w:rsidR="00D00A3B" w:rsidRDefault="00A84B98">
      <w:pPr>
        <w:pStyle w:val="TableofFigures"/>
        <w:tabs>
          <w:tab w:val="right" w:leader="dot" w:pos="9350"/>
        </w:tabs>
        <w:rPr>
          <w:rFonts w:asciiTheme="minorHAnsi" w:eastAsiaTheme="minorEastAsia" w:hAnsiTheme="minorHAnsi"/>
          <w:noProof/>
        </w:rPr>
      </w:pPr>
      <w:hyperlink r:id="rId21" w:anchor="_Toc100670675" w:history="1">
        <w:r w:rsidR="00D00A3B" w:rsidRPr="0079492D">
          <w:rPr>
            <w:rStyle w:val="Hyperlink"/>
            <w:noProof/>
            <w:lang w:bidi="en-US"/>
          </w:rPr>
          <w:t>Figure 11. Endocrine Responses Across Time</w:t>
        </w:r>
        <w:r w:rsidR="00D00A3B">
          <w:rPr>
            <w:noProof/>
            <w:webHidden/>
          </w:rPr>
          <w:tab/>
        </w:r>
        <w:r w:rsidR="00D00A3B">
          <w:rPr>
            <w:noProof/>
            <w:webHidden/>
          </w:rPr>
          <w:fldChar w:fldCharType="begin"/>
        </w:r>
        <w:r w:rsidR="00D00A3B">
          <w:rPr>
            <w:noProof/>
            <w:webHidden/>
          </w:rPr>
          <w:instrText xml:space="preserve"> PAGEREF _Toc100670675 \h </w:instrText>
        </w:r>
        <w:r w:rsidR="00D00A3B">
          <w:rPr>
            <w:noProof/>
            <w:webHidden/>
          </w:rPr>
        </w:r>
        <w:r w:rsidR="00D00A3B">
          <w:rPr>
            <w:noProof/>
            <w:webHidden/>
          </w:rPr>
          <w:fldChar w:fldCharType="separate"/>
        </w:r>
        <w:r w:rsidR="002101E0">
          <w:rPr>
            <w:noProof/>
            <w:webHidden/>
          </w:rPr>
          <w:t>54</w:t>
        </w:r>
        <w:r w:rsidR="00D00A3B">
          <w:rPr>
            <w:noProof/>
            <w:webHidden/>
          </w:rPr>
          <w:fldChar w:fldCharType="end"/>
        </w:r>
      </w:hyperlink>
    </w:p>
    <w:p w14:paraId="0F7FEB60" w14:textId="246BBF68" w:rsidR="00D00A3B" w:rsidRDefault="00A84B98">
      <w:pPr>
        <w:pStyle w:val="TableofFigures"/>
        <w:tabs>
          <w:tab w:val="right" w:leader="dot" w:pos="9350"/>
        </w:tabs>
        <w:rPr>
          <w:rFonts w:asciiTheme="minorHAnsi" w:eastAsiaTheme="minorEastAsia" w:hAnsiTheme="minorHAnsi"/>
          <w:noProof/>
        </w:rPr>
      </w:pPr>
      <w:hyperlink r:id="rId22" w:anchor="_Toc100670676" w:history="1">
        <w:r w:rsidR="00D00A3B" w:rsidRPr="0079492D">
          <w:rPr>
            <w:rStyle w:val="Hyperlink"/>
            <w:noProof/>
            <w:lang w:bidi="en-US"/>
          </w:rPr>
          <w:t>Figure 12. Individual Endocrine Responses Across Time</w:t>
        </w:r>
        <w:r w:rsidR="00D00A3B">
          <w:rPr>
            <w:noProof/>
            <w:webHidden/>
          </w:rPr>
          <w:tab/>
        </w:r>
        <w:r w:rsidR="00D00A3B">
          <w:rPr>
            <w:noProof/>
            <w:webHidden/>
          </w:rPr>
          <w:fldChar w:fldCharType="begin"/>
        </w:r>
        <w:r w:rsidR="00D00A3B">
          <w:rPr>
            <w:noProof/>
            <w:webHidden/>
          </w:rPr>
          <w:instrText xml:space="preserve"> PAGEREF _Toc100670676 \h </w:instrText>
        </w:r>
        <w:r w:rsidR="00D00A3B">
          <w:rPr>
            <w:noProof/>
            <w:webHidden/>
          </w:rPr>
        </w:r>
        <w:r w:rsidR="00D00A3B">
          <w:rPr>
            <w:noProof/>
            <w:webHidden/>
          </w:rPr>
          <w:fldChar w:fldCharType="separate"/>
        </w:r>
        <w:r w:rsidR="002101E0">
          <w:rPr>
            <w:noProof/>
            <w:webHidden/>
          </w:rPr>
          <w:t>55</w:t>
        </w:r>
        <w:r w:rsidR="00D00A3B">
          <w:rPr>
            <w:noProof/>
            <w:webHidden/>
          </w:rPr>
          <w:fldChar w:fldCharType="end"/>
        </w:r>
      </w:hyperlink>
    </w:p>
    <w:p w14:paraId="39756A43" w14:textId="4D9B4877" w:rsidR="00D00A3B" w:rsidRDefault="00A84B98">
      <w:pPr>
        <w:pStyle w:val="TableofFigures"/>
        <w:tabs>
          <w:tab w:val="right" w:leader="dot" w:pos="9350"/>
        </w:tabs>
        <w:rPr>
          <w:rFonts w:asciiTheme="minorHAnsi" w:eastAsiaTheme="minorEastAsia" w:hAnsiTheme="minorHAnsi"/>
          <w:noProof/>
        </w:rPr>
      </w:pPr>
      <w:hyperlink r:id="rId23" w:anchor="_Toc100670677" w:history="1">
        <w:r w:rsidR="00D00A3B" w:rsidRPr="0079492D">
          <w:rPr>
            <w:rStyle w:val="Hyperlink"/>
            <w:noProof/>
            <w:lang w:bidi="en-US"/>
          </w:rPr>
          <w:t>Figure 13. Endocrine Absolute Changes Across Time</w:t>
        </w:r>
        <w:r w:rsidR="00D00A3B">
          <w:rPr>
            <w:noProof/>
            <w:webHidden/>
          </w:rPr>
          <w:tab/>
        </w:r>
        <w:r w:rsidR="00D00A3B">
          <w:rPr>
            <w:noProof/>
            <w:webHidden/>
          </w:rPr>
          <w:fldChar w:fldCharType="begin"/>
        </w:r>
        <w:r w:rsidR="00D00A3B">
          <w:rPr>
            <w:noProof/>
            <w:webHidden/>
          </w:rPr>
          <w:instrText xml:space="preserve"> PAGEREF _Toc100670677 \h </w:instrText>
        </w:r>
        <w:r w:rsidR="00D00A3B">
          <w:rPr>
            <w:noProof/>
            <w:webHidden/>
          </w:rPr>
        </w:r>
        <w:r w:rsidR="00D00A3B">
          <w:rPr>
            <w:noProof/>
            <w:webHidden/>
          </w:rPr>
          <w:fldChar w:fldCharType="separate"/>
        </w:r>
        <w:r w:rsidR="002101E0">
          <w:rPr>
            <w:noProof/>
            <w:webHidden/>
          </w:rPr>
          <w:t>56</w:t>
        </w:r>
        <w:r w:rsidR="00D00A3B">
          <w:rPr>
            <w:noProof/>
            <w:webHidden/>
          </w:rPr>
          <w:fldChar w:fldCharType="end"/>
        </w:r>
      </w:hyperlink>
    </w:p>
    <w:p w14:paraId="687A6281" w14:textId="50566749" w:rsidR="00D00A3B" w:rsidRDefault="00A84B98">
      <w:pPr>
        <w:pStyle w:val="TableofFigures"/>
        <w:tabs>
          <w:tab w:val="right" w:leader="dot" w:pos="9350"/>
        </w:tabs>
        <w:rPr>
          <w:rFonts w:asciiTheme="minorHAnsi" w:eastAsiaTheme="minorEastAsia" w:hAnsiTheme="minorHAnsi"/>
          <w:noProof/>
        </w:rPr>
      </w:pPr>
      <w:hyperlink r:id="rId24" w:anchor="_Toc100670678" w:history="1">
        <w:r w:rsidR="00D00A3B" w:rsidRPr="0079492D">
          <w:rPr>
            <w:rStyle w:val="Hyperlink"/>
            <w:noProof/>
            <w:lang w:bidi="en-US"/>
          </w:rPr>
          <w:t>Figure 14. Endocrine Relative Changes Across Time</w:t>
        </w:r>
        <w:r w:rsidR="00D00A3B">
          <w:rPr>
            <w:noProof/>
            <w:webHidden/>
          </w:rPr>
          <w:tab/>
        </w:r>
        <w:r w:rsidR="00D00A3B">
          <w:rPr>
            <w:noProof/>
            <w:webHidden/>
          </w:rPr>
          <w:fldChar w:fldCharType="begin"/>
        </w:r>
        <w:r w:rsidR="00D00A3B">
          <w:rPr>
            <w:noProof/>
            <w:webHidden/>
          </w:rPr>
          <w:instrText xml:space="preserve"> PAGEREF _Toc100670678 \h </w:instrText>
        </w:r>
        <w:r w:rsidR="00D00A3B">
          <w:rPr>
            <w:noProof/>
            <w:webHidden/>
          </w:rPr>
        </w:r>
        <w:r w:rsidR="00D00A3B">
          <w:rPr>
            <w:noProof/>
            <w:webHidden/>
          </w:rPr>
          <w:fldChar w:fldCharType="separate"/>
        </w:r>
        <w:r w:rsidR="002101E0">
          <w:rPr>
            <w:noProof/>
            <w:webHidden/>
          </w:rPr>
          <w:t>57</w:t>
        </w:r>
        <w:r w:rsidR="00D00A3B">
          <w:rPr>
            <w:noProof/>
            <w:webHidden/>
          </w:rPr>
          <w:fldChar w:fldCharType="end"/>
        </w:r>
      </w:hyperlink>
    </w:p>
    <w:p w14:paraId="480A6631" w14:textId="3A21EAB8" w:rsidR="007121D3" w:rsidRDefault="0046205E" w:rsidP="001B5ACB">
      <w:pPr>
        <w:spacing w:line="480" w:lineRule="auto"/>
        <w:rPr>
          <w:rFonts w:ascii="Times New Roman" w:hAnsi="Times New Roman" w:cs="Times New Roman"/>
          <w:b/>
          <w:bCs/>
        </w:rPr>
      </w:pPr>
      <w:r>
        <w:rPr>
          <w:rFonts w:ascii="Times New Roman" w:hAnsi="Times New Roman" w:cs="Times New Roman"/>
          <w:b/>
          <w:bCs/>
        </w:rPr>
        <w:fldChar w:fldCharType="end"/>
      </w:r>
    </w:p>
    <w:p w14:paraId="29419BE0" w14:textId="020420AB" w:rsidR="007121D3" w:rsidRDefault="00B9649F" w:rsidP="00B9649F">
      <w:pPr>
        <w:rPr>
          <w:rFonts w:ascii="Times New Roman" w:hAnsi="Times New Roman" w:cs="Times New Roman"/>
          <w:b/>
          <w:bCs/>
        </w:rPr>
      </w:pPr>
      <w:r>
        <w:rPr>
          <w:rFonts w:ascii="Times New Roman" w:hAnsi="Times New Roman" w:cs="Times New Roman"/>
          <w:b/>
          <w:bCs/>
        </w:rPr>
        <w:br w:type="page"/>
      </w:r>
    </w:p>
    <w:p w14:paraId="3D47C73D" w14:textId="2B1147D8" w:rsidR="001B5ACB" w:rsidRPr="00C10902" w:rsidRDefault="00BF17CE" w:rsidP="00A70EC6">
      <w:pPr>
        <w:pStyle w:val="Heading1"/>
        <w:spacing w:line="480" w:lineRule="auto"/>
        <w:jc w:val="center"/>
        <w:rPr>
          <w:rFonts w:ascii="Times New Roman" w:hAnsi="Times New Roman" w:cs="Times New Roman"/>
          <w:b/>
          <w:bCs/>
          <w:color w:val="000000" w:themeColor="text1"/>
          <w:sz w:val="28"/>
          <w:szCs w:val="28"/>
        </w:rPr>
      </w:pPr>
      <w:bookmarkStart w:id="3" w:name="_Toc99267594"/>
      <w:r>
        <w:rPr>
          <w:rFonts w:ascii="Times New Roman" w:hAnsi="Times New Roman" w:cs="Times New Roman"/>
          <w:b/>
          <w:bCs/>
          <w:color w:val="000000" w:themeColor="text1"/>
          <w:sz w:val="28"/>
          <w:szCs w:val="28"/>
        </w:rPr>
        <w:lastRenderedPageBreak/>
        <w:t>A</w:t>
      </w:r>
      <w:r w:rsidR="001B5ACB" w:rsidRPr="00C10902">
        <w:rPr>
          <w:rFonts w:ascii="Times New Roman" w:hAnsi="Times New Roman" w:cs="Times New Roman"/>
          <w:b/>
          <w:bCs/>
          <w:color w:val="000000" w:themeColor="text1"/>
          <w:sz w:val="28"/>
          <w:szCs w:val="28"/>
        </w:rPr>
        <w:t>bstract</w:t>
      </w:r>
      <w:bookmarkEnd w:id="3"/>
    </w:p>
    <w:p w14:paraId="3D06C45E" w14:textId="7C7DB01D" w:rsidR="00AD6086" w:rsidRPr="0075447F" w:rsidRDefault="00A70EC6" w:rsidP="0075447F">
      <w:pPr>
        <w:spacing w:line="480" w:lineRule="auto"/>
        <w:ind w:firstLine="720"/>
        <w:jc w:val="both"/>
        <w:rPr>
          <w:rFonts w:ascii="Times New Roman" w:hAnsi="Times New Roman" w:cs="Times New Roman"/>
        </w:rPr>
      </w:pPr>
      <w:r>
        <w:rPr>
          <w:rFonts w:ascii="Times New Roman" w:hAnsi="Times New Roman" w:cs="Times New Roman"/>
          <w:b/>
          <w:bCs/>
        </w:rPr>
        <w:t xml:space="preserve">Introduction: </w:t>
      </w:r>
      <w:r w:rsidR="00E85316">
        <w:rPr>
          <w:rFonts w:ascii="Times New Roman" w:hAnsi="Times New Roman" w:cs="Times New Roman"/>
        </w:rPr>
        <w:t xml:space="preserve">Elite athletes undergo vigorous training in the effort to initiate physiological responses that over time accumulate to cause positive adaptation, which result in improvements in physical performance. </w:t>
      </w:r>
      <w:r w:rsidR="000D44A7">
        <w:rPr>
          <w:rFonts w:ascii="Times New Roman" w:hAnsi="Times New Roman" w:cs="Times New Roman"/>
        </w:rPr>
        <w:t>The training stimuli elicit responses from the endocrine and neuromuscular systems that play a part in adaptations and states of recovery. Approaches have been used to monitor the status of the athletes including observing changes in biochemical markers or neuromuscular performance.</w:t>
      </w:r>
      <w:r w:rsidR="008174A2" w:rsidRPr="008174A2">
        <w:rPr>
          <w:rFonts w:ascii="Times New Roman" w:hAnsi="Times New Roman" w:cs="Times New Roman"/>
        </w:rPr>
        <w:t xml:space="preserve"> </w:t>
      </w:r>
      <w:r w:rsidR="008174A2">
        <w:rPr>
          <w:rFonts w:ascii="Times New Roman" w:hAnsi="Times New Roman" w:cs="Times New Roman"/>
        </w:rPr>
        <w:t>The preseason is thought to be very strenuous on the players in that they are in the midst of academic stressors as well as the physically taxing nature of the sport in parallel with energy system development and resistance training in preparation to build the resiliency for the duration of the season</w:t>
      </w:r>
      <w:r w:rsidR="00641B98">
        <w:rPr>
          <w:rFonts w:ascii="Times New Roman" w:hAnsi="Times New Roman" w:cs="Times New Roman"/>
        </w:rPr>
        <w:t xml:space="preserve">. </w:t>
      </w:r>
      <w:r w:rsidR="005B7C7D">
        <w:rPr>
          <w:rFonts w:ascii="Times New Roman" w:hAnsi="Times New Roman" w:cs="Times New Roman"/>
        </w:rPr>
        <w:t>Monitoring biochemical ma</w:t>
      </w:r>
      <w:r w:rsidR="00B55C07">
        <w:rPr>
          <w:rFonts w:ascii="Times New Roman" w:hAnsi="Times New Roman" w:cs="Times New Roman"/>
        </w:rPr>
        <w:t>r</w:t>
      </w:r>
      <w:r w:rsidR="005B7C7D">
        <w:rPr>
          <w:rFonts w:ascii="Times New Roman" w:hAnsi="Times New Roman" w:cs="Times New Roman"/>
        </w:rPr>
        <w:t xml:space="preserve">kers in conjunction with neuromuscular performance may provide useful information for the evaluation of recovery and strain of the athlete. Coupling the measurements </w:t>
      </w:r>
      <w:r w:rsidR="00A6485A">
        <w:rPr>
          <w:rFonts w:ascii="Times New Roman" w:hAnsi="Times New Roman" w:cs="Times New Roman"/>
        </w:rPr>
        <w:t>of testosterone (T) and cortisol</w:t>
      </w:r>
      <w:r w:rsidR="005B7C7D">
        <w:rPr>
          <w:rFonts w:ascii="Times New Roman" w:hAnsi="Times New Roman" w:cs="Times New Roman"/>
        </w:rPr>
        <w:t xml:space="preserve"> </w:t>
      </w:r>
      <w:r w:rsidR="00A6485A">
        <w:rPr>
          <w:rFonts w:ascii="Times New Roman" w:hAnsi="Times New Roman" w:cs="Times New Roman"/>
        </w:rPr>
        <w:t xml:space="preserve">(C) for </w:t>
      </w:r>
      <w:r w:rsidR="005B7C7D">
        <w:rPr>
          <w:rFonts w:ascii="Times New Roman" w:hAnsi="Times New Roman" w:cs="Times New Roman"/>
        </w:rPr>
        <w:t xml:space="preserve">hormonal analyses and a sport specific performance test may enhance capacities as a performance practitioner to adjust training sessions in the attempt to enable optimal recovery and positive adaptations. </w:t>
      </w:r>
      <w:r>
        <w:rPr>
          <w:rFonts w:ascii="Times New Roman" w:hAnsi="Times New Roman" w:cs="Times New Roman"/>
          <w:b/>
          <w:bCs/>
        </w:rPr>
        <w:t xml:space="preserve">Purpose: </w:t>
      </w:r>
      <w:r w:rsidR="00D01C5C" w:rsidRPr="00806D2D">
        <w:rPr>
          <w:rFonts w:ascii="Times New Roman" w:hAnsi="Times New Roman"/>
          <w:color w:val="000000" w:themeColor="text1"/>
        </w:rPr>
        <w:t xml:space="preserve">The primary purpose of this </w:t>
      </w:r>
      <w:r w:rsidR="00D01C5C">
        <w:rPr>
          <w:rFonts w:ascii="Times New Roman" w:hAnsi="Times New Roman"/>
          <w:color w:val="000000" w:themeColor="text1"/>
        </w:rPr>
        <w:t>study</w:t>
      </w:r>
      <w:r w:rsidR="00D01C5C" w:rsidRPr="00806D2D">
        <w:rPr>
          <w:rFonts w:ascii="Times New Roman" w:hAnsi="Times New Roman"/>
          <w:color w:val="000000" w:themeColor="text1"/>
        </w:rPr>
        <w:t xml:space="preserve"> </w:t>
      </w:r>
      <w:r w:rsidR="00D01C5C">
        <w:rPr>
          <w:rFonts w:ascii="Times New Roman" w:hAnsi="Times New Roman"/>
          <w:color w:val="000000" w:themeColor="text1"/>
        </w:rPr>
        <w:t>was</w:t>
      </w:r>
      <w:r w:rsidR="00D01C5C" w:rsidRPr="00806D2D">
        <w:rPr>
          <w:rFonts w:ascii="Times New Roman" w:hAnsi="Times New Roman"/>
          <w:color w:val="000000" w:themeColor="text1"/>
        </w:rPr>
        <w:t xml:space="preserve"> to evaluate </w:t>
      </w:r>
      <w:r w:rsidR="00D01C5C">
        <w:rPr>
          <w:rFonts w:ascii="Times New Roman" w:hAnsi="Times New Roman"/>
          <w:color w:val="000000" w:themeColor="text1"/>
        </w:rPr>
        <w:t>changes in biochemical markers, specifically T</w:t>
      </w:r>
      <w:r w:rsidR="00D72FAB">
        <w:rPr>
          <w:rFonts w:ascii="Times New Roman" w:hAnsi="Times New Roman"/>
          <w:color w:val="000000" w:themeColor="text1"/>
        </w:rPr>
        <w:t>estosterone</w:t>
      </w:r>
      <w:r w:rsidR="00D01C5C">
        <w:rPr>
          <w:rFonts w:ascii="Times New Roman" w:hAnsi="Times New Roman"/>
          <w:color w:val="000000" w:themeColor="text1"/>
        </w:rPr>
        <w:t xml:space="preserve"> and C</w:t>
      </w:r>
      <w:r w:rsidR="00D72FAB">
        <w:rPr>
          <w:rFonts w:ascii="Times New Roman" w:hAnsi="Times New Roman"/>
          <w:color w:val="000000" w:themeColor="text1"/>
        </w:rPr>
        <w:t>ortisol</w:t>
      </w:r>
      <w:r w:rsidR="00D01C5C">
        <w:rPr>
          <w:rFonts w:ascii="Times New Roman" w:hAnsi="Times New Roman"/>
          <w:color w:val="000000" w:themeColor="text1"/>
        </w:rPr>
        <w:t xml:space="preserve">, and the </w:t>
      </w:r>
      <w:proofErr w:type="spellStart"/>
      <w:r w:rsidR="00D01C5C">
        <w:rPr>
          <w:rFonts w:ascii="Times New Roman" w:hAnsi="Times New Roman"/>
          <w:color w:val="000000" w:themeColor="text1"/>
        </w:rPr>
        <w:t>T</w:t>
      </w:r>
      <w:r w:rsidR="00D72FAB">
        <w:rPr>
          <w:rFonts w:ascii="Times New Roman" w:hAnsi="Times New Roman"/>
          <w:color w:val="000000" w:themeColor="text1"/>
        </w:rPr>
        <w:t>estosterone</w:t>
      </w:r>
      <w:r w:rsidR="00D01C5C">
        <w:rPr>
          <w:rFonts w:ascii="Times New Roman" w:hAnsi="Times New Roman"/>
          <w:color w:val="000000" w:themeColor="text1"/>
        </w:rPr>
        <w:t>:C</w:t>
      </w:r>
      <w:r w:rsidR="00D72FAB">
        <w:rPr>
          <w:rFonts w:ascii="Times New Roman" w:hAnsi="Times New Roman"/>
          <w:color w:val="000000" w:themeColor="text1"/>
        </w:rPr>
        <w:t>ortisol</w:t>
      </w:r>
      <w:proofErr w:type="spellEnd"/>
      <w:r w:rsidR="00D72FAB">
        <w:rPr>
          <w:rFonts w:ascii="Times New Roman" w:hAnsi="Times New Roman"/>
          <w:color w:val="000000" w:themeColor="text1"/>
        </w:rPr>
        <w:t xml:space="preserve"> (T:C)</w:t>
      </w:r>
      <w:r w:rsidR="00D01C5C">
        <w:rPr>
          <w:rFonts w:ascii="Times New Roman" w:hAnsi="Times New Roman"/>
          <w:color w:val="000000" w:themeColor="text1"/>
        </w:rPr>
        <w:t xml:space="preserve"> ratio, as well as neuromuscular performance over the course of the preseason. </w:t>
      </w:r>
      <w:r>
        <w:rPr>
          <w:rFonts w:ascii="Times New Roman" w:hAnsi="Times New Roman" w:cs="Times New Roman"/>
          <w:b/>
          <w:bCs/>
        </w:rPr>
        <w:t xml:space="preserve">Methods: </w:t>
      </w:r>
      <w:r w:rsidR="00E74A24">
        <w:rPr>
          <w:rFonts w:ascii="Times New Roman" w:hAnsi="Times New Roman" w:cs="Times New Roman"/>
        </w:rPr>
        <w:t xml:space="preserve">This retrospective study included 15 </w:t>
      </w:r>
      <w:r w:rsidR="00AB7877">
        <w:rPr>
          <w:rFonts w:ascii="Times New Roman" w:hAnsi="Times New Roman" w:cs="Times New Roman"/>
        </w:rPr>
        <w:t xml:space="preserve">male </w:t>
      </w:r>
      <w:r w:rsidR="00E74A24">
        <w:rPr>
          <w:rFonts w:ascii="Times New Roman" w:hAnsi="Times New Roman" w:cs="Times New Roman"/>
        </w:rPr>
        <w:t xml:space="preserve">NCAA Division I </w:t>
      </w:r>
      <w:r w:rsidR="00AB7877">
        <w:rPr>
          <w:rFonts w:ascii="Times New Roman" w:hAnsi="Times New Roman" w:cs="Times New Roman"/>
        </w:rPr>
        <w:t xml:space="preserve">basketball players that participated in sport specific training sessions in the preseason training phase. </w:t>
      </w:r>
      <w:r w:rsidR="00917AD6">
        <w:rPr>
          <w:rFonts w:ascii="Times New Roman" w:hAnsi="Times New Roman" w:cs="Times New Roman"/>
        </w:rPr>
        <w:t xml:space="preserve">Participants provided </w:t>
      </w:r>
      <w:r w:rsidR="00A6485A">
        <w:rPr>
          <w:rFonts w:ascii="Times New Roman" w:hAnsi="Times New Roman" w:cs="Times New Roman"/>
        </w:rPr>
        <w:t xml:space="preserve">written </w:t>
      </w:r>
      <w:r w:rsidR="00917AD6">
        <w:rPr>
          <w:rFonts w:ascii="Times New Roman" w:hAnsi="Times New Roman" w:cs="Times New Roman"/>
        </w:rPr>
        <w:t>informed consent for their data to be included in the analyses, de-identified</w:t>
      </w:r>
      <w:r w:rsidR="00917AD6" w:rsidRPr="00D55AEE">
        <w:rPr>
          <w:rFonts w:ascii="Times New Roman" w:hAnsi="Times New Roman" w:cs="Times New Roman"/>
        </w:rPr>
        <w:t xml:space="preserve"> data </w:t>
      </w:r>
      <w:r w:rsidR="00917AD6">
        <w:rPr>
          <w:rFonts w:ascii="Times New Roman" w:hAnsi="Times New Roman" w:cs="Times New Roman"/>
        </w:rPr>
        <w:t xml:space="preserve">was </w:t>
      </w:r>
      <w:r w:rsidR="00917AD6" w:rsidRPr="00D55AEE">
        <w:rPr>
          <w:rFonts w:ascii="Times New Roman" w:hAnsi="Times New Roman" w:cs="Times New Roman"/>
        </w:rPr>
        <w:t xml:space="preserve">given to the research team </w:t>
      </w:r>
      <w:r w:rsidR="00917AD6">
        <w:rPr>
          <w:rFonts w:ascii="Times New Roman" w:hAnsi="Times New Roman" w:cs="Times New Roman"/>
        </w:rPr>
        <w:t xml:space="preserve">by the athlete performance staff for analysis. </w:t>
      </w:r>
      <w:r w:rsidR="006855BF">
        <w:rPr>
          <w:rFonts w:ascii="Times New Roman" w:hAnsi="Times New Roman" w:cs="Times New Roman"/>
        </w:rPr>
        <w:t>P</w:t>
      </w:r>
      <w:r w:rsidR="006855BF" w:rsidRPr="004F0C66">
        <w:rPr>
          <w:rFonts w:ascii="Times New Roman" w:hAnsi="Times New Roman" w:cs="Times New Roman"/>
        </w:rPr>
        <w:t>articipants provide</w:t>
      </w:r>
      <w:r w:rsidR="006855BF">
        <w:rPr>
          <w:rFonts w:ascii="Times New Roman" w:hAnsi="Times New Roman" w:cs="Times New Roman"/>
        </w:rPr>
        <w:t>d</w:t>
      </w:r>
      <w:r w:rsidR="006855BF" w:rsidRPr="004F0C66">
        <w:rPr>
          <w:rFonts w:ascii="Times New Roman" w:hAnsi="Times New Roman" w:cs="Times New Roman"/>
        </w:rPr>
        <w:t xml:space="preserve"> a salivary sample on a day of no activity </w:t>
      </w:r>
      <w:r w:rsidR="006855BF">
        <w:rPr>
          <w:rFonts w:ascii="Times New Roman" w:hAnsi="Times New Roman" w:cs="Times New Roman"/>
        </w:rPr>
        <w:t>that served as</w:t>
      </w:r>
      <w:r w:rsidR="006855BF" w:rsidRPr="004F0C66">
        <w:rPr>
          <w:rFonts w:ascii="Times New Roman" w:hAnsi="Times New Roman" w:cs="Times New Roman"/>
        </w:rPr>
        <w:t xml:space="preserve"> </w:t>
      </w:r>
      <w:r w:rsidR="006855BF">
        <w:rPr>
          <w:rFonts w:ascii="Times New Roman" w:hAnsi="Times New Roman" w:cs="Times New Roman"/>
        </w:rPr>
        <w:t>the baseline assessment</w:t>
      </w:r>
      <w:r w:rsidR="006855BF" w:rsidRPr="004F0C66">
        <w:rPr>
          <w:rFonts w:ascii="Times New Roman" w:hAnsi="Times New Roman" w:cs="Times New Roman"/>
        </w:rPr>
        <w:t xml:space="preserve"> sample</w:t>
      </w:r>
      <w:r w:rsidR="006855BF">
        <w:rPr>
          <w:rFonts w:ascii="Times New Roman" w:hAnsi="Times New Roman" w:cs="Times New Roman"/>
        </w:rPr>
        <w:t xml:space="preserve">. Prior to practice, participants provided a salivary sample </w:t>
      </w:r>
      <w:r w:rsidR="00D467CC">
        <w:rPr>
          <w:rFonts w:ascii="Times New Roman" w:hAnsi="Times New Roman" w:cs="Times New Roman"/>
        </w:rPr>
        <w:t xml:space="preserve">used to assess T, C, and T:C ratio as well as performed 3 CMJs on a dual cell force </w:t>
      </w:r>
      <w:r w:rsidR="00D467CC">
        <w:rPr>
          <w:rFonts w:ascii="Times New Roman" w:hAnsi="Times New Roman" w:cs="Times New Roman"/>
        </w:rPr>
        <w:lastRenderedPageBreak/>
        <w:t>platform</w:t>
      </w:r>
      <w:r w:rsidR="00493519">
        <w:rPr>
          <w:rFonts w:ascii="Times New Roman" w:hAnsi="Times New Roman" w:cs="Times New Roman"/>
        </w:rPr>
        <w:t xml:space="preserve"> to evaluate neuromuscular performance</w:t>
      </w:r>
      <w:r w:rsidR="00D467CC">
        <w:rPr>
          <w:rFonts w:ascii="Times New Roman" w:hAnsi="Times New Roman" w:cs="Times New Roman"/>
        </w:rPr>
        <w:t xml:space="preserve">. </w:t>
      </w:r>
      <w:r w:rsidR="00125419">
        <w:rPr>
          <w:rFonts w:ascii="Times New Roman" w:hAnsi="Times New Roman" w:cs="Times New Roman"/>
        </w:rPr>
        <w:t xml:space="preserve">Following practice, participants provided another salivary sample and performed 3 more CMJs. Participants returned at the end of the preseason training phase four weeks later where they repeated the activities prior to practice and at the conclusion of practice. </w:t>
      </w:r>
      <w:r w:rsidR="00493519">
        <w:rPr>
          <w:rFonts w:ascii="Times New Roman" w:hAnsi="Times New Roman" w:cs="Times New Roman"/>
        </w:rPr>
        <w:t xml:space="preserve">The </w:t>
      </w:r>
      <w:proofErr w:type="spellStart"/>
      <w:r w:rsidR="00493519">
        <w:rPr>
          <w:rFonts w:ascii="Times New Roman" w:hAnsi="Times New Roman" w:cs="Times New Roman"/>
        </w:rPr>
        <w:t>eTL</w:t>
      </w:r>
      <w:proofErr w:type="spellEnd"/>
      <w:r w:rsidR="00493519">
        <w:rPr>
          <w:rFonts w:ascii="Times New Roman" w:hAnsi="Times New Roman" w:cs="Times New Roman"/>
        </w:rPr>
        <w:t xml:space="preserve"> of each practice was captured through IMU devices and </w:t>
      </w:r>
      <w:proofErr w:type="spellStart"/>
      <w:r w:rsidR="00493519">
        <w:rPr>
          <w:rFonts w:ascii="Times New Roman" w:hAnsi="Times New Roman" w:cs="Times New Roman"/>
        </w:rPr>
        <w:t>iTL</w:t>
      </w:r>
      <w:proofErr w:type="spellEnd"/>
      <w:r w:rsidR="00493519">
        <w:rPr>
          <w:rFonts w:ascii="Times New Roman" w:hAnsi="Times New Roman" w:cs="Times New Roman"/>
        </w:rPr>
        <w:t xml:space="preserve"> was assessed through HR monitors and RPE scales. </w:t>
      </w:r>
      <w:r>
        <w:rPr>
          <w:rFonts w:ascii="Times New Roman" w:hAnsi="Times New Roman" w:cs="Times New Roman"/>
          <w:b/>
          <w:bCs/>
        </w:rPr>
        <w:t xml:space="preserve">Statistical Analyses: </w:t>
      </w:r>
      <w:r w:rsidR="004A2931">
        <w:rPr>
          <w:rFonts w:ascii="Times New Roman" w:hAnsi="Times New Roman" w:cs="Times New Roman"/>
        </w:rPr>
        <w:t>D</w:t>
      </w:r>
      <w:r w:rsidR="004A2931" w:rsidRPr="00BE6A90">
        <w:rPr>
          <w:rFonts w:ascii="Times New Roman" w:hAnsi="Times New Roman" w:cs="Times New Roman"/>
        </w:rPr>
        <w:t>ata normality was confirmed through the Shapiro-Wilk test statistic. The data was also tested for sphericity through Mauchly’s test to confirm variance in differences were similar between groups. If the data indicated the assumption of sphericity is violated through Mauchly’s Test of Sphericity, then the Greenhouse-</w:t>
      </w:r>
      <w:proofErr w:type="spellStart"/>
      <w:r w:rsidR="004A2931" w:rsidRPr="00BE6A90">
        <w:rPr>
          <w:rFonts w:ascii="Times New Roman" w:hAnsi="Times New Roman" w:cs="Times New Roman"/>
        </w:rPr>
        <w:t>Geisser</w:t>
      </w:r>
      <w:proofErr w:type="spellEnd"/>
      <w:r w:rsidR="004A2931" w:rsidRPr="00BE6A90">
        <w:rPr>
          <w:rFonts w:ascii="Times New Roman" w:hAnsi="Times New Roman" w:cs="Times New Roman"/>
        </w:rPr>
        <w:t xml:space="preserve"> correction was used to combat the violation.</w:t>
      </w:r>
      <w:r w:rsidR="004A2931">
        <w:rPr>
          <w:rFonts w:ascii="Times New Roman" w:hAnsi="Times New Roman" w:cs="Times New Roman"/>
        </w:rPr>
        <w:t xml:space="preserve"> </w:t>
      </w:r>
      <w:r w:rsidR="004A2931" w:rsidRPr="00BE6A90">
        <w:rPr>
          <w:rFonts w:ascii="Times New Roman" w:hAnsi="Times New Roman" w:cs="Times New Roman"/>
        </w:rPr>
        <w:t xml:space="preserve">A paired t-test was used to evaluate the within subject differences in </w:t>
      </w:r>
      <w:proofErr w:type="spellStart"/>
      <w:r w:rsidR="004A2931" w:rsidRPr="00BE6A90">
        <w:rPr>
          <w:rFonts w:ascii="Times New Roman" w:hAnsi="Times New Roman" w:cs="Times New Roman"/>
        </w:rPr>
        <w:t>eTL</w:t>
      </w:r>
      <w:proofErr w:type="spellEnd"/>
      <w:r w:rsidR="004A2931" w:rsidRPr="00BE6A90">
        <w:rPr>
          <w:rFonts w:ascii="Times New Roman" w:hAnsi="Times New Roman" w:cs="Times New Roman"/>
        </w:rPr>
        <w:t xml:space="preserve"> parameters</w:t>
      </w:r>
      <w:r w:rsidR="004A2931">
        <w:rPr>
          <w:rFonts w:ascii="Times New Roman" w:hAnsi="Times New Roman" w:cs="Times New Roman"/>
        </w:rPr>
        <w:t xml:space="preserve"> as well as </w:t>
      </w:r>
      <w:proofErr w:type="spellStart"/>
      <w:r w:rsidR="004A2931">
        <w:rPr>
          <w:rFonts w:ascii="Times New Roman" w:hAnsi="Times New Roman" w:cs="Times New Roman"/>
        </w:rPr>
        <w:t>iTL</w:t>
      </w:r>
      <w:proofErr w:type="spellEnd"/>
      <w:r w:rsidR="004A2931">
        <w:rPr>
          <w:rFonts w:ascii="Times New Roman" w:hAnsi="Times New Roman" w:cs="Times New Roman"/>
        </w:rPr>
        <w:t xml:space="preserve"> parameters across time. </w:t>
      </w:r>
      <w:r w:rsidR="001E254E">
        <w:rPr>
          <w:rFonts w:ascii="Times New Roman" w:hAnsi="Times New Roman" w:cs="Times New Roman"/>
        </w:rPr>
        <w:t>A</w:t>
      </w:r>
      <w:r w:rsidR="001E254E" w:rsidRPr="00BE6A90">
        <w:rPr>
          <w:rFonts w:ascii="Times New Roman" w:hAnsi="Times New Roman" w:cs="Times New Roman"/>
        </w:rPr>
        <w:t xml:space="preserve"> two-way (Week [Week 1, Week 4] </w:t>
      </w:r>
      <w:r w:rsidR="001E254E" w:rsidRPr="00BE6A90">
        <w:rPr>
          <w:rFonts w:ascii="Times New Roman" w:eastAsia="Calibri" w:hAnsi="Times New Roman" w:cs="Times New Roman"/>
        </w:rPr>
        <w:t xml:space="preserve">× Time [Pre-Practice, Post-Practice]) </w:t>
      </w:r>
      <w:r w:rsidR="001E254E" w:rsidRPr="00BE6A90">
        <w:rPr>
          <w:rFonts w:ascii="Times New Roman" w:hAnsi="Times New Roman" w:cs="Times New Roman"/>
        </w:rPr>
        <w:t>repeated measures (RM) analysis of variance (ANOVA) was used to examine Week and Time main effects and the interaction between week and time in</w:t>
      </w:r>
      <w:r w:rsidR="001E254E">
        <w:rPr>
          <w:rFonts w:ascii="Times New Roman" w:hAnsi="Times New Roman" w:cs="Times New Roman"/>
        </w:rPr>
        <w:t xml:space="preserve"> CMJ variables. </w:t>
      </w:r>
      <w:r w:rsidR="001E254E" w:rsidRPr="00A51F53">
        <w:rPr>
          <w:rFonts w:ascii="Times New Roman" w:hAnsi="Times New Roman" w:cs="Times New Roman"/>
        </w:rPr>
        <w:t>Additionally</w:t>
      </w:r>
      <w:r w:rsidR="001E254E" w:rsidRPr="00BE6A90">
        <w:rPr>
          <w:rFonts w:ascii="Times New Roman" w:hAnsi="Times New Roman" w:cs="Times New Roman"/>
        </w:rPr>
        <w:t>, the two-way RM ANOVA was used the evaluate the salivary endocrine measures</w:t>
      </w:r>
      <w:r w:rsidR="001E254E">
        <w:rPr>
          <w:rFonts w:ascii="Times New Roman" w:hAnsi="Times New Roman" w:cs="Times New Roman"/>
        </w:rPr>
        <w:t xml:space="preserve">. </w:t>
      </w:r>
      <w:r w:rsidR="001E254E" w:rsidRPr="00BE6A90">
        <w:rPr>
          <w:rFonts w:ascii="Times New Roman" w:hAnsi="Times New Roman" w:cs="Times New Roman"/>
        </w:rPr>
        <w:t xml:space="preserve">Statistical significance was set at p ≤ 0.05. If a significant interaction was determined, a Bonferroni post hoc analysis was performed to isolate simple main effects. When comparing two groups, Cohen’s </w:t>
      </w:r>
      <w:r w:rsidR="001E254E" w:rsidRPr="00BE6A90">
        <w:rPr>
          <w:rFonts w:ascii="Times New Roman" w:hAnsi="Times New Roman" w:cs="Times New Roman"/>
          <w:i/>
          <w:iCs/>
        </w:rPr>
        <w:t>d</w:t>
      </w:r>
      <w:r w:rsidR="001E254E" w:rsidRPr="00BE6A90">
        <w:rPr>
          <w:rFonts w:ascii="Times New Roman" w:hAnsi="Times New Roman" w:cs="Times New Roman"/>
        </w:rPr>
        <w:t xml:space="preserve"> (d) effect sizes were utilized and interpreted as trivial (0 – 0.19), small (0.20 – 0.49), medium (0.50 – 0.79), and large (≥ 0.80)</w:t>
      </w:r>
      <w:r w:rsidR="001E254E">
        <w:rPr>
          <w:rFonts w:ascii="Times New Roman" w:hAnsi="Times New Roman" w:cs="Times New Roman"/>
        </w:rPr>
        <w:t xml:space="preserve">. </w:t>
      </w:r>
      <w:r w:rsidR="001E254E" w:rsidRPr="00BE6A90">
        <w:rPr>
          <w:rFonts w:ascii="Times New Roman" w:hAnsi="Times New Roman" w:cs="Times New Roman"/>
        </w:rPr>
        <w:t>The intra- and inter-assay reliability of the hormone assay duplicates were evaluated using the coefficient of variation (CV%).</w:t>
      </w:r>
      <w:r w:rsidR="001E254E">
        <w:rPr>
          <w:rFonts w:ascii="Times New Roman" w:hAnsi="Times New Roman" w:cs="Times New Roman"/>
        </w:rPr>
        <w:t xml:space="preserve"> </w:t>
      </w:r>
      <w:r>
        <w:rPr>
          <w:rFonts w:ascii="Times New Roman" w:hAnsi="Times New Roman" w:cs="Times New Roman"/>
          <w:b/>
          <w:bCs/>
        </w:rPr>
        <w:t xml:space="preserve">Results: </w:t>
      </w:r>
      <w:r w:rsidR="00C97754">
        <w:rPr>
          <w:rFonts w:ascii="Times New Roman" w:hAnsi="Times New Roman" w:cs="Times New Roman"/>
        </w:rPr>
        <w:t xml:space="preserve">While not practically significant, the only significant difference seen in </w:t>
      </w:r>
      <w:proofErr w:type="spellStart"/>
      <w:r w:rsidR="00C97754">
        <w:rPr>
          <w:rFonts w:ascii="Times New Roman" w:hAnsi="Times New Roman" w:cs="Times New Roman"/>
        </w:rPr>
        <w:t>eTL</w:t>
      </w:r>
      <w:proofErr w:type="spellEnd"/>
      <w:r w:rsidR="00C97754">
        <w:rPr>
          <w:rFonts w:ascii="Times New Roman" w:hAnsi="Times New Roman" w:cs="Times New Roman"/>
        </w:rPr>
        <w:t xml:space="preserve"> was Duration, otherwise there were no significant differences observed in </w:t>
      </w:r>
      <w:proofErr w:type="spellStart"/>
      <w:r w:rsidR="00C97754">
        <w:rPr>
          <w:rFonts w:ascii="Times New Roman" w:hAnsi="Times New Roman" w:cs="Times New Roman"/>
        </w:rPr>
        <w:t>eTL</w:t>
      </w:r>
      <w:proofErr w:type="spellEnd"/>
      <w:r w:rsidR="00C97754">
        <w:rPr>
          <w:rFonts w:ascii="Times New Roman" w:hAnsi="Times New Roman" w:cs="Times New Roman"/>
        </w:rPr>
        <w:t xml:space="preserve"> or </w:t>
      </w:r>
      <w:proofErr w:type="spellStart"/>
      <w:r w:rsidR="00C97754">
        <w:rPr>
          <w:rFonts w:ascii="Times New Roman" w:hAnsi="Times New Roman" w:cs="Times New Roman"/>
        </w:rPr>
        <w:t>iTL</w:t>
      </w:r>
      <w:proofErr w:type="spellEnd"/>
      <w:r w:rsidR="00C97754">
        <w:rPr>
          <w:rFonts w:ascii="Times New Roman" w:hAnsi="Times New Roman" w:cs="Times New Roman"/>
        </w:rPr>
        <w:t xml:space="preserve"> between weeks. </w:t>
      </w:r>
      <w:r w:rsidR="002A07E6">
        <w:rPr>
          <w:rFonts w:ascii="Times New Roman" w:hAnsi="Times New Roman" w:cs="Times New Roman"/>
        </w:rPr>
        <w:t xml:space="preserve">There were significant differences in CMJ variables, including </w:t>
      </w:r>
      <w:proofErr w:type="spellStart"/>
      <w:r w:rsidR="002A07E6">
        <w:rPr>
          <w:rFonts w:ascii="Times New Roman" w:hAnsi="Times New Roman" w:cs="Times New Roman"/>
        </w:rPr>
        <w:t>EccMF</w:t>
      </w:r>
      <w:proofErr w:type="spellEnd"/>
      <w:r w:rsidR="002A07E6">
        <w:rPr>
          <w:rFonts w:ascii="Times New Roman" w:hAnsi="Times New Roman" w:cs="Times New Roman"/>
        </w:rPr>
        <w:t xml:space="preserve">, </w:t>
      </w:r>
      <w:proofErr w:type="spellStart"/>
      <w:r w:rsidR="002A07E6">
        <w:rPr>
          <w:rFonts w:ascii="Times New Roman" w:hAnsi="Times New Roman" w:cs="Times New Roman"/>
        </w:rPr>
        <w:t>ConcPF</w:t>
      </w:r>
      <w:proofErr w:type="spellEnd"/>
      <w:r w:rsidR="002A07E6">
        <w:rPr>
          <w:rFonts w:ascii="Times New Roman" w:hAnsi="Times New Roman" w:cs="Times New Roman"/>
        </w:rPr>
        <w:t xml:space="preserve">, and Body Mass. For </w:t>
      </w:r>
      <w:proofErr w:type="spellStart"/>
      <w:r w:rsidR="002A07E6">
        <w:rPr>
          <w:rFonts w:ascii="Times New Roman" w:hAnsi="Times New Roman" w:cs="Times New Roman"/>
        </w:rPr>
        <w:t>EccMF</w:t>
      </w:r>
      <w:proofErr w:type="spellEnd"/>
      <w:r w:rsidR="002A07E6">
        <w:rPr>
          <w:rFonts w:ascii="Times New Roman" w:hAnsi="Times New Roman" w:cs="Times New Roman"/>
        </w:rPr>
        <w:t xml:space="preserve"> and Body Mass, the average of the Pre values from Week 1 and Week 4 were significantly lower than the average of the Post values from Week 1 and </w:t>
      </w:r>
      <w:r w:rsidR="002A07E6">
        <w:rPr>
          <w:rFonts w:ascii="Times New Roman" w:hAnsi="Times New Roman" w:cs="Times New Roman"/>
        </w:rPr>
        <w:lastRenderedPageBreak/>
        <w:t xml:space="preserve">Week 4. In addition, </w:t>
      </w:r>
      <w:proofErr w:type="spellStart"/>
      <w:r w:rsidR="002A07E6">
        <w:rPr>
          <w:rFonts w:ascii="Times New Roman" w:hAnsi="Times New Roman" w:cs="Times New Roman"/>
        </w:rPr>
        <w:t>ConcPF</w:t>
      </w:r>
      <w:proofErr w:type="spellEnd"/>
      <w:r w:rsidR="002A07E6">
        <w:rPr>
          <w:rFonts w:ascii="Times New Roman" w:hAnsi="Times New Roman" w:cs="Times New Roman"/>
        </w:rPr>
        <w:t xml:space="preserve"> displayed a significant increase from Pre to Post in Week 1 but not in Week 4. However, when the CMJ performances were made relative to Body Mass, no significant differences were exhibited. </w:t>
      </w:r>
      <w:r w:rsidR="00075E42">
        <w:rPr>
          <w:rFonts w:ascii="Times New Roman" w:hAnsi="Times New Roman" w:cs="Times New Roman"/>
        </w:rPr>
        <w:t>No significant differences emerged in comparison across the Baseline Assessment and Pre values</w:t>
      </w:r>
      <w:r w:rsidR="00AA4310">
        <w:rPr>
          <w:rFonts w:ascii="Times New Roman" w:hAnsi="Times New Roman" w:cs="Times New Roman"/>
        </w:rPr>
        <w:t xml:space="preserve"> to examine the influence of an anticipatory effect</w:t>
      </w:r>
      <w:r w:rsidR="00075E42">
        <w:rPr>
          <w:rFonts w:ascii="Times New Roman" w:hAnsi="Times New Roman" w:cs="Times New Roman"/>
        </w:rPr>
        <w:t xml:space="preserve">. Although, T and C both displayed an increase in concentration of the average of the Pre values from Week 1 and Week 4 to the Post values from Week 1 and Week 4. </w:t>
      </w:r>
      <w:r w:rsidR="00441EFF">
        <w:rPr>
          <w:rFonts w:ascii="Times New Roman" w:hAnsi="Times New Roman" w:cs="Times New Roman"/>
        </w:rPr>
        <w:t xml:space="preserve">Furthermore, C presented a significant increase from Pre to Post in Week 1, however, this was not apparent in Week 4. Moreover, the absolute change in C levels from Pre to Post in Week 1 was significantly higher than the absolute change produced in Week 4. </w:t>
      </w:r>
      <w:r w:rsidR="00EF339E">
        <w:rPr>
          <w:rFonts w:ascii="Times New Roman" w:hAnsi="Times New Roman" w:cs="Times New Roman"/>
        </w:rPr>
        <w:t xml:space="preserve">The T:C ratio showed a significant increase from Week 1 Post to Week 4 Post. Also, the T:C ratio absolute and relative change experienced from Pre to Post in Week 1 was significantly lower than the absolute and relative change from Pre to Post in Week 4. </w:t>
      </w:r>
      <w:r>
        <w:rPr>
          <w:rFonts w:ascii="Times New Roman" w:hAnsi="Times New Roman" w:cs="Times New Roman"/>
          <w:b/>
          <w:bCs/>
        </w:rPr>
        <w:t xml:space="preserve">Conclusion: </w:t>
      </w:r>
      <w:r w:rsidR="00961C62">
        <w:rPr>
          <w:rFonts w:ascii="Times New Roman" w:hAnsi="Times New Roman" w:cs="Times New Roman"/>
        </w:rPr>
        <w:t>These findings suggest</w:t>
      </w:r>
      <w:r w:rsidR="00AD6086">
        <w:rPr>
          <w:rFonts w:ascii="Times New Roman" w:hAnsi="Times New Roman" w:cs="Times New Roman"/>
        </w:rPr>
        <w:t xml:space="preserve"> neuromuscular performance remains unaltered over a single training exposure as well as throughout the preseason training phase in relation to body mass. </w:t>
      </w:r>
      <w:r w:rsidR="00EA1A0F">
        <w:rPr>
          <w:rFonts w:ascii="Times New Roman" w:hAnsi="Times New Roman" w:cs="Times New Roman"/>
        </w:rPr>
        <w:t xml:space="preserve">Additionally, the cortisol response following four weeks of the preseason training phase showed to be blunted with the testosterone response unchanged resulting in a more anabolic state while examining the T:C ratio. </w:t>
      </w:r>
      <w:r w:rsidR="00EA1A0F">
        <w:rPr>
          <w:rFonts w:ascii="Times New Roman" w:hAnsi="Times New Roman" w:cs="Times New Roman"/>
          <w:lang w:bidi="en-US"/>
        </w:rPr>
        <w:t>Therefore</w:t>
      </w:r>
      <w:r w:rsidR="00AD6086">
        <w:rPr>
          <w:rFonts w:ascii="Times New Roman" w:hAnsi="Times New Roman" w:cs="Times New Roman"/>
          <w:lang w:bidi="en-US"/>
        </w:rPr>
        <w:t>, monitoring of physiological status may be of interest to gain insight of whether or not an individual is approaching concerning levels</w:t>
      </w:r>
      <w:r w:rsidR="0075447F">
        <w:rPr>
          <w:rFonts w:ascii="Times New Roman" w:hAnsi="Times New Roman" w:cs="Times New Roman"/>
          <w:lang w:bidi="en-US"/>
        </w:rPr>
        <w:t>.</w:t>
      </w:r>
    </w:p>
    <w:p w14:paraId="48721702" w14:textId="77777777" w:rsidR="00B9649F" w:rsidRDefault="00B9649F" w:rsidP="00C10902">
      <w:pPr>
        <w:pStyle w:val="Heading1"/>
        <w:spacing w:line="480" w:lineRule="auto"/>
        <w:jc w:val="center"/>
        <w:rPr>
          <w:rFonts w:ascii="Times New Roman" w:hAnsi="Times New Roman" w:cs="Times New Roman"/>
          <w:b/>
          <w:bCs/>
          <w:color w:val="000000" w:themeColor="text1"/>
        </w:rPr>
      </w:pPr>
    </w:p>
    <w:p w14:paraId="29C06070" w14:textId="5BE995A5" w:rsidR="00B9649F" w:rsidRPr="00B9649F" w:rsidRDefault="00B9649F" w:rsidP="00B9649F">
      <w:pPr>
        <w:sectPr w:rsidR="00B9649F" w:rsidRPr="00B9649F" w:rsidSect="006001CC">
          <w:footerReference w:type="default" r:id="rId25"/>
          <w:pgSz w:w="12240" w:h="15840"/>
          <w:pgMar w:top="1440" w:right="1440" w:bottom="1440" w:left="1440" w:header="720" w:footer="720" w:gutter="0"/>
          <w:pgNumType w:fmt="lowerRoman" w:start="4"/>
          <w:cols w:space="720"/>
          <w:docGrid w:linePitch="360"/>
        </w:sectPr>
      </w:pPr>
    </w:p>
    <w:p w14:paraId="3F23E3CB" w14:textId="0A07A4D4" w:rsidR="00575E37" w:rsidRPr="00CE2317" w:rsidRDefault="00575E37" w:rsidP="00C10902">
      <w:pPr>
        <w:pStyle w:val="Heading1"/>
        <w:spacing w:line="480" w:lineRule="auto"/>
        <w:jc w:val="center"/>
        <w:rPr>
          <w:rFonts w:ascii="Times New Roman" w:hAnsi="Times New Roman" w:cs="Times New Roman"/>
          <w:b/>
          <w:bCs/>
          <w:color w:val="000000" w:themeColor="text1"/>
          <w:sz w:val="24"/>
          <w:szCs w:val="24"/>
        </w:rPr>
      </w:pPr>
      <w:bookmarkStart w:id="4" w:name="_Toc99267595"/>
      <w:r w:rsidRPr="00CE2317">
        <w:rPr>
          <w:rFonts w:ascii="Times New Roman" w:hAnsi="Times New Roman" w:cs="Times New Roman"/>
          <w:b/>
          <w:bCs/>
          <w:color w:val="000000" w:themeColor="text1"/>
          <w:sz w:val="24"/>
          <w:szCs w:val="24"/>
        </w:rPr>
        <w:lastRenderedPageBreak/>
        <w:t>C</w:t>
      </w:r>
      <w:r w:rsidR="0045753C" w:rsidRPr="00CE2317">
        <w:rPr>
          <w:rFonts w:ascii="Times New Roman" w:hAnsi="Times New Roman" w:cs="Times New Roman"/>
          <w:b/>
          <w:bCs/>
          <w:color w:val="000000" w:themeColor="text1"/>
          <w:sz w:val="24"/>
          <w:szCs w:val="24"/>
        </w:rPr>
        <w:t>hapter</w:t>
      </w:r>
      <w:r w:rsidRPr="00CE2317">
        <w:rPr>
          <w:rFonts w:ascii="Times New Roman" w:hAnsi="Times New Roman" w:cs="Times New Roman"/>
          <w:b/>
          <w:bCs/>
          <w:color w:val="000000" w:themeColor="text1"/>
          <w:sz w:val="24"/>
          <w:szCs w:val="24"/>
        </w:rPr>
        <w:t xml:space="preserve"> </w:t>
      </w:r>
      <w:r w:rsidR="00FE7CF6" w:rsidRPr="00CE2317">
        <w:rPr>
          <w:rFonts w:ascii="Times New Roman" w:hAnsi="Times New Roman" w:cs="Times New Roman"/>
          <w:b/>
          <w:bCs/>
          <w:color w:val="000000" w:themeColor="text1"/>
          <w:sz w:val="24"/>
          <w:szCs w:val="24"/>
        </w:rPr>
        <w:t>I</w:t>
      </w:r>
      <w:r w:rsidRPr="00CE2317">
        <w:rPr>
          <w:rFonts w:ascii="Times New Roman" w:hAnsi="Times New Roman" w:cs="Times New Roman"/>
          <w:b/>
          <w:bCs/>
          <w:color w:val="000000" w:themeColor="text1"/>
          <w:sz w:val="24"/>
          <w:szCs w:val="24"/>
        </w:rPr>
        <w:t>: I</w:t>
      </w:r>
      <w:r w:rsidR="0045753C" w:rsidRPr="00CE2317">
        <w:rPr>
          <w:rFonts w:ascii="Times New Roman" w:hAnsi="Times New Roman" w:cs="Times New Roman"/>
          <w:b/>
          <w:bCs/>
          <w:color w:val="000000" w:themeColor="text1"/>
          <w:sz w:val="24"/>
          <w:szCs w:val="24"/>
        </w:rPr>
        <w:t>ntroduction</w:t>
      </w:r>
      <w:bookmarkEnd w:id="4"/>
    </w:p>
    <w:p w14:paraId="035DB357" w14:textId="6CFD9531" w:rsidR="00915A50" w:rsidRDefault="00915A50" w:rsidP="00CB0BB9">
      <w:pPr>
        <w:spacing w:line="480" w:lineRule="auto"/>
        <w:ind w:firstLine="720"/>
        <w:jc w:val="both"/>
        <w:rPr>
          <w:rFonts w:ascii="Times New Roman" w:hAnsi="Times New Roman" w:cs="Times New Roman"/>
        </w:rPr>
      </w:pPr>
      <w:r>
        <w:rPr>
          <w:rFonts w:ascii="Times New Roman" w:hAnsi="Times New Roman" w:cs="Times New Roman"/>
        </w:rPr>
        <w:t xml:space="preserve">Elite athletes undergo vigorous training in the effort to initiate physiological responses that over time </w:t>
      </w:r>
      <w:r w:rsidR="00BA0025">
        <w:rPr>
          <w:rFonts w:ascii="Times New Roman" w:hAnsi="Times New Roman" w:cs="Times New Roman"/>
        </w:rPr>
        <w:t xml:space="preserve">accumulate </w:t>
      </w:r>
      <w:r w:rsidR="007452F1">
        <w:rPr>
          <w:rFonts w:ascii="Times New Roman" w:hAnsi="Times New Roman" w:cs="Times New Roman"/>
        </w:rPr>
        <w:t>to</w:t>
      </w:r>
      <w:r>
        <w:rPr>
          <w:rFonts w:ascii="Times New Roman" w:hAnsi="Times New Roman" w:cs="Times New Roman"/>
        </w:rPr>
        <w:t xml:space="preserve"> cause </w:t>
      </w:r>
      <w:r w:rsidR="00BA0025">
        <w:rPr>
          <w:rFonts w:ascii="Times New Roman" w:hAnsi="Times New Roman" w:cs="Times New Roman"/>
        </w:rPr>
        <w:t xml:space="preserve">positive </w:t>
      </w:r>
      <w:r>
        <w:rPr>
          <w:rFonts w:ascii="Times New Roman" w:hAnsi="Times New Roman" w:cs="Times New Roman"/>
        </w:rPr>
        <w:t>adaptation</w:t>
      </w:r>
      <w:r w:rsidR="00BA0025">
        <w:rPr>
          <w:rFonts w:ascii="Times New Roman" w:hAnsi="Times New Roman" w:cs="Times New Roman"/>
        </w:rPr>
        <w:t>,</w:t>
      </w:r>
      <w:r>
        <w:rPr>
          <w:rFonts w:ascii="Times New Roman" w:hAnsi="Times New Roman" w:cs="Times New Roman"/>
        </w:rPr>
        <w:t xml:space="preserve"> </w:t>
      </w:r>
      <w:r w:rsidR="007452F1">
        <w:rPr>
          <w:rFonts w:ascii="Times New Roman" w:hAnsi="Times New Roman" w:cs="Times New Roman"/>
        </w:rPr>
        <w:t xml:space="preserve">which </w:t>
      </w:r>
      <w:r w:rsidR="00BA0025">
        <w:rPr>
          <w:rFonts w:ascii="Times New Roman" w:hAnsi="Times New Roman" w:cs="Times New Roman"/>
        </w:rPr>
        <w:t>resul</w:t>
      </w:r>
      <w:r w:rsidR="007452F1">
        <w:rPr>
          <w:rFonts w:ascii="Times New Roman" w:hAnsi="Times New Roman" w:cs="Times New Roman"/>
        </w:rPr>
        <w:t>t</w:t>
      </w:r>
      <w:r>
        <w:rPr>
          <w:rFonts w:ascii="Times New Roman" w:hAnsi="Times New Roman" w:cs="Times New Roman"/>
        </w:rPr>
        <w:t xml:space="preserve"> in improvements</w:t>
      </w:r>
      <w:r w:rsidR="00CB0BB9">
        <w:rPr>
          <w:rFonts w:ascii="Times New Roman" w:hAnsi="Times New Roman" w:cs="Times New Roman"/>
        </w:rPr>
        <w:t xml:space="preserve"> in</w:t>
      </w:r>
      <w:r>
        <w:rPr>
          <w:rFonts w:ascii="Times New Roman" w:hAnsi="Times New Roman" w:cs="Times New Roman"/>
        </w:rPr>
        <w:t xml:space="preserve"> physical performance</w:t>
      </w:r>
      <w:r w:rsidR="00FC1967">
        <w:rPr>
          <w:rFonts w:ascii="Times New Roman" w:hAnsi="Times New Roman" w:cs="Times New Roman"/>
        </w:rPr>
        <w:t xml:space="preserve"> </w:t>
      </w:r>
      <w:r w:rsidR="00FC1967">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{"citationID":"iNnWGHzl","properties":{"formattedCitation":"(Smith, 2003)","plainCitation":"(Smith, 2003)","noteIndex":0},"citationItems":[{"id":576,"uris":["http://zotero.org/users/6327055/items/W2EE5SZS"],"itemData":{"id":576,"type":"article-journal","container-title":"Sports Medicine","DOI":"10.2165/00007256-200333150-00003","ISSN":"0112-1642","issue":"15","language":"en","page":"1103-1126","source":"DOI.org (Crossref)","title":"A framework for understanding the training process leading to elite performance","title-short":"A Framework for Understanding the Training Process Leading to Elite Performance","volume":"33","author":[{"family":"Smith","given":"David J"}],"issued":{"date-parts":[["2003"]]}}}],"schema":"https://github.com/citation-style-language/schema/raw/master/csl-citation.json"} </w:instrText>
      </w:r>
      <w:r w:rsidR="00FC1967">
        <w:rPr>
          <w:rFonts w:ascii="Times New Roman" w:hAnsi="Times New Roman" w:cs="Times New Roman"/>
        </w:rPr>
        <w:fldChar w:fldCharType="separate"/>
      </w:r>
      <w:r w:rsidR="00FC1967">
        <w:rPr>
          <w:rFonts w:ascii="Times New Roman" w:hAnsi="Times New Roman" w:cs="Times New Roman"/>
          <w:noProof/>
        </w:rPr>
        <w:t>(Smith, 2003)</w:t>
      </w:r>
      <w:r w:rsidR="00FC1967">
        <w:rPr>
          <w:rFonts w:ascii="Times New Roman" w:hAnsi="Times New Roman" w:cs="Times New Roman"/>
        </w:rPr>
        <w:fldChar w:fldCharType="end"/>
      </w:r>
      <w:r>
        <w:rPr>
          <w:rFonts w:ascii="Times New Roman" w:hAnsi="Times New Roman" w:cs="Times New Roman"/>
        </w:rPr>
        <w:t xml:space="preserve">. </w:t>
      </w:r>
      <w:r w:rsidR="00941B16">
        <w:rPr>
          <w:rFonts w:ascii="Times New Roman" w:hAnsi="Times New Roman" w:cs="Times New Roman"/>
        </w:rPr>
        <w:t>For example, basketball is a dynamic sport involving anaerobic capacities such as reactionary explosiveness, strength, and with the intermittent nature of the sport an aerobic capacity for recovery between bouts as well</w:t>
      </w:r>
      <w:r w:rsidR="00FB54F1">
        <w:rPr>
          <w:rFonts w:ascii="Times New Roman" w:hAnsi="Times New Roman" w:cs="Times New Roman"/>
        </w:rPr>
        <w:t xml:space="preserve"> </w:t>
      </w:r>
      <w:r w:rsidR="00FB54F1">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{"citationID":"2ac4C6Lg","properties":{"formattedCitation":"(T. Edwards et al., 2018; Montgomery et al., 2010; Schelling &amp; Torres, 2016; Stojanovi\\uc0\\u263{} et al., 2018)","plainCitation":"(T. Edwards et al., 2018; Montgomery et al., 2010; Schelling &amp; Torres, 2016; Stojanović et al., 2018)","noteIndex":0},"citationItems":[{"id":578,"uris":["http://zotero.org/users/6327055/items/FG99S8I5"],"itemData":{"id":578,"type":"article-journal","abstract":"The sport of basketball exposes athletes to frequent high intensity movements including sprinting, jumping, accelerations, decelerations and changes of direction during training and competition which can lead to acute and accumulated chronic fatigue. Fatigue may affect the ability of the athlete to perform over the course of a lengthy season. The ability of practitioners to quantify the workload and subsequent fatigue in basketball athletes in order to monitor and manage fatigue levels may be beneﬁcial in maintaining high levels of performance and preventing unfavorable physical and physiological training adaptations. There is currently limited research quantifying training or competition workload outside of time motion analysis in basketball. In addition, systematic research investigating methods to monitor and manage athlete fatigue in basketball throughout a season is scarce. To effectively optimize and maintain peak training and playing performance throughout a basketball season, potential workload and fatigue monitoring strategies need to be discussed.","container-title":"Sports","DOI":"10.3390/sports6010019","ISSN":"2075-4663","issue":"1","language":"en","page":"19","source":"DOI.org (Crossref)","title":"Monitoring and managing fatigue in basketball","volume":"6","author":[{"family":"Edwards","given":"Toby"},{"family":"Spiteri","given":"Tania"},{"family":"Piggott","given":"Benjamin"},{"family":"Bonhotal","given":"Joshua"},{"family":"Haff","given":"G. Gregory"},{"family":"Joyce","given":"Christopher"}],"issued":{"date-parts":[["2018",2,27]]}}},{"id":580,"uris":["http://zotero.org/users/6327055/items/59BYYWRB"],"itemData":{"id":580,"type":"article-journal","abstract":"Purpose:\n              To characterize the physical and physiological responses during different basketball practice drills and games.\n            \n            \n              Methods:\n              \n                Male basketball players (n = 11; 19.1 ± 2.1 y, 1.91 ± 0.09 m, 87.9 ± 15.1 kg; mean ± SD) completed offensive and defensive practice drills, half court 5on5 scrimmage play, and competitive games. Heart rate, V\n                O2\n                and triaxial accelerometer data (physical demand) were normalized for individual participation time. Data were log-transformed and differences between drills and games standardized for interpretation of magnitudes and reported with the effect size (ES) statistic.\n              \n            \n            \n              Results:\n              \n                There was no substantial difference in the physical or physiological variables between offensive and defensive drills; physical load (9.5%; 90% confidence limits ±45); mean heart rate (-2.4%; ±4.2); peak heart rate (-0.9%; ±3.4); and V\n                O2\n                (–5.7%; ±9.1). Physical load was moderately greater in game play compared with a 5on5 scrimmage (85.2%; ±40.5); with a higher mean heart rate (12.4%; ±5.4). The oxygen demand for live play was substantially larger than 5on5 (30.6%; ±15.6).\n              \n            \n            \n              Conclusions:\n              Defensive and offensive drills during basketball practice have similar physiological responses and physical demand. Live play is substantially more demanding than a 5on5 scrimmage in both physical and physiological attributes. Accelerometers and predicted oxygen cost from heart rate monitoring systems are useful for differentiating the practice and competition demands of basketball.","container-title":"International Journal of Sports Physiology and Performance","DOI":"10.1123/ijspp.5.1.75","ISSN":"1555-0265, 1555-0273","issue":"1","language":"en","page":"75-86","source":"DOI.org (Crossref)","title":"The physical and physiological demands of basketball training and competition","volume":"5","author":[{"family":"Montgomery","given":"Paul G."},{"family":"Pyne","given":"David B."},{"family":"Minahan","given":"Clare L."}],"issued":{"date-parts":[["2010",3]]}}},{"id":582,"uris":["http://zotero.org/users/6327055/items/RPX5WNYU"],"itemData":{"id":582,"type":"article-journal","abstract":"The purpose of this study was to quantify the workload during basketball-specific drills measured through microtechnology. Twelve professional male basketball players from the Spanish 1st Division were monitored over a 4-week period. Data were collected from 16 sessions, for a total of 95 ± 33 drills per player. Workload data (Acceleration load; AL) were obtained from a tri-axial accelerometer at 100Hz sampling frequency, and were expressed over time (AL.min-1). Comparisons among training drills (i.e., 2v2, 3v3, 4v4, and 5v5) were assessed via standardized mean differences. Full-court 3v3 and 5v5 showed the highest physical demand (AL.min-1: 18.7 ± 4.1 and 17.9 ± 4.6, respectively) compared with other traditional balanced basketball drills such as 2v2 and 4v4 (14.6 ± 2.8 and 13.8±2.5, respectively). The AL.min-1 on half-court showed trivial-to-moderate differences with a likely increase of ~10-20% in 2v2 drill compared with any other formats. This study provides insight into the specific requirements of a range of exercises typically performed in basketball sessions. The use of accelerometer data is presented as a useful tool in assessing the workload.","container-title":"Journal of Sports Science and Medicine","language":"en","page":"585-591","source":"Zotero","title":"Accelerometer load profiles for basketball-specific drills in elite players","volume":"15","author":[{"family":"Schelling","given":"Xavi"},{"family":"Torres","given":"Lorena"}],"issued":{"date-parts":[["2016"]]}}},{"id":584,"uris":["http://zotero.org/users/6327055/items/THCYAGEP"],"itemData":{"id":584,"type":"article-journal","abstract":"Background Basketball is a popular, court-based team sport that has been extensively studied over the last decade. Objective The purpose of this article was to provide a systematic review regarding the activity demands and physiological responses experienced during basketball match-play according to playing period, playing position, playing level, geographical location, and sex.","container-title":"Sports Medicine","DOI":"10.1007/s40279-017-0794-z","ISSN":"0112-1642, 1179-2035","issue":"1","language":"en","page":"111-135","source":"DOI.org (Crossref)","title":"The activity demands and physiological responses encountered during basketball match-play: a systematic review","title-short":"The Activity Demands and Physiological Responses Encountered During Basketball Match-Play","volume":"48","author":[{"family":"Stojanović","given":"Emilija"},{"family":"Stojiljković","given":"Nenad"},{"family":"Scanlan","given":"Aaron T."},{"family":"Dalbo","given":"Vincent J."},{"family":"Berkelmans","given":"Daniel M."},{"family":"Milanović","given":"Zoran"}],"issued":{"date-parts":[["2018",1]]}}}],"schema":"https://github.com/citation-style-language/schema/raw/master/csl-citation.json"} </w:instrText>
      </w:r>
      <w:r w:rsidR="00FB54F1">
        <w:rPr>
          <w:rFonts w:ascii="Times New Roman" w:hAnsi="Times New Roman" w:cs="Times New Roman"/>
        </w:rPr>
        <w:fldChar w:fldCharType="separate"/>
      </w:r>
      <w:r w:rsidR="00FB54F1" w:rsidRPr="00FB54F1">
        <w:rPr>
          <w:rFonts w:ascii="Times New Roman" w:hAnsi="Times New Roman" w:cs="Times New Roman"/>
        </w:rPr>
        <w:t>(T. Edwards et al., 2018; Montgomery et al., 2010; Schelling &amp; Torres, 2016; Stojanović et al., 2018)</w:t>
      </w:r>
      <w:r w:rsidR="00FB54F1">
        <w:rPr>
          <w:rFonts w:ascii="Times New Roman" w:hAnsi="Times New Roman" w:cs="Times New Roman"/>
        </w:rPr>
        <w:fldChar w:fldCharType="end"/>
      </w:r>
      <w:r w:rsidR="00941B16">
        <w:rPr>
          <w:rFonts w:ascii="Times New Roman" w:hAnsi="Times New Roman" w:cs="Times New Roman"/>
        </w:rPr>
        <w:t>.</w:t>
      </w:r>
      <w:r w:rsidR="00A01274">
        <w:rPr>
          <w:rFonts w:ascii="Times New Roman" w:hAnsi="Times New Roman" w:cs="Times New Roman"/>
        </w:rPr>
        <w:t xml:space="preserve"> In preparation for the demands throughout the </w:t>
      </w:r>
      <w:r w:rsidR="00CB0BB9">
        <w:rPr>
          <w:rFonts w:ascii="Times New Roman" w:hAnsi="Times New Roman" w:cs="Times New Roman"/>
        </w:rPr>
        <w:t>lengthy</w:t>
      </w:r>
      <w:r w:rsidR="00A01274">
        <w:rPr>
          <w:rFonts w:ascii="Times New Roman" w:hAnsi="Times New Roman" w:cs="Times New Roman"/>
        </w:rPr>
        <w:t xml:space="preserve"> season, </w:t>
      </w:r>
      <w:r w:rsidR="00157447">
        <w:rPr>
          <w:rFonts w:ascii="Times New Roman" w:hAnsi="Times New Roman" w:cs="Times New Roman"/>
        </w:rPr>
        <w:t>athletes undergo strenuous</w:t>
      </w:r>
      <w:r w:rsidR="00A01274">
        <w:rPr>
          <w:rFonts w:ascii="Times New Roman" w:hAnsi="Times New Roman" w:cs="Times New Roman"/>
        </w:rPr>
        <w:t xml:space="preserve"> training sessions</w:t>
      </w:r>
      <w:r w:rsidR="00157447">
        <w:rPr>
          <w:rFonts w:ascii="Times New Roman" w:hAnsi="Times New Roman" w:cs="Times New Roman"/>
        </w:rPr>
        <w:t>,</w:t>
      </w:r>
      <w:r w:rsidR="00A01274">
        <w:rPr>
          <w:rFonts w:ascii="Times New Roman" w:hAnsi="Times New Roman" w:cs="Times New Roman"/>
        </w:rPr>
        <w:t xml:space="preserve"> w</w:t>
      </w:r>
      <w:r w:rsidR="00157447">
        <w:rPr>
          <w:rFonts w:ascii="Times New Roman" w:hAnsi="Times New Roman" w:cs="Times New Roman"/>
        </w:rPr>
        <w:t>hich primarily</w:t>
      </w:r>
      <w:r w:rsidR="00A01274">
        <w:rPr>
          <w:rFonts w:ascii="Times New Roman" w:hAnsi="Times New Roman" w:cs="Times New Roman"/>
        </w:rPr>
        <w:t xml:space="preserve"> include </w:t>
      </w:r>
      <w:r w:rsidR="00157447">
        <w:rPr>
          <w:rFonts w:ascii="Times New Roman" w:hAnsi="Times New Roman" w:cs="Times New Roman"/>
        </w:rPr>
        <w:t>sport specific practice sessions, but also include sessions directed at enhancing strength and</w:t>
      </w:r>
      <w:r w:rsidR="00A01274">
        <w:rPr>
          <w:rFonts w:ascii="Times New Roman" w:hAnsi="Times New Roman" w:cs="Times New Roman"/>
        </w:rPr>
        <w:t xml:space="preserve"> energy system </w:t>
      </w:r>
      <w:r w:rsidR="00157447">
        <w:rPr>
          <w:rFonts w:ascii="Times New Roman" w:hAnsi="Times New Roman" w:cs="Times New Roman"/>
        </w:rPr>
        <w:t>performance</w:t>
      </w:r>
      <w:r w:rsidR="00A01274">
        <w:rPr>
          <w:rFonts w:ascii="Times New Roman" w:hAnsi="Times New Roman" w:cs="Times New Roman"/>
        </w:rPr>
        <w:t xml:space="preserve">. </w:t>
      </w:r>
      <w:r w:rsidR="00E3076C">
        <w:rPr>
          <w:rFonts w:ascii="Times New Roman" w:hAnsi="Times New Roman" w:cs="Times New Roman"/>
        </w:rPr>
        <w:t>The intensity and duration of the sessions will fluctuate throughout the year</w:t>
      </w:r>
      <w:r w:rsidR="00CB0BB9">
        <w:rPr>
          <w:rFonts w:ascii="Times New Roman" w:hAnsi="Times New Roman" w:cs="Times New Roman"/>
        </w:rPr>
        <w:t>,</w:t>
      </w:r>
      <w:r w:rsidR="00E3076C">
        <w:rPr>
          <w:rFonts w:ascii="Times New Roman" w:hAnsi="Times New Roman" w:cs="Times New Roman"/>
        </w:rPr>
        <w:t xml:space="preserve"> </w:t>
      </w:r>
      <w:r w:rsidR="0075794A">
        <w:rPr>
          <w:rFonts w:ascii="Times New Roman" w:hAnsi="Times New Roman" w:cs="Times New Roman"/>
        </w:rPr>
        <w:t>as well as</w:t>
      </w:r>
      <w:r w:rsidR="00CB0BB9">
        <w:rPr>
          <w:rFonts w:ascii="Times New Roman" w:hAnsi="Times New Roman" w:cs="Times New Roman"/>
        </w:rPr>
        <w:t xml:space="preserve"> the </w:t>
      </w:r>
      <w:r w:rsidR="00E3076C">
        <w:rPr>
          <w:rFonts w:ascii="Times New Roman" w:hAnsi="Times New Roman" w:cs="Times New Roman"/>
        </w:rPr>
        <w:t xml:space="preserve">emphases </w:t>
      </w:r>
      <w:r w:rsidR="00CB0BB9">
        <w:rPr>
          <w:rFonts w:ascii="Times New Roman" w:hAnsi="Times New Roman" w:cs="Times New Roman"/>
        </w:rPr>
        <w:t>of both</w:t>
      </w:r>
      <w:r w:rsidR="0075794A">
        <w:rPr>
          <w:rFonts w:ascii="Times New Roman" w:hAnsi="Times New Roman" w:cs="Times New Roman"/>
        </w:rPr>
        <w:t xml:space="preserve"> </w:t>
      </w:r>
      <w:r w:rsidR="00157447">
        <w:rPr>
          <w:rFonts w:ascii="Times New Roman" w:hAnsi="Times New Roman" w:cs="Times New Roman"/>
        </w:rPr>
        <w:t xml:space="preserve">the </w:t>
      </w:r>
      <w:r w:rsidR="00E3076C">
        <w:rPr>
          <w:rFonts w:ascii="Times New Roman" w:hAnsi="Times New Roman" w:cs="Times New Roman"/>
        </w:rPr>
        <w:t xml:space="preserve">physical </w:t>
      </w:r>
      <w:r w:rsidR="0075794A">
        <w:rPr>
          <w:rFonts w:ascii="Times New Roman" w:hAnsi="Times New Roman" w:cs="Times New Roman"/>
        </w:rPr>
        <w:t>and</w:t>
      </w:r>
      <w:r w:rsidR="00E3076C">
        <w:rPr>
          <w:rFonts w:ascii="Times New Roman" w:hAnsi="Times New Roman" w:cs="Times New Roman"/>
        </w:rPr>
        <w:t xml:space="preserve"> skill </w:t>
      </w:r>
      <w:r w:rsidR="00CB0BB9">
        <w:rPr>
          <w:rFonts w:ascii="Times New Roman" w:hAnsi="Times New Roman" w:cs="Times New Roman"/>
        </w:rPr>
        <w:t>components for the</w:t>
      </w:r>
      <w:r w:rsidR="0075794A">
        <w:rPr>
          <w:rFonts w:ascii="Times New Roman" w:hAnsi="Times New Roman" w:cs="Times New Roman"/>
        </w:rPr>
        <w:t xml:space="preserve"> athletes</w:t>
      </w:r>
      <w:r w:rsidR="00E3076C">
        <w:rPr>
          <w:rFonts w:ascii="Times New Roman" w:hAnsi="Times New Roman" w:cs="Times New Roman"/>
        </w:rPr>
        <w:t xml:space="preserve">. </w:t>
      </w:r>
      <w:r w:rsidR="00CB0BB9">
        <w:rPr>
          <w:rFonts w:ascii="Times New Roman" w:hAnsi="Times New Roman" w:cs="Times New Roman"/>
        </w:rPr>
        <w:t>Training responses are thought to coincide with</w:t>
      </w:r>
      <w:r w:rsidR="00C23926">
        <w:rPr>
          <w:rFonts w:ascii="Times New Roman" w:hAnsi="Times New Roman" w:cs="Times New Roman"/>
        </w:rPr>
        <w:t xml:space="preserve"> the </w:t>
      </w:r>
      <w:r w:rsidR="00737F7C">
        <w:rPr>
          <w:rFonts w:ascii="Times New Roman" w:hAnsi="Times New Roman" w:cs="Times New Roman"/>
        </w:rPr>
        <w:t>general adaptation syndrome</w:t>
      </w:r>
      <w:r w:rsidR="0075794A">
        <w:rPr>
          <w:rFonts w:ascii="Times New Roman" w:hAnsi="Times New Roman" w:cs="Times New Roman"/>
        </w:rPr>
        <w:t xml:space="preserve"> (GAS) model</w:t>
      </w:r>
      <w:r w:rsidR="00C23926">
        <w:rPr>
          <w:rFonts w:ascii="Times New Roman" w:hAnsi="Times New Roman" w:cs="Times New Roman"/>
        </w:rPr>
        <w:t xml:space="preserve"> described by Hans Selye</w:t>
      </w:r>
      <w:r w:rsidR="009A4DBB">
        <w:rPr>
          <w:rFonts w:ascii="Times New Roman" w:hAnsi="Times New Roman" w:cs="Times New Roman"/>
        </w:rPr>
        <w:t xml:space="preserve">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{"citationID":"yJ0RbSZG","properties":{"formattedCitation":"(Selye, 1950)","plainCitation":"(Selye, 1950)","noteIndex":0},"citationItems":[{"id":157,"uris":["http://zotero.org/users/6327055/items/NWAJ48HD"],"itemData":{"id":157,"type":"article-journal","container-title":"British Medical Journal","language":"en","page":"1383-1392","source":"Zotero","title":"Stress and the general adaptation syndrome","author":[{"family":"Selye","given":"Hans"}],"issued":{"date-parts":[["1950",6,17]]}}}],"schema":"https://github.com/citation-style-language/schema/raw/master/csl-citation.json"} </w:instrText>
      </w:r>
      <w:r w:rsidR="006E711E">
        <w:rPr>
          <w:rFonts w:ascii="Times New Roman" w:hAnsi="Times New Roman" w:cs="Times New Roman"/>
          <w:noProof/>
        </w:rPr>
        <w:fldChar w:fldCharType="separate"/>
      </w:r>
      <w:r w:rsidR="006E711E">
        <w:rPr>
          <w:rFonts w:ascii="Times New Roman" w:hAnsi="Times New Roman" w:cs="Times New Roman"/>
          <w:noProof/>
        </w:rPr>
        <w:t>(Selye, 1950)</w:t>
      </w:r>
      <w:r w:rsidR="006E711E">
        <w:rPr>
          <w:rFonts w:ascii="Times New Roman" w:hAnsi="Times New Roman" w:cs="Times New Roman"/>
          <w:noProof/>
        </w:rPr>
        <w:fldChar w:fldCharType="end"/>
      </w:r>
      <w:r w:rsidR="00737F7C">
        <w:rPr>
          <w:rFonts w:ascii="Times New Roman" w:hAnsi="Times New Roman" w:cs="Times New Roman"/>
        </w:rPr>
        <w:t>.</w:t>
      </w:r>
      <w:r w:rsidR="0075794A">
        <w:rPr>
          <w:rFonts w:ascii="Times New Roman" w:hAnsi="Times New Roman" w:cs="Times New Roman"/>
        </w:rPr>
        <w:t xml:space="preserve"> </w:t>
      </w:r>
      <w:r w:rsidR="00316A2C">
        <w:rPr>
          <w:rFonts w:ascii="Times New Roman" w:hAnsi="Times New Roman" w:cs="Times New Roman"/>
        </w:rPr>
        <w:t>E</w:t>
      </w:r>
      <w:r w:rsidR="0075794A">
        <w:rPr>
          <w:rFonts w:ascii="Times New Roman" w:hAnsi="Times New Roman" w:cs="Times New Roman"/>
        </w:rPr>
        <w:t xml:space="preserve">ach </w:t>
      </w:r>
      <w:r w:rsidR="00D4036F">
        <w:rPr>
          <w:rFonts w:ascii="Times New Roman" w:hAnsi="Times New Roman" w:cs="Times New Roman"/>
        </w:rPr>
        <w:t>stressor act</w:t>
      </w:r>
      <w:r w:rsidR="00316A2C">
        <w:rPr>
          <w:rFonts w:ascii="Times New Roman" w:hAnsi="Times New Roman" w:cs="Times New Roman"/>
        </w:rPr>
        <w:t>s</w:t>
      </w:r>
      <w:r w:rsidR="00D4036F">
        <w:rPr>
          <w:rFonts w:ascii="Times New Roman" w:hAnsi="Times New Roman" w:cs="Times New Roman"/>
        </w:rPr>
        <w:t xml:space="preserve"> as the </w:t>
      </w:r>
      <w:r w:rsidR="0075794A">
        <w:rPr>
          <w:rFonts w:ascii="Times New Roman" w:hAnsi="Times New Roman" w:cs="Times New Roman"/>
        </w:rPr>
        <w:t>stimulus generated through</w:t>
      </w:r>
      <w:r w:rsidR="00CB0BB9">
        <w:rPr>
          <w:rFonts w:ascii="Times New Roman" w:hAnsi="Times New Roman" w:cs="Times New Roman"/>
        </w:rPr>
        <w:t>out</w:t>
      </w:r>
      <w:r w:rsidR="0075794A">
        <w:rPr>
          <w:rFonts w:ascii="Times New Roman" w:hAnsi="Times New Roman" w:cs="Times New Roman"/>
        </w:rPr>
        <w:t xml:space="preserve"> the various training sessions</w:t>
      </w:r>
      <w:r w:rsidR="00CB0BB9">
        <w:rPr>
          <w:rFonts w:ascii="Times New Roman" w:hAnsi="Times New Roman" w:cs="Times New Roman"/>
        </w:rPr>
        <w:t xml:space="preserve">, </w:t>
      </w:r>
      <w:r w:rsidR="00316A2C">
        <w:rPr>
          <w:rFonts w:ascii="Times New Roman" w:hAnsi="Times New Roman" w:cs="Times New Roman"/>
        </w:rPr>
        <w:t>and</w:t>
      </w:r>
      <w:r w:rsidR="00157447">
        <w:rPr>
          <w:rFonts w:ascii="Times New Roman" w:hAnsi="Times New Roman" w:cs="Times New Roman"/>
        </w:rPr>
        <w:t xml:space="preserve"> will </w:t>
      </w:r>
      <w:r w:rsidR="0075794A">
        <w:rPr>
          <w:rFonts w:ascii="Times New Roman" w:hAnsi="Times New Roman" w:cs="Times New Roman"/>
        </w:rPr>
        <w:t xml:space="preserve">initiate the first step within the GAS model, the alarm stage. In this stage there is </w:t>
      </w:r>
      <w:r w:rsidR="00DB5CA7">
        <w:rPr>
          <w:rFonts w:ascii="Times New Roman" w:hAnsi="Times New Roman" w:cs="Times New Roman"/>
        </w:rPr>
        <w:t>a perturbation from resting levels in the physiological areas being stressed that leads to a bout of suppression in performance. This stage is followed by the resistance stage</w:t>
      </w:r>
      <w:r w:rsidR="00CB0BB9">
        <w:rPr>
          <w:rFonts w:ascii="Times New Roman" w:hAnsi="Times New Roman" w:cs="Times New Roman"/>
        </w:rPr>
        <w:t>, where</w:t>
      </w:r>
      <w:r w:rsidR="00DB5CA7">
        <w:rPr>
          <w:rFonts w:ascii="Times New Roman" w:hAnsi="Times New Roman" w:cs="Times New Roman"/>
        </w:rPr>
        <w:t xml:space="preserve"> if there is enough </w:t>
      </w:r>
      <w:r w:rsidR="00CB0BB9">
        <w:rPr>
          <w:rFonts w:ascii="Times New Roman" w:hAnsi="Times New Roman" w:cs="Times New Roman"/>
        </w:rPr>
        <w:t xml:space="preserve">resources and </w:t>
      </w:r>
      <w:r w:rsidR="00DB5CA7">
        <w:rPr>
          <w:rFonts w:ascii="Times New Roman" w:hAnsi="Times New Roman" w:cs="Times New Roman"/>
        </w:rPr>
        <w:t xml:space="preserve">time </w:t>
      </w:r>
      <w:r w:rsidR="00CB0BB9">
        <w:rPr>
          <w:rFonts w:ascii="Times New Roman" w:hAnsi="Times New Roman" w:cs="Times New Roman"/>
        </w:rPr>
        <w:t xml:space="preserve">are available </w:t>
      </w:r>
      <w:r w:rsidR="00DB5CA7">
        <w:rPr>
          <w:rFonts w:ascii="Times New Roman" w:hAnsi="Times New Roman" w:cs="Times New Roman"/>
        </w:rPr>
        <w:t>for recovery to take place</w:t>
      </w:r>
      <w:r w:rsidR="00CB0BB9">
        <w:rPr>
          <w:rFonts w:ascii="Times New Roman" w:hAnsi="Times New Roman" w:cs="Times New Roman"/>
        </w:rPr>
        <w:t>, the athlete will resist the deficit associated with the</w:t>
      </w:r>
      <w:r w:rsidR="00DB5CA7">
        <w:rPr>
          <w:rFonts w:ascii="Times New Roman" w:hAnsi="Times New Roman" w:cs="Times New Roman"/>
        </w:rPr>
        <w:t xml:space="preserve"> suppression </w:t>
      </w:r>
      <w:r w:rsidR="00F65F93">
        <w:rPr>
          <w:rFonts w:ascii="Times New Roman" w:hAnsi="Times New Roman" w:cs="Times New Roman"/>
        </w:rPr>
        <w:t xml:space="preserve">of performance and will return towards </w:t>
      </w:r>
      <w:r w:rsidR="00DB5CA7">
        <w:rPr>
          <w:rFonts w:ascii="Times New Roman" w:hAnsi="Times New Roman" w:cs="Times New Roman"/>
        </w:rPr>
        <w:t xml:space="preserve">baseline levels </w:t>
      </w:r>
      <w:r w:rsidR="00F65F93">
        <w:rPr>
          <w:rFonts w:ascii="Times New Roman" w:hAnsi="Times New Roman" w:cs="Times New Roman"/>
        </w:rPr>
        <w:t xml:space="preserve">again. The organism attempts to develop adaptations </w:t>
      </w:r>
      <w:r w:rsidR="00A916C4">
        <w:rPr>
          <w:rFonts w:ascii="Times New Roman" w:hAnsi="Times New Roman" w:cs="Times New Roman"/>
        </w:rPr>
        <w:t>to ensure if the stimulus is encountered again</w:t>
      </w:r>
      <w:r w:rsidR="00F65F93">
        <w:rPr>
          <w:rFonts w:ascii="Times New Roman" w:hAnsi="Times New Roman" w:cs="Times New Roman"/>
        </w:rPr>
        <w:t>,</w:t>
      </w:r>
      <w:r w:rsidR="00A916C4">
        <w:rPr>
          <w:rFonts w:ascii="Times New Roman" w:hAnsi="Times New Roman" w:cs="Times New Roman"/>
        </w:rPr>
        <w:t xml:space="preserve"> that it will be less of a </w:t>
      </w:r>
      <w:r w:rsidR="00B44CAC">
        <w:rPr>
          <w:rFonts w:ascii="Times New Roman" w:hAnsi="Times New Roman" w:cs="Times New Roman"/>
        </w:rPr>
        <w:t>deviation</w:t>
      </w:r>
      <w:r w:rsidR="00A916C4">
        <w:rPr>
          <w:rFonts w:ascii="Times New Roman" w:hAnsi="Times New Roman" w:cs="Times New Roman"/>
        </w:rPr>
        <w:t xml:space="preserve"> from baseline. </w:t>
      </w:r>
      <w:r w:rsidR="003A0F2A">
        <w:rPr>
          <w:rFonts w:ascii="Times New Roman" w:hAnsi="Times New Roman" w:cs="Times New Roman"/>
        </w:rPr>
        <w:t xml:space="preserve">If a large enough stimulus is received and the time for recovery is sufficient then there can even be </w:t>
      </w:r>
      <w:r w:rsidR="00F65F93">
        <w:rPr>
          <w:rFonts w:ascii="Times New Roman" w:hAnsi="Times New Roman" w:cs="Times New Roman"/>
        </w:rPr>
        <w:t xml:space="preserve">positive </w:t>
      </w:r>
      <w:r w:rsidR="003A0F2A">
        <w:rPr>
          <w:rFonts w:ascii="Times New Roman" w:hAnsi="Times New Roman" w:cs="Times New Roman"/>
        </w:rPr>
        <w:t xml:space="preserve">improvements in performance </w:t>
      </w:r>
      <w:r w:rsidR="00F65F93">
        <w:rPr>
          <w:rFonts w:ascii="Times New Roman" w:hAnsi="Times New Roman" w:cs="Times New Roman"/>
        </w:rPr>
        <w:t xml:space="preserve">that supersede original baseline levels, </w:t>
      </w:r>
      <w:r w:rsidR="003A0F2A">
        <w:rPr>
          <w:rFonts w:ascii="Times New Roman" w:hAnsi="Times New Roman" w:cs="Times New Roman"/>
        </w:rPr>
        <w:t>known as the stage of supercompensation. In contrast, if the stimul</w:t>
      </w:r>
      <w:r w:rsidR="00157447">
        <w:rPr>
          <w:rFonts w:ascii="Times New Roman" w:hAnsi="Times New Roman" w:cs="Times New Roman"/>
        </w:rPr>
        <w:t>i</w:t>
      </w:r>
      <w:r w:rsidR="003A0F2A">
        <w:rPr>
          <w:rFonts w:ascii="Times New Roman" w:hAnsi="Times New Roman" w:cs="Times New Roman"/>
        </w:rPr>
        <w:t xml:space="preserve"> is too large or there is not enough time </w:t>
      </w:r>
      <w:r w:rsidR="00F65F93">
        <w:rPr>
          <w:rFonts w:ascii="Times New Roman" w:hAnsi="Times New Roman" w:cs="Times New Roman"/>
        </w:rPr>
        <w:t xml:space="preserve">and resources </w:t>
      </w:r>
      <w:r w:rsidR="003A0F2A">
        <w:rPr>
          <w:rFonts w:ascii="Times New Roman" w:hAnsi="Times New Roman" w:cs="Times New Roman"/>
        </w:rPr>
        <w:lastRenderedPageBreak/>
        <w:t>for recovery to take place then the stage of exhaustion can be reached where performance</w:t>
      </w:r>
      <w:r w:rsidR="00157447">
        <w:rPr>
          <w:rFonts w:ascii="Times New Roman" w:hAnsi="Times New Roman" w:cs="Times New Roman"/>
        </w:rPr>
        <w:t xml:space="preserve"> becomes compromised</w:t>
      </w:r>
      <w:r w:rsidR="003A0F2A">
        <w:rPr>
          <w:rFonts w:ascii="Times New Roman" w:hAnsi="Times New Roman" w:cs="Times New Roman"/>
        </w:rPr>
        <w:t xml:space="preserve">. This GAS model </w:t>
      </w:r>
      <w:r w:rsidR="00A364CF">
        <w:rPr>
          <w:rFonts w:ascii="Times New Roman" w:hAnsi="Times New Roman" w:cs="Times New Roman"/>
        </w:rPr>
        <w:t>introduces</w:t>
      </w:r>
      <w:r w:rsidR="003A0F2A">
        <w:rPr>
          <w:rFonts w:ascii="Times New Roman" w:hAnsi="Times New Roman" w:cs="Times New Roman"/>
        </w:rPr>
        <w:t xml:space="preserve"> the concept of a dose-response format </w:t>
      </w:r>
      <w:r w:rsidR="00C513F2">
        <w:rPr>
          <w:rFonts w:ascii="Times New Roman" w:hAnsi="Times New Roman" w:cs="Times New Roman"/>
        </w:rPr>
        <w:t xml:space="preserve">in that the </w:t>
      </w:r>
      <w:r w:rsidR="00AF206C">
        <w:rPr>
          <w:rFonts w:ascii="Times New Roman" w:hAnsi="Times New Roman" w:cs="Times New Roman"/>
        </w:rPr>
        <w:t>magnitude</w:t>
      </w:r>
      <w:r w:rsidR="00C513F2">
        <w:rPr>
          <w:rFonts w:ascii="Times New Roman" w:hAnsi="Times New Roman" w:cs="Times New Roman"/>
        </w:rPr>
        <w:t xml:space="preserve"> of each stimuli</w:t>
      </w:r>
      <w:r w:rsidR="00AF206C">
        <w:rPr>
          <w:rFonts w:ascii="Times New Roman" w:hAnsi="Times New Roman" w:cs="Times New Roman"/>
        </w:rPr>
        <w:t xml:space="preserve">, </w:t>
      </w:r>
      <w:r w:rsidR="00F65F93">
        <w:rPr>
          <w:rFonts w:ascii="Times New Roman" w:hAnsi="Times New Roman" w:cs="Times New Roman"/>
        </w:rPr>
        <w:t>thought of in terms of the volume, intensity, and duration as it related to exercise</w:t>
      </w:r>
      <w:r w:rsidR="00AF206C">
        <w:rPr>
          <w:rFonts w:ascii="Times New Roman" w:hAnsi="Times New Roman" w:cs="Times New Roman"/>
        </w:rPr>
        <w:t>,</w:t>
      </w:r>
      <w:r w:rsidR="00C513F2">
        <w:rPr>
          <w:rFonts w:ascii="Times New Roman" w:hAnsi="Times New Roman" w:cs="Times New Roman"/>
        </w:rPr>
        <w:t xml:space="preserve"> will impose a demand on the systems</w:t>
      </w:r>
      <w:r w:rsidR="00F65F93">
        <w:rPr>
          <w:rFonts w:ascii="Times New Roman" w:hAnsi="Times New Roman" w:cs="Times New Roman"/>
        </w:rPr>
        <w:t>, where</w:t>
      </w:r>
      <w:r w:rsidR="00C513F2">
        <w:rPr>
          <w:rFonts w:ascii="Times New Roman" w:hAnsi="Times New Roman" w:cs="Times New Roman"/>
        </w:rPr>
        <w:t xml:space="preserve"> depending on the </w:t>
      </w:r>
      <w:r w:rsidR="00AF206C">
        <w:rPr>
          <w:rFonts w:ascii="Times New Roman" w:hAnsi="Times New Roman" w:cs="Times New Roman"/>
        </w:rPr>
        <w:t>magnitude</w:t>
      </w:r>
      <w:r w:rsidR="00C513F2">
        <w:rPr>
          <w:rFonts w:ascii="Times New Roman" w:hAnsi="Times New Roman" w:cs="Times New Roman"/>
        </w:rPr>
        <w:t xml:space="preserve"> </w:t>
      </w:r>
      <w:r w:rsidR="00F65F93">
        <w:rPr>
          <w:rFonts w:ascii="Times New Roman" w:hAnsi="Times New Roman" w:cs="Times New Roman"/>
        </w:rPr>
        <w:t xml:space="preserve">of the stimulus, </w:t>
      </w:r>
      <w:r w:rsidR="00A364CF">
        <w:rPr>
          <w:rFonts w:ascii="Times New Roman" w:hAnsi="Times New Roman" w:cs="Times New Roman"/>
        </w:rPr>
        <w:t>can determine the</w:t>
      </w:r>
      <w:r w:rsidR="00C513F2">
        <w:rPr>
          <w:rFonts w:ascii="Times New Roman" w:hAnsi="Times New Roman" w:cs="Times New Roman"/>
        </w:rPr>
        <w:t xml:space="preserve"> </w:t>
      </w:r>
      <w:r w:rsidR="00F65F93">
        <w:rPr>
          <w:rFonts w:ascii="Times New Roman" w:hAnsi="Times New Roman" w:cs="Times New Roman"/>
        </w:rPr>
        <w:t>rate</w:t>
      </w:r>
      <w:r w:rsidR="00C513F2">
        <w:rPr>
          <w:rFonts w:ascii="Times New Roman" w:hAnsi="Times New Roman" w:cs="Times New Roman"/>
        </w:rPr>
        <w:t xml:space="preserve"> </w:t>
      </w:r>
      <w:r w:rsidR="00A364CF">
        <w:rPr>
          <w:rFonts w:ascii="Times New Roman" w:hAnsi="Times New Roman" w:cs="Times New Roman"/>
        </w:rPr>
        <w:t>of</w:t>
      </w:r>
      <w:r w:rsidR="00C513F2">
        <w:rPr>
          <w:rFonts w:ascii="Times New Roman" w:hAnsi="Times New Roman" w:cs="Times New Roman"/>
        </w:rPr>
        <w:t xml:space="preserve"> recovery and </w:t>
      </w:r>
      <w:r w:rsidR="00A364CF">
        <w:rPr>
          <w:rFonts w:ascii="Times New Roman" w:hAnsi="Times New Roman" w:cs="Times New Roman"/>
        </w:rPr>
        <w:t xml:space="preserve">magnitude of </w:t>
      </w:r>
      <w:r w:rsidR="00C513F2">
        <w:rPr>
          <w:rFonts w:ascii="Times New Roman" w:hAnsi="Times New Roman" w:cs="Times New Roman"/>
        </w:rPr>
        <w:t>adaptation</w:t>
      </w:r>
      <w:r w:rsidR="00F65F93">
        <w:rPr>
          <w:rFonts w:ascii="Times New Roman" w:hAnsi="Times New Roman" w:cs="Times New Roman"/>
        </w:rPr>
        <w:t>, albeit where</w:t>
      </w:r>
      <w:r w:rsidR="00DA5545">
        <w:rPr>
          <w:rFonts w:ascii="Times New Roman" w:hAnsi="Times New Roman" w:cs="Times New Roman"/>
        </w:rPr>
        <w:t xml:space="preserve"> </w:t>
      </w:r>
      <w:r w:rsidR="00C513F2">
        <w:rPr>
          <w:rFonts w:ascii="Times New Roman" w:hAnsi="Times New Roman" w:cs="Times New Roman"/>
        </w:rPr>
        <w:t xml:space="preserve">supercompensation or exhaustion </w:t>
      </w:r>
      <w:r w:rsidR="00F65F93">
        <w:rPr>
          <w:rFonts w:ascii="Times New Roman" w:hAnsi="Times New Roman" w:cs="Times New Roman"/>
        </w:rPr>
        <w:t xml:space="preserve">may </w:t>
      </w:r>
      <w:r w:rsidR="00C513F2">
        <w:rPr>
          <w:rFonts w:ascii="Times New Roman" w:hAnsi="Times New Roman" w:cs="Times New Roman"/>
        </w:rPr>
        <w:t xml:space="preserve">occur. </w:t>
      </w:r>
    </w:p>
    <w:p w14:paraId="4D67C7B8" w14:textId="45377350" w:rsidR="003B552E" w:rsidRDefault="006923E5" w:rsidP="00CB0BB9">
      <w:pPr>
        <w:spacing w:line="480" w:lineRule="auto"/>
        <w:ind w:firstLine="720"/>
        <w:jc w:val="both"/>
        <w:rPr>
          <w:rFonts w:ascii="Times New Roman" w:hAnsi="Times New Roman" w:cs="Times New Roman"/>
        </w:rPr>
      </w:pPr>
      <w:r>
        <w:rPr>
          <w:rFonts w:ascii="Times New Roman" w:hAnsi="Times New Roman" w:cs="Times New Roman"/>
        </w:rPr>
        <w:t>T</w:t>
      </w:r>
      <w:r w:rsidR="00C17E98">
        <w:rPr>
          <w:rFonts w:ascii="Times New Roman" w:hAnsi="Times New Roman" w:cs="Times New Roman"/>
        </w:rPr>
        <w:t>he t</w:t>
      </w:r>
      <w:r>
        <w:rPr>
          <w:rFonts w:ascii="Times New Roman" w:hAnsi="Times New Roman" w:cs="Times New Roman"/>
        </w:rPr>
        <w:t xml:space="preserve">raining stimuli </w:t>
      </w:r>
      <w:r w:rsidR="007B71F0">
        <w:rPr>
          <w:rFonts w:ascii="Times New Roman" w:hAnsi="Times New Roman" w:cs="Times New Roman"/>
        </w:rPr>
        <w:t>elicit</w:t>
      </w:r>
      <w:r>
        <w:rPr>
          <w:rFonts w:ascii="Times New Roman" w:hAnsi="Times New Roman" w:cs="Times New Roman"/>
        </w:rPr>
        <w:t xml:space="preserve"> responses from the endocrine </w:t>
      </w:r>
      <w:r w:rsidR="007B71F0">
        <w:rPr>
          <w:rFonts w:ascii="Times New Roman" w:hAnsi="Times New Roman" w:cs="Times New Roman"/>
        </w:rPr>
        <w:t xml:space="preserve">and neuromuscular </w:t>
      </w:r>
      <w:r>
        <w:rPr>
          <w:rFonts w:ascii="Times New Roman" w:hAnsi="Times New Roman" w:cs="Times New Roman"/>
        </w:rPr>
        <w:t>system</w:t>
      </w:r>
      <w:r w:rsidR="000F38A1">
        <w:rPr>
          <w:rFonts w:ascii="Times New Roman" w:hAnsi="Times New Roman" w:cs="Times New Roman"/>
        </w:rPr>
        <w:t>s</w:t>
      </w:r>
      <w:r>
        <w:rPr>
          <w:rFonts w:ascii="Times New Roman" w:hAnsi="Times New Roman" w:cs="Times New Roman"/>
        </w:rPr>
        <w:t xml:space="preserve"> that </w:t>
      </w:r>
      <w:r w:rsidR="006C7F68">
        <w:rPr>
          <w:rFonts w:ascii="Times New Roman" w:hAnsi="Times New Roman" w:cs="Times New Roman"/>
        </w:rPr>
        <w:t>play</w:t>
      </w:r>
      <w:r>
        <w:rPr>
          <w:rFonts w:ascii="Times New Roman" w:hAnsi="Times New Roman" w:cs="Times New Roman"/>
        </w:rPr>
        <w:t xml:space="preserve"> a part in adaptations and states of recovery. </w:t>
      </w:r>
      <w:r w:rsidR="00AC1E4F">
        <w:rPr>
          <w:rFonts w:ascii="Times New Roman" w:hAnsi="Times New Roman" w:cs="Times New Roman"/>
        </w:rPr>
        <w:t xml:space="preserve">Approaches have been used to monitor the status of the athletes including observing changes in biochemical markers or neuromuscular performance. </w:t>
      </w:r>
      <w:r w:rsidR="003449D6">
        <w:rPr>
          <w:rFonts w:ascii="Times New Roman" w:hAnsi="Times New Roman" w:cs="Times New Roman"/>
        </w:rPr>
        <w:t xml:space="preserve">Biochemical changes reflecting alterations in homeostatic function may help allude to athletes’ positions in the recovery-adaptation continuum. </w:t>
      </w:r>
      <w:r w:rsidR="00FF204B">
        <w:rPr>
          <w:rFonts w:ascii="Times New Roman" w:hAnsi="Times New Roman" w:cs="Times New Roman"/>
        </w:rPr>
        <w:t>A majority of the studies seeking to monitor the endocrine responses have used serum or plasma</w:t>
      </w:r>
      <w:r w:rsidR="000F38A1">
        <w:rPr>
          <w:rFonts w:ascii="Times New Roman" w:hAnsi="Times New Roman" w:cs="Times New Roman"/>
        </w:rPr>
        <w:t>,</w:t>
      </w:r>
      <w:r w:rsidR="00FF204B">
        <w:rPr>
          <w:rFonts w:ascii="Times New Roman" w:hAnsi="Times New Roman" w:cs="Times New Roman"/>
        </w:rPr>
        <w:t xml:space="preserve"> but recently more studies have shown that </w:t>
      </w:r>
      <w:r w:rsidR="007C60B5">
        <w:rPr>
          <w:rFonts w:ascii="Times New Roman" w:hAnsi="Times New Roman" w:cs="Times New Roman"/>
        </w:rPr>
        <w:t xml:space="preserve">collection of </w:t>
      </w:r>
      <w:r w:rsidR="00FF204B">
        <w:rPr>
          <w:rFonts w:ascii="Times New Roman" w:hAnsi="Times New Roman" w:cs="Times New Roman"/>
        </w:rPr>
        <w:t xml:space="preserve">saliva </w:t>
      </w:r>
      <w:r w:rsidR="007C60B5">
        <w:rPr>
          <w:rFonts w:ascii="Times New Roman" w:hAnsi="Times New Roman" w:cs="Times New Roman"/>
        </w:rPr>
        <w:t xml:space="preserve">shows to be a non-invasive method that correlates well with </w:t>
      </w:r>
      <w:r w:rsidR="00573C56">
        <w:rPr>
          <w:rFonts w:ascii="Times New Roman" w:hAnsi="Times New Roman" w:cs="Times New Roman"/>
        </w:rPr>
        <w:t>blood</w:t>
      </w:r>
      <w:r w:rsidR="007C60B5">
        <w:rPr>
          <w:rFonts w:ascii="Times New Roman" w:hAnsi="Times New Roman" w:cs="Times New Roman"/>
        </w:rPr>
        <w:t xml:space="preserve"> values</w:t>
      </w:r>
      <w:r w:rsidR="006B591B">
        <w:rPr>
          <w:rFonts w:ascii="Times New Roman" w:hAnsi="Times New Roman" w:cs="Times New Roman"/>
        </w:rPr>
        <w:t>, representing the biologically active portion of the hormone</w:t>
      </w:r>
      <w:r w:rsidR="007C60B5">
        <w:rPr>
          <w:rFonts w:ascii="Times New Roman" w:hAnsi="Times New Roman" w:cs="Times New Roman"/>
        </w:rPr>
        <w:t xml:space="preserve">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{"citationID":"AF6tIP9E","properties":{"formattedCitation":"(Baxendale et al., 1982; Gozansky et al., 2005; Johnson &amp; Joplin, 1987; Lippi et al., 2009; Papacosta &amp; Nassis, 2011; Rantonen et al., 2000)","plainCitation":"(Baxendale et al., 1982; Gozansky et al., 2005; Johnson &amp; Joplin, 1987; Lippi et al., 2009; Papacosta &amp; Nassis, 2011; Rantonen et al., 2000)","noteIndex":0},"citationItems":[{"id":123,"uris":["http://zotero.org/users/6327055/items/CF9MYWPK"],"itemData":{"id":123,"type":"article-journal","abstract":"A sensitive radioimmunoassay (RIA) was used to measure salivary testosterone levels in normal women, in patients with polycystic ovaries (PCO), and in women with hirsutism. There was a highly significant correlation (r=0.79, P c 0.001) between the concentration of testosterone in saliva [12.3f7.8 (SD) pg/ml] and the concentration of unbound testosterone in plasma (5.2 f3. I pg/ml) in matched samples collected from 56 women including normals, patients with clinical signs of hyperandrogenism, and women treated with a combination of cyproterone acetate (CA) and ethinyl oestradiol (EE). The unbound plasma testosterone was measured in the dialysate directly using a sensitive RIA. Salivary and plasma testosterone levels in patients with PCO (20.6&amp; 8.5 and 626 fI87 pg/ml respectively,n = 14) and in those with hirsutism (I 3-9f5-6 and 421 k 170 pg/ml, n =30) were significantly higher ( P&lt;0.001) than levels in normal women (7.7f2.6 and 196f68 pg/ml, n =36). Treatment for 3 months with CA and EE resulted in a decrease (mean 68%) in salivary testosterone levels in all patients studied (n= 1 9 , but the suppression of plasma testosterone (mean 34%) was not observed in all cases. It is concluded that measurement of salivary testosterone gives a useful indication of levels of biologically available androgen in hyperandrogenic women, before and during CA/EE therapy.","container-title":"Clinical Endocrinology","DOI":"10.1111/j.1365-2265.1982.tb03176.x","ISSN":"0300-0664, 1365-2265","issue":"6","journalAbbreviation":"Clin Endocrinol","language":"en","page":"595-603","source":"DOI.org (Crossref)","title":"Salivary testosterone: relationship to unbound plasma testosterone in normal and hyperandrogenic women","title-short":"SALIVARY TESTOSTERONE","volume":"16","author":[{"family":"Baxendale","given":"P. M."},{"family":"Jacobs","given":"H. S."},{"family":"James","given":"V. H. T."}],"issued":{"date-parts":[["1982",6]]}}},{"id":386,"uris":["http://zotero.org/users/6327055/items/WH6JU6B5"],"itemData":{"id":386,"type":"article-journal","abstract":"Objective The aim of this study was to determine whether salivary cortisol measured by a simple enzyme immunoassay (EIA) could be used as a surrogate for serum total cortisol in response to rapid changes and across a wide range of concentrations.","container-title":"Clinical Endocrinology","DOI":"10.1111/j.1365-2265.2005.02349.x","ISSN":"0300-0664, 1365-2265","issue":"3","journalAbbreviation":"Clin Endocrinol","language":"en","page":"336-341","source":"DOI.org (Crossref)","title":"Salivary cortisol determined by enzyme immunoassay is preferable to serum total cortisol for assessment of dynamic hypothalamic-pituitary-adrenal axis activity","volume":"63","author":[{"family":"Gozansky","given":"W. S."},{"family":"Lynn","given":"J. S."},{"family":"Laudenslager","given":"M. L."},{"family":"Kohrt","given":"W. M."}],"issued":{"date-parts":[["2005",9]]}}},{"id":166,"uris":["http://zotero.org/users/6327055/items/96NH47D6"],"itemData":{"id":166,"type":"article-journal","abstract":"A direct non-extraction radio~unoassay for salivary testosterone is described using a modified commercial kit procedure that is in use for total serum testosterone (T). Serum free testosterone was also measured by direct radioimmunoassay. A significant correlation (r = 0.83, p &lt; 0.01, n = 194) was obtained between salivary and serum free testosterone in matched serum and saliva samples over a wide range of concentrations. Within- and between-batch precision for the salivary testosterone method was 11% and 188, respectively at a concentration of 170 pmol/l. Recovery of added T was 89% + 15% (X j, 2 SD) and dilution of high samples showed parallelism. Salivary testosterone measured by direct radioimmunoassay offers a simple cheaper alternative to serum free testosterone measurement with the additional advantages of a stress-free non-invasive sampling procedure.","container-title":"Clinica Chimica Acta","language":"en","page":"309-318","source":"Zotero","title":"Direct assay for testosterone in saliva: relationship with a direct serum free testosterone assay","author":[{"family":"Johnson","given":"Stanley G"},{"family":"Joplin","given":"F"}],"issued":{"date-parts":[["1987"]]}}},{"id":511,"uris":["http://zotero.org/users/6327055/items/YYMR44TP"],"itemData":{"id":511,"type":"article-journal","abstract":"Objectives: To evaluate feasibility and reliability of measuring saliva cortisol in athletes. Design and methods: Saliva cortisol was measured in 25 soccer players, and compared with serum cortisol measured with two commercial immunoassays.\nResults: A highly significant correlation was observed between saliva and serum cortisol. The percentage of saliva and serum values above the upper limit of the reference range was nearly identical.\nConclusions: Salivary measurement is a suitable approach for monitoring cortisol in athletes. © 2009 The Canadian Society of Clinical Chemists. Published by Elsevier Inc. All rights reserved.","container-title":"Clinical Biochemistry","DOI":"10.1016/j.clinbiochem.2009.02.012","ISSN":"00099120","issue":"9","journalAbbreviation":"Clinical Biochemistry","language":"en","page":"904-906","source":"DOI.org (Crossref)","title":"Measurement of morning saliva cortisol in athletes","volume":"42","author":[{"family":"Lippi","given":"Giuseppe"},{"family":"De Vita","given":"Francesco"},{"family":"Salvagno","given":"Gian Luca"},{"family":"Gelati","given":"Matteo"},{"family":"Montagnana","given":"Martina"},{"family":"Guidi","given":"Gian Cesare"}],"issued":{"date-parts":[["2009",6]]}}},{"id":380,"uris":["http://zotero.org/users/6327055/items/E7MHQ2CJ"],"itemData":{"id":380,"type":"article-journal","abstract":"Objectives: This paper discusses the use of saliva analysis as a tool for monitoring steroid, peptide, and immune markers of sports training. Design: Salivary gland physiology, regarding the regulation and stimulation of saliva secretion, as well as methodological issues including saliva collection, storage and analysis are addressed in this paper. The effects of exercise on saliva composition are then considered. Method: Exercise elicits changes in salivary levels of steroid hormones, immunoglobulins, antimicrobial proteins and enzymes. Cortisol, testosterone and dehydroepiandrosterone can be assessed in saliva, providing a non-invasive option to assess the catabolic and anabolic effects of exercise. Validation studies using blood and salivary measures of steroid hormones are addressed in this paper. Effects of acute exercise and training on salivary immunoglobulins (SIgA, SIgM, SIgG) and salivary antimicrobial proteins, including </w:instrText>
      </w:r>
      <w:r w:rsidR="00546507">
        <w:rPr>
          <w:rFonts w:ascii="Segoe UI Symbol" w:hAnsi="Segoe UI Symbol" w:cs="Segoe UI Symbol"/>
          <w:noProof/>
        </w:rPr>
        <w:instrText>␣</w:instrText>
      </w:r>
      <w:r w:rsidR="00546507">
        <w:rPr>
          <w:rFonts w:ascii="Times New Roman" w:hAnsi="Times New Roman" w:cs="Times New Roman"/>
          <w:noProof/>
        </w:rPr>
        <w:instrText xml:space="preserve">-amylase, lysozyme and lactoferrin, are also discussed. Results: Analysis of cortisol and testosterone in saliva may help detect the onset of non-functional overreaching and subsequently may help to prevent the development of overtraining syndrome. Assessment of salivary immunoglobulins and antimicrobial proteins has been shown to successfully represent the effects of exercise on mucosal immunity. Increases in SIgA and antimicrobial proteins concentration and/or secretion rate are associated with acute exercise whereas conversely, decreases have been reported in athletes over a training season leaving the athlete susceptible for upper respiratory tract infections. Conclusions: The measurement of physiological biomarkers in whole saliva can provide a signiﬁcant tool for assessing the immunological and endocrinological status associated with exercise and training.","container-title":"Journal of Science and Medicine in Sport","DOI":"10.1016/j.jsams.2011.03.004","ISSN":"14402440","issue":"5","journalAbbreviation":"Journal of Science and Medicine in Sport","language":"en","page":"424-434","source":"DOI.org (Crossref)","title":"Saliva as a tool for monitoring steroid, peptide and immune markers in sport and exercise science","volume":"14","author":[{"family":"Papacosta","given":"Elena"},{"family":"Nassis","given":"George P."}],"issued":{"date-parts":[["2011",9]]}}},{"id":515,"uris":["http://zotero.org/users/6327055/items/BG4BFD8H"],"itemData":{"id":515,"type":"article-journal","container-title":"Acta Odontologica Scandinavica","DOI":"10.1080/00016350050217163","ISSN":"0001-6357, 1502-3850","issue":"6","journalAbbreviation":"Acta Odontologica Scandinavica","language":"en","page":"299-303","source":"DOI.org (Crossref)","title":"Growth hormone and cortisol in serum and saliva","volume":"58","author":[{"family":"Rantonen","given":"Panu J. F."},{"family":"Penttilä","given":"Ilkka"},{"family":"Meurman","given":"Jukka H."},{"family":"Savolainen","given":"Kari"},{"family":"Närvänen","given":"Sakari"},{"family":"Helenius","given":"Tuula"}],"issued":{"date-parts":[["2000",1]]}}}],"schema":"https://github.com/citation-style-language/schema/raw/master/csl-citation.json"} </w:instrText>
      </w:r>
      <w:r w:rsidR="006E711E">
        <w:rPr>
          <w:rFonts w:ascii="Times New Roman" w:hAnsi="Times New Roman" w:cs="Times New Roman"/>
          <w:noProof/>
        </w:rPr>
        <w:fldChar w:fldCharType="separate"/>
      </w:r>
      <w:r w:rsidR="00027FD6">
        <w:rPr>
          <w:rFonts w:ascii="Times New Roman" w:hAnsi="Times New Roman" w:cs="Times New Roman"/>
          <w:noProof/>
        </w:rPr>
        <w:t>(Baxendale et al., 1982; Gozansky et al., 2005; Johnson &amp; Joplin, 1987; Lippi et al., 2009; Papacosta &amp; Nassis, 2011; Rantonen et al., 2000)</w:t>
      </w:r>
      <w:r w:rsidR="006E711E">
        <w:rPr>
          <w:rFonts w:ascii="Times New Roman" w:hAnsi="Times New Roman" w:cs="Times New Roman"/>
          <w:noProof/>
        </w:rPr>
        <w:fldChar w:fldCharType="end"/>
      </w:r>
      <w:r w:rsidR="006E711E">
        <w:rPr>
          <w:rFonts w:ascii="Times New Roman" w:hAnsi="Times New Roman" w:cs="Times New Roman"/>
          <w:noProof/>
        </w:rPr>
        <w:t>.</w:t>
      </w:r>
      <w:r w:rsidR="007C60B5">
        <w:rPr>
          <w:rFonts w:ascii="Times New Roman" w:hAnsi="Times New Roman" w:cs="Times New Roman"/>
        </w:rPr>
        <w:t xml:space="preserve"> This allows for a large collection of samples to be </w:t>
      </w:r>
      <w:r w:rsidR="00D8693B">
        <w:rPr>
          <w:rFonts w:ascii="Times New Roman" w:hAnsi="Times New Roman" w:cs="Times New Roman"/>
        </w:rPr>
        <w:t>collected</w:t>
      </w:r>
      <w:r w:rsidR="007C60B5">
        <w:rPr>
          <w:rFonts w:ascii="Times New Roman" w:hAnsi="Times New Roman" w:cs="Times New Roman"/>
        </w:rPr>
        <w:t xml:space="preserve"> with minimal time expenditure</w:t>
      </w:r>
      <w:r w:rsidR="00A34876">
        <w:rPr>
          <w:rFonts w:ascii="Times New Roman" w:hAnsi="Times New Roman" w:cs="Times New Roman"/>
        </w:rPr>
        <w:t>, medical training, and</w:t>
      </w:r>
      <w:r w:rsidR="009A4DBB">
        <w:rPr>
          <w:rFonts w:ascii="Times New Roman" w:hAnsi="Times New Roman" w:cs="Times New Roman"/>
        </w:rPr>
        <w:t xml:space="preserve"> interference </w:t>
      </w:r>
      <w:r w:rsidR="00A34876">
        <w:rPr>
          <w:rFonts w:ascii="Times New Roman" w:hAnsi="Times New Roman" w:cs="Times New Roman"/>
        </w:rPr>
        <w:t>of</w:t>
      </w:r>
      <w:r w:rsidR="007C60B5">
        <w:rPr>
          <w:rFonts w:ascii="Times New Roman" w:hAnsi="Times New Roman" w:cs="Times New Roman"/>
        </w:rPr>
        <w:t xml:space="preserve"> the athletes </w:t>
      </w:r>
      <w:r w:rsidR="009A4DBB">
        <w:rPr>
          <w:rFonts w:ascii="Times New Roman" w:hAnsi="Times New Roman" w:cs="Times New Roman"/>
        </w:rPr>
        <w:t xml:space="preserve">training schedules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{"citationID":"iy4LB9wV","properties":{"formattedCitation":"(Gaviglio &amp; Cook, 2014; Papacosta &amp; Nassis, 2011)","plainCitation":"(Gaviglio &amp; Cook, 2014; Papacosta &amp; Nassis, 2011)","noteIndex":0},"citationItems":[{"id":164,"uris":["http://zotero.org/users/6327055/items/5E4LELF4"],"itemData":{"id":164,"type":"article-journal","container-title":"Journal of Strength and Conditioning Research","DOI":"10.1519/JSC.0000000000000574","ISSN":"1064-8011","issue":"12","language":"en","note":"Purpose: To assess the relationship between absolute concentrations of salivary testosterone and cortisol with the T/C ratio across skill based training sessions in the middle of the week as well as 3 days later for game performance outcomes.\nResearch Hypothesis: When the team won the match the T and T/C ratio would be greater from the pre to post measurement compared to a loss. \nMethods \nStudy Design: Testing was done midseason in the months of November to January for 6 weeks. The participants trained twice a week incorporating weight lifting and 4 times a week with skill based activity with matches held on the weekend. Participants were instructed to rest for at least 7 hours the night before testing as well as a breakfast and sufficient hydration but no food was consumed 30 minutes prior to collection. \nSample: 22 elite male players from a professional rugby union team\nProtocol: Measurements were taken at the same time once a week in the middle of the week during the competitive season. The game outcome on whether it was a win or loss was recorded as well as pregame testosterone concentrations. These presession collections were done 30 minutes prior to the training session and the postsessions collection was completed after 10 minutes of finishing the session. A sample of 2ml of saliva was obtained by a passive drool. Analyses were completed through Enzyme Immunoassay kits by Salimetrics. \nData Collection Procedures: \nStatistical Analyses: Significance was set at 0.05. The pre and post concentrations were pooled according to game outcome and compared through dependent t-tests. The T/C ratio and percent change in pre to post concentration were calculated. The bivariate relationship between hormonal variables and pregame T were assessed using Pearson's product moment correlation. \nFindings: When the match was won, there was an increase from pre to post midweek sessions but no change when the match was lost. There was no change in C for wins or losses. There was an increase in T/C ratio for matches that were won. A significant strong correlation was found with pregame T concentrations and cortisol and T/C ratio. \nConclusions: T/C ratio of the participants were significantly lower prior to winning games than ones that were lost. The comparison with pre and post absolute values for both T and T/C ratio was greater before a win than a loss. The increase in T/C ratio from a training session may have translated to pregame concentrations of T. The lower cortisol response at the midweek training session and a subsequent win may indicate the ideal response while inseason. \nFurther Research: The incorportation of training load volume as well as coaching techniques, training session content controlled, and the individual's extra work. \nRelevant Studies: \nCrewther, BT, Lowe, T, Weatherby, RP, Gill, N, and Keogh, J. Neuromuscular performance of elite rugby union players and relationships with salivary hormones. J Strength Cond Res 23: 2046–2053, 2009.\nUrhausen, A, Gabriel, H, and Kindermann, W. Blood hormones as markers of training stress and overtraining. Sports Med 20: 251–276, 1995.","page":"3447-3452","source":"DOI.org (Crossref)","title":"Relationship between midweek training measures of testosterone and cortisol concentrations and game outcome in professional rugby union matches","volume":"28","author":[{"family":"Gaviglio","given":"Christopher M."},{"family":"Cook","given":"Christian J."}],"issued":{"date-parts":[["2014",12]]}}},{"id":380,"uris":["http://zotero.org/users/6327055/items/E7MHQ2CJ"],"itemData":{"id":380,"type":"article-journal","abstract":"Objectives: This paper discusses the use of saliva analysis as a tool for monitoring steroid, peptide, and immune markers of sports training. Design: Salivary gland physiology, regarding the regulation and stimulation of saliva secretion, as well as methodological issues including saliva collection, storage and analysis are addressed in this paper. The effects of exercise on saliva composition are then considered. Method: Exercise elicits changes in salivary levels of steroid hormones, immunoglobulins, antimicrobial proteins and enzymes. Cortisol, testosterone and dehydroepiandrosterone can be assessed in saliva, providing a non-invasive option to assess the catabolic and anabolic effects of exercise. Validation studies using blood and salivary measures of steroid hormones are addressed in this paper. Effects of acute exercise and training on salivary immunoglobulins (SIgA, SIgM, SIgG) and salivary antimicrobial proteins, including </w:instrText>
      </w:r>
      <w:r w:rsidR="00546507">
        <w:rPr>
          <w:rFonts w:ascii="Segoe UI Symbol" w:hAnsi="Segoe UI Symbol" w:cs="Segoe UI Symbol"/>
          <w:noProof/>
        </w:rPr>
        <w:instrText>␣</w:instrText>
      </w:r>
      <w:r w:rsidR="00546507">
        <w:rPr>
          <w:rFonts w:ascii="Times New Roman" w:hAnsi="Times New Roman" w:cs="Times New Roman"/>
          <w:noProof/>
        </w:rPr>
        <w:instrText xml:space="preserve">-amylase, lysozyme and lactoferrin, are also discussed. Results: Analysis of cortisol and testosterone in saliva may help detect the onset of non-functional overreaching and subsequently may help to prevent the development of overtraining syndrome. Assessment of salivary immunoglobulins and antimicrobial proteins has been shown to successfully represent the effects of exercise on mucosal immunity. Increases in SIgA and antimicrobial proteins concentration and/or secretion rate are associated with acute exercise whereas conversely, decreases have been reported in athletes over a training season leaving the athlete susceptible for upper respiratory tract infections. Conclusions: The measurement of physiological biomarkers in whole saliva can provide a signiﬁcant tool for assessing the immunological and endocrinological status associated with exercise and training.","container-title":"Journal of Science and Medicine in Sport","DOI":"10.1016/j.jsams.2011.03.004","ISSN":"14402440","issue":"5","journalAbbreviation":"Journal of Science and Medicine in Sport","language":"en","page":"424-434","source":"DOI.org (Crossref)","title":"Saliva as a tool for monitoring steroid, peptide and immune markers in sport and exercise science","volume":"14","author":[{"family":"Papacosta","given":"Elena"},{"family":"Nassis","given":"George P."}],"issued":{"date-parts":[["2011",9]]}}}],"schema":"https://github.com/citation-style-language/schema/raw/master/csl-citation.json"} </w:instrText>
      </w:r>
      <w:r w:rsidR="006E711E">
        <w:rPr>
          <w:rFonts w:ascii="Times New Roman" w:hAnsi="Times New Roman" w:cs="Times New Roman"/>
          <w:noProof/>
        </w:rPr>
        <w:fldChar w:fldCharType="separate"/>
      </w:r>
      <w:r w:rsidR="00A34876">
        <w:rPr>
          <w:rFonts w:ascii="Times New Roman" w:hAnsi="Times New Roman" w:cs="Times New Roman"/>
          <w:noProof/>
        </w:rPr>
        <w:t>(Gaviglio &amp; Cook, 2014; Papacosta &amp; Nassis, 2011)</w:t>
      </w:r>
      <w:r w:rsidR="006E711E">
        <w:rPr>
          <w:rFonts w:ascii="Times New Roman" w:hAnsi="Times New Roman" w:cs="Times New Roman"/>
          <w:noProof/>
        </w:rPr>
        <w:fldChar w:fldCharType="end"/>
      </w:r>
      <w:r w:rsidR="007C60B5">
        <w:rPr>
          <w:rFonts w:ascii="Times New Roman" w:hAnsi="Times New Roman" w:cs="Times New Roman"/>
        </w:rPr>
        <w:t xml:space="preserve">. </w:t>
      </w:r>
      <w:r w:rsidR="002B6B3E">
        <w:rPr>
          <w:rFonts w:ascii="Times New Roman" w:hAnsi="Times New Roman" w:cs="Times New Roman"/>
        </w:rPr>
        <w:t xml:space="preserve">The </w:t>
      </w:r>
      <w:r w:rsidR="00AC1E4F">
        <w:rPr>
          <w:rFonts w:ascii="Times New Roman" w:hAnsi="Times New Roman" w:cs="Times New Roman"/>
        </w:rPr>
        <w:t>biochemical markers</w:t>
      </w:r>
      <w:r w:rsidR="002B6B3E">
        <w:rPr>
          <w:rFonts w:ascii="Times New Roman" w:hAnsi="Times New Roman" w:cs="Times New Roman"/>
        </w:rPr>
        <w:t xml:space="preserve"> that </w:t>
      </w:r>
      <w:r w:rsidR="00AC1E4F">
        <w:rPr>
          <w:rFonts w:ascii="Times New Roman" w:hAnsi="Times New Roman" w:cs="Times New Roman"/>
        </w:rPr>
        <w:t>have been</w:t>
      </w:r>
      <w:r w:rsidR="002B6B3E">
        <w:rPr>
          <w:rFonts w:ascii="Times New Roman" w:hAnsi="Times New Roman" w:cs="Times New Roman"/>
        </w:rPr>
        <w:t xml:space="preserve"> of interest in describing that state of metabolism of an individual </w:t>
      </w:r>
      <w:r w:rsidR="003C2F3F">
        <w:rPr>
          <w:rFonts w:ascii="Times New Roman" w:hAnsi="Times New Roman" w:cs="Times New Roman"/>
        </w:rPr>
        <w:t>are</w:t>
      </w:r>
      <w:r w:rsidR="006F551D">
        <w:rPr>
          <w:rFonts w:ascii="Times New Roman" w:hAnsi="Times New Roman" w:cs="Times New Roman"/>
        </w:rPr>
        <w:t xml:space="preserve"> </w:t>
      </w:r>
      <w:r w:rsidR="008C2AC3">
        <w:rPr>
          <w:rFonts w:ascii="Times New Roman" w:hAnsi="Times New Roman" w:cs="Times New Roman"/>
        </w:rPr>
        <w:t>T</w:t>
      </w:r>
      <w:r w:rsidR="003C2F3F">
        <w:rPr>
          <w:rFonts w:ascii="Times New Roman" w:hAnsi="Times New Roman" w:cs="Times New Roman"/>
        </w:rPr>
        <w:t>estosterone</w:t>
      </w:r>
      <w:r w:rsidR="00D24F67">
        <w:rPr>
          <w:rFonts w:ascii="Times New Roman" w:hAnsi="Times New Roman" w:cs="Times New Roman"/>
        </w:rPr>
        <w:t xml:space="preserve"> (T)</w:t>
      </w:r>
      <w:r w:rsidR="003C2F3F">
        <w:rPr>
          <w:rFonts w:ascii="Times New Roman" w:hAnsi="Times New Roman" w:cs="Times New Roman"/>
        </w:rPr>
        <w:t xml:space="preserve"> and</w:t>
      </w:r>
      <w:r w:rsidR="006F551D">
        <w:rPr>
          <w:rFonts w:ascii="Times New Roman" w:hAnsi="Times New Roman" w:cs="Times New Roman"/>
        </w:rPr>
        <w:t xml:space="preserve"> </w:t>
      </w:r>
      <w:r w:rsidR="008C2AC3">
        <w:rPr>
          <w:rFonts w:ascii="Times New Roman" w:hAnsi="Times New Roman" w:cs="Times New Roman"/>
        </w:rPr>
        <w:t>C</w:t>
      </w:r>
      <w:r w:rsidR="003C2F3F">
        <w:rPr>
          <w:rFonts w:ascii="Times New Roman" w:hAnsi="Times New Roman" w:cs="Times New Roman"/>
        </w:rPr>
        <w:t xml:space="preserve">ortisol </w:t>
      </w:r>
      <w:r w:rsidR="00D24F67">
        <w:rPr>
          <w:rFonts w:ascii="Times New Roman" w:hAnsi="Times New Roman" w:cs="Times New Roman"/>
        </w:rPr>
        <w:t xml:space="preserve">(C) </w:t>
      </w:r>
      <w:r w:rsidR="003C2F3F">
        <w:rPr>
          <w:rFonts w:ascii="Times New Roman" w:hAnsi="Times New Roman" w:cs="Times New Roman"/>
        </w:rPr>
        <w:t xml:space="preserve">due to the anabolic and catabolic effects </w:t>
      </w:r>
      <w:r w:rsidR="003449D6">
        <w:rPr>
          <w:rFonts w:ascii="Times New Roman" w:hAnsi="Times New Roman" w:cs="Times New Roman"/>
        </w:rPr>
        <w:t xml:space="preserve">and processes </w:t>
      </w:r>
      <w:r w:rsidR="003C2F3F">
        <w:rPr>
          <w:rFonts w:ascii="Times New Roman" w:hAnsi="Times New Roman" w:cs="Times New Roman"/>
        </w:rPr>
        <w:t>of each</w:t>
      </w:r>
      <w:r w:rsidR="003449D6">
        <w:rPr>
          <w:rFonts w:ascii="Times New Roman" w:hAnsi="Times New Roman" w:cs="Times New Roman"/>
        </w:rPr>
        <w:t xml:space="preserve"> that may relate to the current </w:t>
      </w:r>
      <w:r w:rsidR="009162C1">
        <w:rPr>
          <w:rFonts w:ascii="Times New Roman" w:hAnsi="Times New Roman" w:cs="Times New Roman"/>
        </w:rPr>
        <w:t>position</w:t>
      </w:r>
      <w:r w:rsidR="003449D6">
        <w:rPr>
          <w:rFonts w:ascii="Times New Roman" w:hAnsi="Times New Roman" w:cs="Times New Roman"/>
        </w:rPr>
        <w:t xml:space="preserve"> of the athlete</w:t>
      </w:r>
      <w:r w:rsidR="009162C1">
        <w:rPr>
          <w:rFonts w:ascii="Times New Roman" w:hAnsi="Times New Roman" w:cs="Times New Roman"/>
        </w:rPr>
        <w:t xml:space="preserve"> on the recovery-adaptation continuum</w:t>
      </w:r>
      <w:r w:rsidR="003C2F3F">
        <w:rPr>
          <w:rFonts w:ascii="Times New Roman" w:hAnsi="Times New Roman" w:cs="Times New Roman"/>
        </w:rPr>
        <w:t xml:space="preserve">. </w:t>
      </w:r>
      <w:r w:rsidR="00D24F67">
        <w:rPr>
          <w:rFonts w:ascii="Times New Roman" w:hAnsi="Times New Roman" w:cs="Times New Roman"/>
        </w:rPr>
        <w:t>T</w:t>
      </w:r>
      <w:r w:rsidR="00875172">
        <w:rPr>
          <w:rFonts w:ascii="Times New Roman" w:hAnsi="Times New Roman" w:cs="Times New Roman"/>
        </w:rPr>
        <w:t>estosterone (T)</w:t>
      </w:r>
      <w:r w:rsidR="00D24F67">
        <w:rPr>
          <w:rFonts w:ascii="Times New Roman" w:hAnsi="Times New Roman" w:cs="Times New Roman"/>
        </w:rPr>
        <w:t xml:space="preserve">, an androgenic steroid hormone, is involved in the support of protein synthesis </w:t>
      </w:r>
      <w:r w:rsidR="007B71F0">
        <w:rPr>
          <w:rFonts w:ascii="Times New Roman" w:hAnsi="Times New Roman" w:cs="Times New Roman"/>
        </w:rPr>
        <w:t>as well as muscular strength, therefore is thought to be</w:t>
      </w:r>
      <w:r w:rsidR="00D24F67">
        <w:rPr>
          <w:rFonts w:ascii="Times New Roman" w:hAnsi="Times New Roman" w:cs="Times New Roman"/>
        </w:rPr>
        <w:t xml:space="preserve"> associated with the state </w:t>
      </w:r>
      <w:r w:rsidR="00EF7DF4">
        <w:rPr>
          <w:rFonts w:ascii="Times New Roman" w:hAnsi="Times New Roman" w:cs="Times New Roman"/>
        </w:rPr>
        <w:t xml:space="preserve">of </w:t>
      </w:r>
      <w:r w:rsidR="00D24F67">
        <w:rPr>
          <w:rFonts w:ascii="Times New Roman" w:hAnsi="Times New Roman" w:cs="Times New Roman"/>
        </w:rPr>
        <w:t>anabolism</w:t>
      </w:r>
      <w:r w:rsidR="003F777A">
        <w:rPr>
          <w:rFonts w:ascii="Times New Roman" w:hAnsi="Times New Roman" w:cs="Times New Roman"/>
        </w:rPr>
        <w:t xml:space="preserve">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{"citationID":"AsO79IsC","properties":{"formattedCitation":"(Kraemer, 1988; Kraemer et al., 2020; Kraemer &amp; Ratamess, 2005)","plainCitation":"(Kraemer, 1988; Kraemer et al., 2020; Kraemer &amp; Ratamess, 2005)","noteIndex":0},"citationItems":[{"id":131,"uris":["http://zotero.org/users/6327055/items/V9IDF3R7"],"itemData":{"id":131,"type":"article-journal","abstract":"The purpose of this brief review is to examine resistance training responses of selected hormones related to acute stress and growth promoting actions. Hormonal mechanisms appear to be involved with both short-term homeostatic control and long-term cellular adaptations. Few studies have modeled the exercise stimulus in resistance training to determine the role of different exercise variables to the hormonal response. A variety of resistance exercise protocols result in increases in peripheral hormonal concentrations. It appears that single factor variables such as the intensity (% of RM) of exercise and amount of muscle mass utilized in the exercise protocol are important determinants of hormonal responses. The volume (sets x repetitions x intensity) of exercise also appears to be an important determinant of hormonal response. Still, little is known with regard to other single and multiple factor variables (e.g., rest period length) and their relationships to peripheral hormonal alterations. Collectively, such information will allow greater understanding concerning the nature of the exercise stimulus and its relationship to training adaptations resulting from heavy resistance exercise.","container-title":"Medicine and Science in Sports and Exercise","DOI":"10.1249/00005768-198810001-00011","ISSN":"0195-9131","issue":"5 Suppl","language":"eng","note":"PMID: 3057315","page":"S152-157","source":"PubMed","title":"Endocrine responses to resistance exercise","volume":"20","author":[{"family":"Kraemer","given":"W. J."}],"issued":{"date-parts":[["1988",10]]}}},{"id":605,"uris":["http://zotero.org/users/6327055/items/K6MDES3W"],"itemData":{"id":605,"type":"article-journal","container-title":"Frontiers in Endocrinology","DOI":"10.3389/fendo.2020.00033","ISSN":"1664-2392","journalAbbreviation":"Front. Endocrinol.","language":"en","page":"33","source":"DOI.org (Crossref)","title":"Growth hormone(s), testosterone, insulin-like growth factors, and cortisol: roles and integration for cellular development and growth with exercise","title-short":"Growth Hormone(s), Testosterone, Insulin-Like Growth Factors, and Cortisol","volume":"11","author":[{"family":"Kraemer","given":"William J."},{"family":"Ratamess","given":"Nicholas A."},{"family":"Hymer","given":"Wesley C."},{"family":"Nindl","given":"Bradley C."},{"family":"Fragala","given":"Maren S."}],"issued":{"date-parts":[["2020",2,25]]}}},{"id":129,"uris":["http://zotero.org/users/6327055/items/SPBDA3V8"],"itemData":{"id":129,"type":"article-journal","container-title":"Sports Medicine","DOI":"10.2165/00007256-200535040-00004","ISSN":"0112-1642","issue":"4","journalAbbreviation":"Sports Medicine","language":"en","page":"339-361","source":"DOI.org (Crossref)","title":"Hormonal responses and adaptations to resistance exercise and training:","title-short":"Hormonal Responses and Adaptations to Resistance Exercise and Training","volume":"35","author":[{"family":"Kraemer","given":"William J"},{"family":"Ratamess","given":"Nicholas A"}],"issued":{"date-parts":[["2005"]]}}}],"schema":"https://github.com/citation-style-language/schema/raw/master/csl-citation.json"} </w:instrText>
      </w:r>
      <w:r w:rsidR="006E711E">
        <w:rPr>
          <w:rFonts w:ascii="Times New Roman" w:hAnsi="Times New Roman" w:cs="Times New Roman"/>
          <w:noProof/>
        </w:rPr>
        <w:fldChar w:fldCharType="separate"/>
      </w:r>
      <w:r w:rsidR="00AA0C5E">
        <w:rPr>
          <w:rFonts w:ascii="Times New Roman" w:hAnsi="Times New Roman" w:cs="Times New Roman"/>
          <w:noProof/>
        </w:rPr>
        <w:t>(Kraemer, 1988; Kraemer et al., 2020; Kraemer &amp; Ratamess, 2005)</w:t>
      </w:r>
      <w:r w:rsidR="006E711E">
        <w:rPr>
          <w:rFonts w:ascii="Times New Roman" w:hAnsi="Times New Roman" w:cs="Times New Roman"/>
          <w:noProof/>
        </w:rPr>
        <w:fldChar w:fldCharType="end"/>
      </w:r>
      <w:r w:rsidR="00D24F67">
        <w:rPr>
          <w:rFonts w:ascii="Times New Roman" w:hAnsi="Times New Roman" w:cs="Times New Roman"/>
        </w:rPr>
        <w:t xml:space="preserve">. In </w:t>
      </w:r>
      <w:r w:rsidR="00D24F67">
        <w:rPr>
          <w:rFonts w:ascii="Times New Roman" w:hAnsi="Times New Roman" w:cs="Times New Roman"/>
        </w:rPr>
        <w:lastRenderedPageBreak/>
        <w:t>contrast, C</w:t>
      </w:r>
      <w:r w:rsidR="00875172">
        <w:rPr>
          <w:rFonts w:ascii="Times New Roman" w:hAnsi="Times New Roman" w:cs="Times New Roman"/>
        </w:rPr>
        <w:t>ortisol (C)</w:t>
      </w:r>
      <w:r w:rsidR="00D24F67">
        <w:rPr>
          <w:rFonts w:ascii="Times New Roman" w:hAnsi="Times New Roman" w:cs="Times New Roman"/>
        </w:rPr>
        <w:t xml:space="preserve"> is a glucocorticoid steroid hormone that is typically seen to be responsive to physical and psychological stressors</w:t>
      </w:r>
      <w:r w:rsidR="00EF7DF4">
        <w:rPr>
          <w:rFonts w:ascii="Times New Roman" w:hAnsi="Times New Roman" w:cs="Times New Roman"/>
        </w:rPr>
        <w:t xml:space="preserve"> and is associated with the state of catabolism</w:t>
      </w:r>
      <w:r w:rsidR="006E711E">
        <w:rPr>
          <w:rFonts w:ascii="Times New Roman" w:hAnsi="Times New Roman" w:cs="Times New Roman"/>
        </w:rPr>
        <w:t xml:space="preserve">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{"citationID":"heOymn2N","properties":{"formattedCitation":"(Kraemer &amp; Ratamess, 2005)","plainCitation":"(Kraemer &amp; Ratamess, 2005)","noteIndex":0},"citationItems":[{"id":129,"uris":["http://zotero.org/users/6327055/items/SPBDA3V8"],"itemData":{"id":129,"type":"article-journal","container-title":"Sports Medicine","DOI":"10.2165/00007256-200535040-00004","ISSN":"0112-1642","issue":"4","journalAbbreviation":"Sports Medicine","language":"en","page":"339-361","source":"DOI.org (Crossref)","title":"Hormonal responses and adaptations to resistance exercise and training:","title-short":"Hormonal Responses and Adaptations to Resistance Exercise and Training","volume":"35","author":[{"family":"Kraemer","given":"William J"},{"family":"Ratamess","given":"Nicholas A"}],"issued":{"date-parts":[["2005"]]}}}],"schema":"https://github.com/citation-style-language/schema/raw/master/csl-citation.json"} </w:instrText>
      </w:r>
      <w:r w:rsidR="006E711E">
        <w:rPr>
          <w:rFonts w:ascii="Times New Roman" w:hAnsi="Times New Roman" w:cs="Times New Roman"/>
          <w:noProof/>
        </w:rPr>
        <w:fldChar w:fldCharType="separate"/>
      </w:r>
      <w:r w:rsidR="006E711E">
        <w:rPr>
          <w:rFonts w:ascii="Times New Roman" w:hAnsi="Times New Roman" w:cs="Times New Roman"/>
          <w:noProof/>
        </w:rPr>
        <w:t>(Kraemer &amp; Ratamess, 2005)</w:t>
      </w:r>
      <w:r w:rsidR="006E711E">
        <w:rPr>
          <w:rFonts w:ascii="Times New Roman" w:hAnsi="Times New Roman" w:cs="Times New Roman"/>
          <w:noProof/>
        </w:rPr>
        <w:fldChar w:fldCharType="end"/>
      </w:r>
      <w:r w:rsidR="00D24F67">
        <w:rPr>
          <w:rFonts w:ascii="Times New Roman" w:hAnsi="Times New Roman" w:cs="Times New Roman"/>
        </w:rPr>
        <w:t xml:space="preserve">. Together, both of these hormones are anticipated to react to human competition from the associations with </w:t>
      </w:r>
      <w:r w:rsidR="00875172">
        <w:rPr>
          <w:rFonts w:ascii="Times New Roman" w:hAnsi="Times New Roman" w:cs="Times New Roman"/>
        </w:rPr>
        <w:t>T</w:t>
      </w:r>
      <w:r w:rsidR="00D24F67">
        <w:rPr>
          <w:rFonts w:ascii="Times New Roman" w:hAnsi="Times New Roman" w:cs="Times New Roman"/>
        </w:rPr>
        <w:t xml:space="preserve"> and aggression and social status and C with the various stressors encountered within sport. </w:t>
      </w:r>
      <w:r w:rsidR="002634C4">
        <w:rPr>
          <w:rFonts w:ascii="Times New Roman" w:hAnsi="Times New Roman" w:cs="Times New Roman"/>
        </w:rPr>
        <w:t xml:space="preserve">The magnitude of responses of these hormones have been shown to be indicative of the intensity as well as the duration of the training sessions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{"citationID":"fJo8vSad","properties":{"formattedCitation":"(Hackney &amp; Lane, 2015)","plainCitation":"(Hackney &amp; Lane, 2015)","noteIndex":0},"citationItems":[{"id":152,"uris":["http://zotero.org/users/6327055/items/EK6SMPW2"],"itemData":{"id":152,"type":"chapter","container-title":"Progress in Molecular Biology and Translational Science","ISBN":"978-0-12-803991-5","language":"en","note":"DOI: 10.1016/bs.pmbts.2015.07.001","page":"293-311","publisher":"Elsevier","source":"DOI.org (Crossref)","title":"Exercise and the regulation of endocrine hormones","URL":"https://linkinghub.elsevier.com/retrieve/pii/S1877117315001337","volume":"135","author":[{"family":"Hackney","given":"Anthony C."},{"family":"Lane","given":"Amy R."}],"accessed":{"date-parts":[["2021",3,1]]},"issued":{"date-parts":[["2015"]]}}}],"schema":"https://github.com/citation-style-language/schema/raw/master/csl-citation.json"} </w:instrText>
      </w:r>
      <w:r w:rsidR="006E711E">
        <w:rPr>
          <w:rFonts w:ascii="Times New Roman" w:hAnsi="Times New Roman" w:cs="Times New Roman"/>
          <w:noProof/>
        </w:rPr>
        <w:fldChar w:fldCharType="separate"/>
      </w:r>
      <w:r w:rsidR="006E711E">
        <w:rPr>
          <w:rFonts w:ascii="Times New Roman" w:hAnsi="Times New Roman" w:cs="Times New Roman"/>
          <w:noProof/>
        </w:rPr>
        <w:t>(Hackney &amp; Lane, 2015)</w:t>
      </w:r>
      <w:r w:rsidR="006E711E">
        <w:rPr>
          <w:rFonts w:ascii="Times New Roman" w:hAnsi="Times New Roman" w:cs="Times New Roman"/>
          <w:noProof/>
        </w:rPr>
        <w:fldChar w:fldCharType="end"/>
      </w:r>
      <w:r w:rsidR="002634C4">
        <w:rPr>
          <w:rFonts w:ascii="Times New Roman" w:hAnsi="Times New Roman" w:cs="Times New Roman"/>
        </w:rPr>
        <w:t>.</w:t>
      </w:r>
      <w:r w:rsidR="00A91E41">
        <w:rPr>
          <w:rFonts w:ascii="Times New Roman" w:hAnsi="Times New Roman" w:cs="Times New Roman"/>
        </w:rPr>
        <w:t xml:space="preserve"> </w:t>
      </w:r>
      <w:r w:rsidR="00AC1E4F">
        <w:rPr>
          <w:rFonts w:ascii="Times New Roman" w:hAnsi="Times New Roman" w:cs="Times New Roman"/>
        </w:rPr>
        <w:t xml:space="preserve">Assessment for these two hormones coupled together create the </w:t>
      </w:r>
      <w:proofErr w:type="spellStart"/>
      <w:r w:rsidR="00AC1E4F">
        <w:rPr>
          <w:rFonts w:ascii="Times New Roman" w:hAnsi="Times New Roman" w:cs="Times New Roman"/>
        </w:rPr>
        <w:t>anabolic:catabolic</w:t>
      </w:r>
      <w:proofErr w:type="spellEnd"/>
      <w:r w:rsidR="00AC1E4F">
        <w:rPr>
          <w:rFonts w:ascii="Times New Roman" w:hAnsi="Times New Roman" w:cs="Times New Roman"/>
        </w:rPr>
        <w:t xml:space="preserve"> balance known as the T:C ratio</w:t>
      </w:r>
      <w:r w:rsidR="001D5388">
        <w:rPr>
          <w:rFonts w:ascii="Times New Roman" w:hAnsi="Times New Roman" w:cs="Times New Roman"/>
        </w:rPr>
        <w:t xml:space="preserve">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{"citationID":"XOZT0t2p","properties":{"formattedCitation":"(Andre et al., 2018; Kraemer, 1988; Kraemer et al., 2009)","plainCitation":"(Andre et al., 2018; Kraemer, 1988; Kraemer et al., 2009)","noteIndex":0},"citationItems":[{"id":127,"uris":["http://zotero.org/users/6327055/items/NJLLP2DZ"],"itemData":{"id":127,"type":"article-journal","abstract":"International Journal of Exercise Science 11(6): 439-451, 2018. The purpose of this study was to monitor weekly the salivary free testosterone (FT), cortisol (C), and the FT/C ratio in elite men NCAA Division I basketball athletes across an entire season. Twelve athletes gave salivary samples for 30 consecutive weeks, beginning in the pre-season and ending one week after the end of post-season competition. Samples were assayed for FT and C. Additionally, a composite value (CBD) composed of Z-scores for weekly practice minutes, game minutes, resistance training repetitions, academic demands, and travel schedules was determined. One-way RM ANOVAs were used to determine which weekly values were different (α=.05) from the season mean. For FT, 10 weeks were different from the season average (5.1 nmol/L). For C, 11 weeks were different from the season mean (9.0 nmol/L). For FT/C, weeks 7 (p=.007), 17 (p=.007), and 25 (p=.005) were different from the season mean (FT/C=0.69). During Wk7, at the start of regular season play, FT/C was above, while CBD was below the season means. During Wk17, which was leading into a series of important conference games, FT/C was below, while CBD was not different from season means. During Wk25, which was one week before the conference tournament, FT/C was below, while CBD was above season means. The methods of this study can be used for monitoring athlete responses and adaptations to sport-specific training and competition; specifically, for evaluating responses to challenging pre-season training, recovery for regular season play, and how they physiologically cope with the competitive season.","container-title":"International Journal of Exercise Science","issue":"6","language":"en","note":"Purpose: Monitor weekly salivary biomarkers in elite men NCAA Division 1 basketball players throughout an entire season. Additionally, the salivary biomarkers were compared to other demands for collegiate basketball training and competition, to examin their relationships. \nResearch Question: What is the weekly hormonal response to training? How do other stimuli within the magnitude of the training sessions and aspects of the season effect the hormonal response? \nMethods \nStudy Design: This study was observational with a colllection of saliva upon arrival from each participant prior to the afternoon practice across 30 weeks of the training and competitive season. Aspects such as playing/practice minutes, travel, resistance exercise volume, and academia were collected. \nSample: 12 male NCAA Division 1 American collegiate basketball student athletes \nProtocol: Salivary sample at rest prior to the afternoon practice (1300-1500hrs) in the middle of the week for 27 weeks with the 30 week season. Sample collection began one week before pre-season and concluded one week after post-season. No eating, brushing teeth, or consuming any drink other than water 1 hour prior to collection. Mouth rinse with water and resting for 5 minutes and finally an oral swab to hold in their mouth for 2 minutes.\nValidity/Reliabilty Data: Saliva has been shown to be highly correlated with plasma or serum samples. \nData Collection Procedures: Samples were frozen at -80 degress Celsius. Enzyme immunoassay kits using 96 well microtitre plates from Salimetrics. Separate assay for each athlete. Playing minutes, practice minutes, resistance training volume (total repetitions), travel schedules (scale values based on the time getting back from the trip - 1 = overnight bus before midnight, 2 = overnight flight, 5 = multiple day trip with flight), and academic demands (scale generalized so 0 = no class, 2 = normal academic week, 4 = exam period) were collected. All variables converted to Z scores. \nStatistical Analyses: IBM SPSS 24, 324 total samples with 20 missing from absence and replaced with the team's average for that week. Verification of all assumptions and a 1 way RMANOVA with LSD pairwise comparisons to determine which weekly values were different from the season mean. Relationships between team FT, C, FT/C and team CBD (collegiate basketball demands) scores, and their individual components, throughout the season was done through Pearson correlations. Significant set at 0.05. \nFindings: The FT (free testosterone) was seen to be different from the season mean in 10 weeks, C (cortisol) was different in 11 weeks, and FT/C (FT/C ratio) was different in weeks 7 (more than 3 SD above with CBD significantly below season averages), 17-before important games (more than 2.5 SD below season average and no difference in CBD), and 25-before conference tournament (FT/C more than 1 SD below and CBD significantly above season averages). There was a significant negative correlation between FT/C and game minutes. \nConclusions: The increases in C at the beginning is likely due to the intense preseason. The large increase in FT/C in week 7 suggests that the athletes were recovered from preseason prior to the first week of regular season competition but there was no increase in FT meaning there was a reduction in C. The decrease in FT/C at week 17 could suggest that the season was beginning to have an effect physiologically on the athletes and was supported by the negative correlation of FT/C and game minutes. There was another decrease in FT/C at the start of postseason competition but a return to baseline once competition play stopped. This is likely due to the decreases in FT leading to the reduction in FT/C but C also varied significantly through the collection showing that the demands are stressful. The CBD was very unpredictable but when examined individually a significant inverse correlation between FT/C and game minutes was found. Monitoring FT/C changes may provide insight into health, performance, and recovery. \nFurther Research: Collect performance data in conjuction with the biomarker samples to examine if performance changes occur and relate to the biomarkers. \nRelevant Studies: \nGaviglio CM, Cook CJ. Relationship between midweek training measures of testosterone and cortisol concentrations and game outcome in professional rugby union matches. J Strength Cond Res 28(12):3447-3452, 2014.\nBalsalobre-Fernández C, Tejero-González CM, del Campo-Vecino J. Relationships between training load, salivary cortisol responses and performance during season training in middle and long distance runners. PLoS ONE 9(8), 2014.\nHoffman JR, Epstein S, Yarom Y, Zigel L, Einbinder M. Hormonal and biochemical changes in elite basketball players during a 4-week training camp. J Strength Cond Res 13(3):280-285, 1999.\nKraemer WJ, Ratamess NA. Hormonal responses and adaptations to resistance exercise and training. Sports Med 35(4):339-361, 2005.","page":"439-451","source":"Zotero","title":"Weekly salivary biomarkers across a season for elite men collegiate basketball players","volume":"11","author":[{"family":"Andre","given":"Matthew J"},{"family":"Fry","given":"Andrew C"},{"family":"Luebbers","given":"Paul E"},{"family":"Hudy","given":"Andrea"},{"family":"Dietz","given":"Partricia R"},{"family":"Cain","given":"Glenn J"}],"issued":{"date-parts":[["2018"]]}}},{"id":131,"uris":["http://zotero.org/users/6327055/items/V9IDF3R7"],"itemData":{"id":131,"type":"article-journal","abstract":"The purpose of this brief review is to examine resistance training responses of selected hormones related to acute stress and growth promoting actions. Hormonal mechanisms appear to be involved with both short-term homeostatic control and long-term cellular adaptations. Few studies have modeled the exercise stimulus in resistance training to determine the role of different exercise variables to the hormonal response. A variety of resistance exercise protocols result in increases in peripheral hormonal concentrations. It appears that single factor variables such as the intensity (% of RM) of exercise and amount of muscle mass utilized in the exercise protocol are important determinants of hormonal responses. The volume (sets x repetitions x intensity) of exercise also appears to be an important determinant of hormonal response. Still, little is known with regard to other single and multiple factor variables (e.g., rest period length) and their relationships to peripheral hormonal alterations. Collectively, such information will allow greater understanding concerning the nature of the exercise stimulus and its relationship to training adaptations resulting from heavy resistance exercise.","container-title":"Medicine and Science in Sports and Exercise","DOI":"10.1249/00005768-198810001-00011","ISSN":"0195-9131","issue":"5 Suppl","language":"eng","note":"PMID: 3057315","page":"S152-157","source":"PubMed","title":"Endocrine responses to resistance exercise","volume":"20","author":[{"family":"Kraemer","given":"W. J."}],"issued":{"date-parts":[["1988",10]]}}},{"id":162,"uris":["http://zotero.org/users/6327055/items/2XPU97BQ"],"itemData":{"id":162,"type":"article-journal","container-title":"Journal of Strength and Conditioning Research","DOI":"10.1519/JSC.0b013e31819306f2","ISSN":"1064-8011","issue":"1","language":"en","page":"2-10","source":"DOI.org (Crossref)","title":"Recovery from a national collegiate athletic association division I football game: Muscle damage and hormonal status","title-short":"Recovery From a National Collegiate Athletic Association Division I Football Game","volume":"23","author":[{"family":"Kraemer","given":"William J"},{"family":"Spiering","given":"Barry A"},{"family":"Volek","given":"Jeff S"},{"family":"Martin","given":"Gerard J"},{"family":"Howard","given":"Robert L"},{"family":"Ratamess","given":"Nicholas A"},{"family":"Hatfield","given":"Disa L"},{"family":"Vingren","given":"Jakob L"},{"family":"Ho","given":"Jen Yu"},{"family":"Fragala","given":"Maren S"},{"family":"Thomas","given":"Gwendolyn A"},{"family":"French","given":"Duncan N"},{"family":"Anderson","given":"Jeffrey M"},{"family":"Häkkinen","given":"Keijo"},{"family":"Maresh","given":"Carl M"}],"issued":{"date-parts":[["2009",1]]}}}],"schema":"https://github.com/citation-style-language/schema/raw/master/csl-citation.json"} </w:instrText>
      </w:r>
      <w:r w:rsidR="006E711E">
        <w:rPr>
          <w:rFonts w:ascii="Times New Roman" w:hAnsi="Times New Roman" w:cs="Times New Roman"/>
          <w:noProof/>
        </w:rPr>
        <w:fldChar w:fldCharType="separate"/>
      </w:r>
      <w:r w:rsidR="004429CD">
        <w:rPr>
          <w:rFonts w:ascii="Times New Roman" w:hAnsi="Times New Roman" w:cs="Times New Roman"/>
          <w:noProof/>
        </w:rPr>
        <w:t>(Andre et al., 2018; Kraemer, 1988; Kraemer et al., 2009)</w:t>
      </w:r>
      <w:r w:rsidR="006E711E">
        <w:rPr>
          <w:rFonts w:ascii="Times New Roman" w:hAnsi="Times New Roman" w:cs="Times New Roman"/>
          <w:noProof/>
        </w:rPr>
        <w:fldChar w:fldCharType="end"/>
      </w:r>
      <w:r w:rsidR="00AC1E4F">
        <w:rPr>
          <w:rFonts w:ascii="Times New Roman" w:hAnsi="Times New Roman" w:cs="Times New Roman"/>
        </w:rPr>
        <w:t xml:space="preserve">. </w:t>
      </w:r>
      <w:r w:rsidR="00034968">
        <w:rPr>
          <w:rFonts w:ascii="Times New Roman" w:hAnsi="Times New Roman" w:cs="Times New Roman"/>
        </w:rPr>
        <w:t xml:space="preserve">The balance in each of these hormones </w:t>
      </w:r>
      <w:r w:rsidR="00C83A61">
        <w:rPr>
          <w:rFonts w:ascii="Times New Roman" w:hAnsi="Times New Roman" w:cs="Times New Roman"/>
        </w:rPr>
        <w:t>may</w:t>
      </w:r>
      <w:r w:rsidR="00034968">
        <w:rPr>
          <w:rFonts w:ascii="Times New Roman" w:hAnsi="Times New Roman" w:cs="Times New Roman"/>
        </w:rPr>
        <w:t xml:space="preserve"> help determine the effects of training </w:t>
      </w:r>
      <w:r w:rsidR="002E62FE">
        <w:rPr>
          <w:rFonts w:ascii="Times New Roman" w:hAnsi="Times New Roman" w:cs="Times New Roman"/>
        </w:rPr>
        <w:t xml:space="preserve">or stressors encountered </w:t>
      </w:r>
      <w:r w:rsidR="003A0F2A">
        <w:rPr>
          <w:rFonts w:ascii="Times New Roman" w:hAnsi="Times New Roman" w:cs="Times New Roman"/>
        </w:rPr>
        <w:t xml:space="preserve">and </w:t>
      </w:r>
      <w:r w:rsidR="002E62FE">
        <w:rPr>
          <w:rFonts w:ascii="Times New Roman" w:hAnsi="Times New Roman" w:cs="Times New Roman"/>
        </w:rPr>
        <w:t xml:space="preserve">if sufficient </w:t>
      </w:r>
      <w:r w:rsidR="003A0F2A">
        <w:rPr>
          <w:rFonts w:ascii="Times New Roman" w:hAnsi="Times New Roman" w:cs="Times New Roman"/>
        </w:rPr>
        <w:t xml:space="preserve">recovery </w:t>
      </w:r>
      <w:r w:rsidR="002E62FE">
        <w:rPr>
          <w:rFonts w:ascii="Times New Roman" w:hAnsi="Times New Roman" w:cs="Times New Roman"/>
        </w:rPr>
        <w:t xml:space="preserve">has allowed for </w:t>
      </w:r>
      <w:r w:rsidR="00C83A61">
        <w:rPr>
          <w:rFonts w:ascii="Times New Roman" w:hAnsi="Times New Roman" w:cs="Times New Roman"/>
        </w:rPr>
        <w:t xml:space="preserve">positive </w:t>
      </w:r>
      <w:r w:rsidR="002E62FE">
        <w:rPr>
          <w:rFonts w:ascii="Times New Roman" w:hAnsi="Times New Roman" w:cs="Times New Roman"/>
        </w:rPr>
        <w:t>adaptation to occur withi</w:t>
      </w:r>
      <w:r w:rsidR="00034968">
        <w:rPr>
          <w:rFonts w:ascii="Times New Roman" w:hAnsi="Times New Roman" w:cs="Times New Roman"/>
        </w:rPr>
        <w:t xml:space="preserve">n </w:t>
      </w:r>
      <w:r w:rsidR="002E62FE">
        <w:rPr>
          <w:rFonts w:ascii="Times New Roman" w:hAnsi="Times New Roman" w:cs="Times New Roman"/>
        </w:rPr>
        <w:t xml:space="preserve">the </w:t>
      </w:r>
      <w:r w:rsidR="00034968">
        <w:rPr>
          <w:rFonts w:ascii="Times New Roman" w:hAnsi="Times New Roman" w:cs="Times New Roman"/>
        </w:rPr>
        <w:t>individuals.</w:t>
      </w:r>
      <w:r w:rsidR="004E52DB">
        <w:rPr>
          <w:rFonts w:ascii="Times New Roman" w:hAnsi="Times New Roman" w:cs="Times New Roman"/>
        </w:rPr>
        <w:t xml:space="preserve"> With prolonged imbalances of hormonal secretion persists then potentials </w:t>
      </w:r>
      <w:r w:rsidR="00C42C14">
        <w:rPr>
          <w:rFonts w:ascii="Times New Roman" w:hAnsi="Times New Roman" w:cs="Times New Roman"/>
        </w:rPr>
        <w:t xml:space="preserve">for detrimental effects on performance can be reached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{"citationID":"slDPNzpJ","properties":{"formattedCitation":"(Kraemer &amp; Ratamess, 2005)","plainCitation":"(Kraemer &amp; Ratamess, 2005)","noteIndex":0},"citationItems":[{"id":129,"uris":["http://zotero.org/users/6327055/items/SPBDA3V8"],"itemData":{"id":129,"type":"article-journal","container-title":"Sports Medicine","DOI":"10.2165/00007256-200535040-00004","ISSN":"0112-1642","issue":"4","journalAbbreviation":"Sports Medicine","language":"en","page":"339-361","source":"DOI.org (Crossref)","title":"Hormonal responses and adaptations to resistance exercise and training:","title-short":"Hormonal Responses and Adaptations to Resistance Exercise and Training","volume":"35","author":[{"family":"Kraemer","given":"William J"},{"family":"Ratamess","given":"Nicholas A"}],"issued":{"date-parts":[["2005"]]}}}],"schema":"https://github.com/citation-style-language/schema/raw/master/csl-citation.json"} </w:instrText>
      </w:r>
      <w:r w:rsidR="006E711E">
        <w:rPr>
          <w:rFonts w:ascii="Times New Roman" w:hAnsi="Times New Roman" w:cs="Times New Roman"/>
          <w:noProof/>
        </w:rPr>
        <w:fldChar w:fldCharType="separate"/>
      </w:r>
      <w:r w:rsidR="006E711E">
        <w:rPr>
          <w:rFonts w:ascii="Times New Roman" w:hAnsi="Times New Roman" w:cs="Times New Roman"/>
          <w:noProof/>
        </w:rPr>
        <w:t>(Kraemer &amp; Ratamess, 2005)</w:t>
      </w:r>
      <w:r w:rsidR="006E711E">
        <w:rPr>
          <w:rFonts w:ascii="Times New Roman" w:hAnsi="Times New Roman" w:cs="Times New Roman"/>
          <w:noProof/>
        </w:rPr>
        <w:fldChar w:fldCharType="end"/>
      </w:r>
      <w:r w:rsidR="00C42C14">
        <w:rPr>
          <w:rFonts w:ascii="Times New Roman" w:hAnsi="Times New Roman" w:cs="Times New Roman"/>
        </w:rPr>
        <w:t>.</w:t>
      </w:r>
      <w:r w:rsidR="00034968">
        <w:rPr>
          <w:rFonts w:ascii="Times New Roman" w:hAnsi="Times New Roman" w:cs="Times New Roman"/>
        </w:rPr>
        <w:t xml:space="preserve"> In particular, elite athletes participating in sport are important to focus on in order to allow adaptations </w:t>
      </w:r>
      <w:r w:rsidR="00E9461D">
        <w:rPr>
          <w:rFonts w:ascii="Times New Roman" w:hAnsi="Times New Roman" w:cs="Times New Roman"/>
        </w:rPr>
        <w:t xml:space="preserve">to occur </w:t>
      </w:r>
      <w:r w:rsidR="00034968">
        <w:rPr>
          <w:rFonts w:ascii="Times New Roman" w:hAnsi="Times New Roman" w:cs="Times New Roman"/>
        </w:rPr>
        <w:t>over training phases and sufficient recovery from each stimulus to keep from reaching states of overtraining.</w:t>
      </w:r>
      <w:r w:rsidR="007B71F0">
        <w:rPr>
          <w:rFonts w:ascii="Times New Roman" w:hAnsi="Times New Roman" w:cs="Times New Roman"/>
        </w:rPr>
        <w:t xml:space="preserve"> </w:t>
      </w:r>
      <w:r w:rsidR="00385CEF">
        <w:rPr>
          <w:rFonts w:ascii="Times New Roman" w:hAnsi="Times New Roman" w:cs="Times New Roman"/>
        </w:rPr>
        <w:t>For example, basketball undergoes various training phases in relation to the construct of their season schedule.</w:t>
      </w:r>
      <w:r w:rsidR="00AC1E4F">
        <w:rPr>
          <w:rFonts w:ascii="Times New Roman" w:hAnsi="Times New Roman" w:cs="Times New Roman"/>
        </w:rPr>
        <w:t xml:space="preserve"> </w:t>
      </w:r>
      <w:r w:rsidR="00B1798A">
        <w:rPr>
          <w:rFonts w:ascii="Times New Roman" w:hAnsi="Times New Roman" w:cs="Times New Roman"/>
        </w:rPr>
        <w:t xml:space="preserve">Previous research has focused on longitudinal evidence across the entire collegiate basketball season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{"citationID":"t15G4qCa","properties":{"formattedCitation":"(Andre et al., 2018)","plainCitation":"(Andre et al., 2018)","noteIndex":0},"citationItems":[{"id":127,"uris":["http://zotero.org/users/6327055/items/NJLLP2DZ"],"itemData":{"id":127,"type":"article-journal","abstract":"International Journal of Exercise Science 11(6): 439-451, 2018. The purpose of this study was to monitor weekly the salivary free testosterone (FT), cortisol (C), and the FT/C ratio in elite men NCAA Division I basketball athletes across an entire season. Twelve athletes gave salivary samples for 30 consecutive weeks, beginning in the pre-season and ending one week after the end of post-season competition. Samples were assayed for FT and C. Additionally, a composite value (CBD) composed of Z-scores for weekly practice minutes, game minutes, resistance training repetitions, academic demands, and travel schedules was determined. One-way RM ANOVAs were used to determine which weekly values were different (α=.05) from the season mean. For FT, 10 weeks were different from the season average (5.1 nmol/L). For C, 11 weeks were different from the season mean (9.0 nmol/L). For FT/C, weeks 7 (p=.007), 17 (p=.007), and 25 (p=.005) were different from the season mean (FT/C=0.69). During Wk7, at the start of regular season play, FT/C was above, while CBD was below the season means. During Wk17, which was leading into a series of important conference games, FT/C was below, while CBD was not different from season means. During Wk25, which was one week before the conference tournament, FT/C was below, while CBD was above season means. The methods of this study can be used for monitoring athlete responses and adaptations to sport-specific training and competition; specifically, for evaluating responses to challenging pre-season training, recovery for regular season play, and how they physiologically cope with the competitive season.","container-title":"International Journal of Exercise Science","issue":"6","language":"en","note":"Purpose: Monitor weekly salivary biomarkers in elite men NCAA Division 1 basketball players throughout an entire season. Additionally, the salivary biomarkers were compared to other demands for collegiate basketball training and competition, to examin their relationships. \nResearch Question: What is the weekly hormonal response to training? How do other stimuli within the magnitude of the training sessions and aspects of the season effect the hormonal response? \nMethods \nStudy Design: This study was observational with a colllection of saliva upon arrival from each participant prior to the afternoon practice across 30 weeks of the training and competitive season. Aspects such as playing/practice minutes, travel, resistance exercise volume, and academia were collected. \nSample: 12 male NCAA Division 1 American collegiate basketball student athletes \nProtocol: Salivary sample at rest prior to the afternoon practice (1300-1500hrs) in the middle of the week for 27 weeks with the 30 week season. Sample collection began one week before pre-season and concluded one week after post-season. No eating, brushing teeth, or consuming any drink other than water 1 hour prior to collection. Mouth rinse with water and resting for 5 minutes and finally an oral swab to hold in their mouth for 2 minutes.\nValidity/Reliabilty Data: Saliva has been shown to be highly correlated with plasma or serum samples. \nData Collection Procedures: Samples were frozen at -80 degress Celsius. Enzyme immunoassay kits using 96 well microtitre plates from Salimetrics. Separate assay for each athlete. Playing minutes, practice minutes, resistance training volume (total repetitions), travel schedules (scale values based on the time getting back from the trip - 1 = overnight bus before midnight, 2 = overnight flight, 5 = multiple day trip with flight), and academic demands (scale generalized so 0 = no class, 2 = normal academic week, 4 = exam period) were collected. All variables converted to Z scores. \nStatistical Analyses: IBM SPSS 24, 324 total samples with 20 missing from absence and replaced with the team's average for that week. Verification of all assumptions and a 1 way RMANOVA with LSD pairwise comparisons to determine which weekly values were different from the season mean. Relationships between team FT, C, FT/C and team CBD (collegiate basketball demands) scores, and their individual components, throughout the season was done through Pearson correlations. Significant set at 0.05. \nFindings: The FT (free testosterone) was seen to be different from the season mean in 10 weeks, C (cortisol) was different in 11 weeks, and FT/C (FT/C ratio) was different in weeks 7 (more than 3 SD above with CBD significantly below season averages), 17-before important games (more than 2.5 SD below season average and no difference in CBD), and 25-before conference tournament (FT/C more than 1 SD below and CBD significantly above season averages). There was a significant negative correlation between FT/C and game minutes. \nConclusions: The increases in C at the beginning is likely due to the intense preseason. The large increase in FT/C in week 7 suggests that the athletes were recovered from preseason prior to the first week of regular season competition but there was no increase in FT meaning there was a reduction in C. The decrease in FT/C at week 17 could suggest that the season was beginning to have an effect physiologically on the athletes and was supported by the negative correlation of FT/C and game minutes. There was another decrease in FT/C at the start of postseason competition but a return to baseline once competition play stopped. This is likely due to the decreases in FT leading to the reduction in FT/C but C also varied significantly through the collection showing that the demands are stressful. The CBD was very unpredictable but when examined individually a significant inverse correlation between FT/C and game minutes was found. Monitoring FT/C changes may provide insight into health, performance, and recovery. \nFurther Research: Collect performance data in conjuction with the biomarker samples to examine if performance changes occur and relate to the biomarkers. \nRelevant Studies: \nGaviglio CM, Cook CJ. Relationship between midweek training measures of testosterone and cortisol concentrations and game outcome in professional rugby union matches. J Strength Cond Res 28(12):3447-3452, 2014.\nBalsalobre-Fernández C, Tejero-González CM, del Campo-Vecino J. Relationships between training load, salivary cortisol responses and performance during season training in middle and long distance runners. PLoS ONE 9(8), 2014.\nHoffman JR, Epstein S, Yarom Y, Zigel L, Einbinder M. Hormonal and biochemical changes in elite basketball players during a 4-week training camp. J Strength Cond Res 13(3):280-285, 1999.\nKraemer WJ, Ratamess NA. Hormonal responses and adaptations to resistance exercise and training. Sports Med 35(4):339-361, 2005.","page":"439-451","source":"Zotero","title":"Weekly salivary biomarkers across a season for elite men collegiate basketball players","volume":"11","author":[{"family":"Andre","given":"Matthew J"},{"family":"Fry","given":"Andrew C"},{"family":"Luebbers","given":"Paul E"},{"family":"Hudy","given":"Andrea"},{"family":"Dietz","given":"Partricia R"},{"family":"Cain","given":"Glenn J"}],"issued":{"date-parts":[["2018"]]}}}],"schema":"https://github.com/citation-style-language/schema/raw/master/csl-citation.json"} </w:instrText>
      </w:r>
      <w:r w:rsidR="006E711E">
        <w:rPr>
          <w:rFonts w:ascii="Times New Roman" w:hAnsi="Times New Roman" w:cs="Times New Roman"/>
          <w:noProof/>
        </w:rPr>
        <w:fldChar w:fldCharType="separate"/>
      </w:r>
      <w:r w:rsidR="006E711E">
        <w:rPr>
          <w:rFonts w:ascii="Times New Roman" w:hAnsi="Times New Roman" w:cs="Times New Roman"/>
          <w:noProof/>
        </w:rPr>
        <w:t>(Andre et al., 2018)</w:t>
      </w:r>
      <w:r w:rsidR="006E711E">
        <w:rPr>
          <w:rFonts w:ascii="Times New Roman" w:hAnsi="Times New Roman" w:cs="Times New Roman"/>
          <w:noProof/>
        </w:rPr>
        <w:fldChar w:fldCharType="end"/>
      </w:r>
      <w:r w:rsidR="00B1798A">
        <w:rPr>
          <w:rFonts w:ascii="Times New Roman" w:hAnsi="Times New Roman" w:cs="Times New Roman"/>
        </w:rPr>
        <w:t xml:space="preserve"> but limited evidence have specifically examined acute changes in hormone concentrations of a single basketball session or chronically over the course of </w:t>
      </w:r>
      <w:r w:rsidR="009162C1">
        <w:rPr>
          <w:rFonts w:ascii="Times New Roman" w:hAnsi="Times New Roman" w:cs="Times New Roman"/>
        </w:rPr>
        <w:t xml:space="preserve">an isolated training phase, such as </w:t>
      </w:r>
      <w:r w:rsidR="00B1798A">
        <w:rPr>
          <w:rFonts w:ascii="Times New Roman" w:hAnsi="Times New Roman" w:cs="Times New Roman"/>
        </w:rPr>
        <w:t xml:space="preserve">the preseason. </w:t>
      </w:r>
      <w:r w:rsidR="004E52DB">
        <w:rPr>
          <w:rFonts w:ascii="Times New Roman" w:hAnsi="Times New Roman" w:cs="Times New Roman"/>
        </w:rPr>
        <w:t>The preseason is thought to be very strenuous on the players in that they are in the midst of academic stressors as well as the physically taxing nature of the sport in parallel with energy system development and resistance training in preparation to build the resiliency for the duration of the season.</w:t>
      </w:r>
    </w:p>
    <w:p w14:paraId="0140392C" w14:textId="174C9D55" w:rsidR="005A4AB8" w:rsidRDefault="00361624" w:rsidP="00CB0BB9">
      <w:pPr>
        <w:spacing w:line="480" w:lineRule="auto"/>
        <w:ind w:firstLine="720"/>
        <w:jc w:val="both"/>
        <w:rPr>
          <w:rFonts w:ascii="Times New Roman" w:hAnsi="Times New Roman" w:cs="Times New Roman"/>
        </w:rPr>
      </w:pPr>
      <w:r>
        <w:rPr>
          <w:rFonts w:ascii="Times New Roman" w:hAnsi="Times New Roman" w:cs="Times New Roman"/>
        </w:rPr>
        <w:lastRenderedPageBreak/>
        <w:t xml:space="preserve">Management and the assessment of the training stimuli and the effects of previous sessions or over the course of a training phase in order to allow recovery </w:t>
      </w:r>
      <w:r w:rsidR="007B71F0">
        <w:rPr>
          <w:rFonts w:ascii="Times New Roman" w:hAnsi="Times New Roman" w:cs="Times New Roman"/>
        </w:rPr>
        <w:t xml:space="preserve">or observe adaptation </w:t>
      </w:r>
      <w:r>
        <w:rPr>
          <w:rFonts w:ascii="Times New Roman" w:hAnsi="Times New Roman" w:cs="Times New Roman"/>
        </w:rPr>
        <w:t xml:space="preserve">has been very popular recently. This has been shown through the use of </w:t>
      </w:r>
      <w:r w:rsidR="007B71F0">
        <w:rPr>
          <w:rFonts w:ascii="Times New Roman" w:hAnsi="Times New Roman" w:cs="Times New Roman"/>
        </w:rPr>
        <w:t xml:space="preserve">both </w:t>
      </w:r>
      <w:r>
        <w:rPr>
          <w:rFonts w:ascii="Times New Roman" w:hAnsi="Times New Roman" w:cs="Times New Roman"/>
        </w:rPr>
        <w:t>force plates</w:t>
      </w:r>
      <w:r w:rsidR="007B71F0">
        <w:rPr>
          <w:rFonts w:ascii="Times New Roman" w:hAnsi="Times New Roman" w:cs="Times New Roman"/>
        </w:rPr>
        <w:t xml:space="preserve"> and</w:t>
      </w:r>
      <w:r>
        <w:rPr>
          <w:rFonts w:ascii="Times New Roman" w:hAnsi="Times New Roman" w:cs="Times New Roman"/>
        </w:rPr>
        <w:t xml:space="preserve"> biomarkers</w:t>
      </w:r>
      <w:r w:rsidR="007B71F0">
        <w:rPr>
          <w:rFonts w:ascii="Times New Roman" w:hAnsi="Times New Roman" w:cs="Times New Roman"/>
        </w:rPr>
        <w:t xml:space="preserve">. </w:t>
      </w:r>
      <w:r>
        <w:rPr>
          <w:rFonts w:ascii="Times New Roman" w:hAnsi="Times New Roman" w:cs="Times New Roman"/>
        </w:rPr>
        <w:t xml:space="preserve"> </w:t>
      </w:r>
      <w:r w:rsidR="007B71F0">
        <w:rPr>
          <w:rFonts w:ascii="Times New Roman" w:hAnsi="Times New Roman" w:cs="Times New Roman"/>
        </w:rPr>
        <w:t xml:space="preserve">The countermovement jump </w:t>
      </w:r>
      <w:r w:rsidR="007401A8">
        <w:rPr>
          <w:rFonts w:ascii="Times New Roman" w:hAnsi="Times New Roman" w:cs="Times New Roman"/>
        </w:rPr>
        <w:t xml:space="preserve">(CMJ) </w:t>
      </w:r>
      <w:r w:rsidR="003B552E">
        <w:rPr>
          <w:rFonts w:ascii="Times New Roman" w:hAnsi="Times New Roman" w:cs="Times New Roman"/>
        </w:rPr>
        <w:t xml:space="preserve">is a frequently used </w:t>
      </w:r>
      <w:r w:rsidR="00C473A5">
        <w:rPr>
          <w:rFonts w:ascii="Times New Roman" w:hAnsi="Times New Roman" w:cs="Times New Roman"/>
        </w:rPr>
        <w:t>applied performance</w:t>
      </w:r>
      <w:r w:rsidR="003B552E">
        <w:rPr>
          <w:rFonts w:ascii="Times New Roman" w:hAnsi="Times New Roman" w:cs="Times New Roman"/>
        </w:rPr>
        <w:t xml:space="preserve"> measure that allows for the assessment of neuromuscular changes in response to acute training sessions as well as tracking over the course of a training phase. </w:t>
      </w:r>
      <w:r w:rsidR="00C23926">
        <w:rPr>
          <w:rFonts w:ascii="Times New Roman" w:hAnsi="Times New Roman" w:cs="Times New Roman"/>
        </w:rPr>
        <w:t xml:space="preserve">This method is widely used due to the ease of the athlete to perform as well as </w:t>
      </w:r>
      <w:r w:rsidR="00CE066C">
        <w:rPr>
          <w:rFonts w:ascii="Times New Roman" w:hAnsi="Times New Roman" w:cs="Times New Roman"/>
        </w:rPr>
        <w:t>time efficiency</w:t>
      </w:r>
      <w:r w:rsidR="00C23926">
        <w:rPr>
          <w:rFonts w:ascii="Times New Roman" w:hAnsi="Times New Roman" w:cs="Times New Roman"/>
        </w:rPr>
        <w:t xml:space="preserve">. The testing is commonly utilized in the attempt to observe changes in neuromuscular performance that may relay information of fatigue or even improvements over time. </w:t>
      </w:r>
      <w:r w:rsidR="007401A8">
        <w:rPr>
          <w:rFonts w:ascii="Times New Roman" w:hAnsi="Times New Roman" w:cs="Times New Roman"/>
        </w:rPr>
        <w:t>Previous literature has shown a relationship exists between chronic</w:t>
      </w:r>
      <w:r w:rsidR="00222FA3">
        <w:rPr>
          <w:rFonts w:ascii="Times New Roman" w:hAnsi="Times New Roman" w:cs="Times New Roman"/>
        </w:rPr>
        <w:t>ally</w:t>
      </w:r>
      <w:r w:rsidR="007401A8">
        <w:rPr>
          <w:rFonts w:ascii="Times New Roman" w:hAnsi="Times New Roman" w:cs="Times New Roman"/>
        </w:rPr>
        <w:t xml:space="preserve"> elevated </w:t>
      </w:r>
      <w:r w:rsidR="00FA2A76">
        <w:rPr>
          <w:rFonts w:ascii="Times New Roman" w:hAnsi="Times New Roman" w:cs="Times New Roman"/>
        </w:rPr>
        <w:t>C</w:t>
      </w:r>
      <w:r w:rsidR="007401A8">
        <w:rPr>
          <w:rFonts w:ascii="Times New Roman" w:hAnsi="Times New Roman" w:cs="Times New Roman"/>
        </w:rPr>
        <w:t xml:space="preserve">ortisol concentrations and diminished CMJ performance </w:t>
      </w:r>
      <w:r w:rsidR="006E711E">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{"citationID":"fiBnzkkH","properties":{"formattedCitation":"(Balsalobre-Fern\\uc0\\u225{}ndez et al., 2014)","plainCitation":"(Balsalobre-Fernández et al., 2014)","noteIndex":0},"citationItems":[{"id":135,"uris":["http://zotero.org/users/6327055/items/TPTNKZAN"],"itemData":{"id":135,"type":"article-journal","abstract":"Purpose: Monitoring training from a multifactorial point of view is of great importance in elite endurance athletes. This study aims to analyze the relationships between indicators of training load, hormonal status and neuromuscular performance, and to compare these values with competition performance, in elite middle and long-distance runners.\nMethod: Fifteen elite middle and long-distance runners (12 men, 3 women; age = 26.365.1 yrs) were measured for training volume, training zone and session rate of perceived exertion (RPE) (daily), countermovement jump (CMJ) and salivary free cortisol (weekly) for 39 weeks (i.e., the whole season). Competition performance was also observed throughout the study, registering the season best and worst competitions.\nResults: Season average salivary free cortisol concentrations correlate significantly with CMJ (r = 20.777) and RPE (r = 0.551). Also, weekly averages of CMJ significantly correlates with RPE (r = 20.426), distance run (r = 20.593, p,0.001) and training zone (r = 0.437, p,0.05). Finally, it was found that the CMJ (+8.5%, g = 0.65) and the RPE (217.6%, g = 0.94) measured the week before the best competition performance of the season were significantly different compared with the measurement conducted the week before the season’s worst competition performance.\nConclusions: Monitoring weekly measurements of CMJ and RPE could be recommended to control training process of such athletes in a non-invasive, field-based, systematic way.","container-title":"PLOS ONE","DOI":"10.1371/journal.pone.0106066","ISSN":"1932-6203","issue":"8","journalAbbreviation":"PLoS ONE","language":"en","note":"Purpose: Examine the relationship between salivary free cortisol levels, neuromuscular performance, and training load in elite middle and long distance runners throughout a season. Additionally, compare these variables and their values from the measurements just before the season best and season worst.\nResearch Hypotheses: The values of cortisol, countermovement jump (CMJ), and training load are related. The variables and their values prior to each of season best and season worst are significantly different.\nMethods \nStudy Design: CMJ, salivary cortisol, and training load were measured once a week throughout the season. Training load was determined through s-RPE, km run, and training zone (determined by the coach's training program). Best and worst performance was determined by fastest and slowest time. \nSample: 15 elite middle and long distance runners from the High Performance Sports Center Madrid (12 men and 3 women)\nProtocol: Training load was measured daily using s-RPE. Km and training zones were recorded based on the coach's program training design for each athlete. Once a week a saliva sample was taken after participants woke up on an empty stomach and rinsing their mouth with water. They chewed on cotton for 60 seconds for the sample to be taken. All measurement were taken on the same day of the week at the same time and in the same environmental conditions. They were analyzed using Free Cortisol in Saliva ELISA Assay kits. The CMJ was performed once a week on the same day as the saliva sample before training sessions on the Optojump Infrared platform at the same time every week and same space and done by placing the hands akimbo \nValidity/Reliabilty Data: Placing hands akimbo increases the reliability of the CMJ variables\nStatistical Analyses: IBM SPSS 22 and significance at 0.05. Pearson correlation coefficient, unilateral contrast was utilized to assess the relationship between the variables. A paired samples t-test was used to compare means and the effect size was done through Hedge's g. (Below 0.5 = low, 0.5-1.0 = moderate to high)\nFindings: Correlations between season average CMJ and cortisol, s-RPE, km run, and training zone. s-RPE correlated with cortisol values and km run. Km run correlates with cortisol levels. CMJ scores prior to sesason best were higher that season worst. s-RPE for week before season best was lower than the s-RPE for week before season worst. No difference between cortisol, km run, or training zone for season best and season worst. \nConclusions: Athletes chronically averaging higher cortisol levels performed worse on the CMJ. Weeks with a higher cortisol level in an acute bout showed to have a higher CMJ score resulting in a potentiation. Weeks with lower s-RPE and km run but a higher training zone resulted in an enhanced CMJ performance. The athletes that showed higher chronically averaged s-RPE showed to have trained more through more km and cortisol. With higher volume through km and s-RPE there were higher cortisol concentrations and diminished CMJ performance. \nFurther Research: Examine and clarify the relationship between salivary cortisol and CMJ performance in elite middle and long distance runners\nRelevant Studies: \nCormack SJ, Newton RU, McGuigan MR (2008) Neuromuscular and Endocrine Responses of Elite Players to an Australian Rules Football Match. International Journal of Sports Physiology &amp; Performance 3: 359–374.\nCrewther BT, Lowe TIM, Weatherby RP, Gill N, Keogh J (2009) Neuromuscular performance of elite rugby union players and relationships with salivary hormones Journal of Strength &amp; Conditioning Research 23: 2046–2053.","page":"e106066","source":"DOI.org (Crossref)","title":"Relationships between training load, salivary cortisol responses and performance during season training in middle and long distance runners","volume":"9","author":[{"family":"Balsalobre-Fernández","given":"Carlos"},{"family":"Tejero-González","given":"Carlos Mª"},{"family":"Campo-Vecino","given":"Juan","non-dropping-particle":"del"}],"editor":[{"family":"Tauler","given":"Pedro"}],"issued":{"date-parts":[["2014",8,25]]}}}],"schema":"https://github.com/citation-style-language/schema/raw/master/csl-citation.json"} </w:instrText>
      </w:r>
      <w:r w:rsidR="006E711E">
        <w:rPr>
          <w:rFonts w:ascii="Times New Roman" w:hAnsi="Times New Roman" w:cs="Times New Roman"/>
        </w:rPr>
        <w:fldChar w:fldCharType="separate"/>
      </w:r>
      <w:r w:rsidR="006E711E" w:rsidRPr="006E711E">
        <w:rPr>
          <w:rFonts w:ascii="Times New Roman" w:hAnsi="Times New Roman" w:cs="Times New Roman"/>
        </w:rPr>
        <w:t>(Balsalobre-Fernández et al., 2014)</w:t>
      </w:r>
      <w:r w:rsidR="006E711E">
        <w:rPr>
          <w:rFonts w:ascii="Times New Roman" w:hAnsi="Times New Roman" w:cs="Times New Roman"/>
        </w:rPr>
        <w:fldChar w:fldCharType="end"/>
      </w:r>
      <w:r w:rsidR="007401A8">
        <w:rPr>
          <w:rFonts w:ascii="Times New Roman" w:hAnsi="Times New Roman" w:cs="Times New Roman"/>
        </w:rPr>
        <w:t>.</w:t>
      </w:r>
      <w:r w:rsidR="00F8204C">
        <w:rPr>
          <w:rFonts w:ascii="Times New Roman" w:hAnsi="Times New Roman" w:cs="Times New Roman"/>
        </w:rPr>
        <w:t xml:space="preserve"> </w:t>
      </w:r>
      <w:r w:rsidR="001B7041">
        <w:rPr>
          <w:rFonts w:ascii="Times New Roman" w:hAnsi="Times New Roman" w:cs="Times New Roman"/>
        </w:rPr>
        <w:t>Limited evidence exists over c</w:t>
      </w:r>
      <w:r w:rsidR="00F8204C">
        <w:rPr>
          <w:rFonts w:ascii="Times New Roman" w:hAnsi="Times New Roman" w:cs="Times New Roman"/>
        </w:rPr>
        <w:t xml:space="preserve">ollecting and assessing the biochemical markers in an anticipated reflection of the recovery state of the athlete in parallel with performance data gathered from the CMJ </w:t>
      </w:r>
      <w:r w:rsidR="001B7041">
        <w:rPr>
          <w:rFonts w:ascii="Times New Roman" w:hAnsi="Times New Roman" w:cs="Times New Roman"/>
        </w:rPr>
        <w:t xml:space="preserve">over acute bouts of basketball specific training sessions and over the preseason training phase. </w:t>
      </w:r>
    </w:p>
    <w:p w14:paraId="7A5F70BB" w14:textId="7032A256" w:rsidR="002E62FE" w:rsidRDefault="002B6D87" w:rsidP="00CB0BB9">
      <w:pPr>
        <w:spacing w:line="480" w:lineRule="auto"/>
        <w:ind w:firstLine="720"/>
        <w:jc w:val="both"/>
        <w:rPr>
          <w:rFonts w:ascii="Times New Roman" w:hAnsi="Times New Roman" w:cs="Times New Roman"/>
        </w:rPr>
      </w:pPr>
      <w:r>
        <w:rPr>
          <w:rFonts w:ascii="Times New Roman" w:hAnsi="Times New Roman" w:cs="Times New Roman"/>
        </w:rPr>
        <w:t xml:space="preserve">Monitoring biochemical makers in conjunction with neuromuscular performance may provide useful information for the evaluation of recovery and strain of the athlete. </w:t>
      </w:r>
      <w:r w:rsidR="005F11F7">
        <w:rPr>
          <w:rFonts w:ascii="Times New Roman" w:hAnsi="Times New Roman" w:cs="Times New Roman"/>
        </w:rPr>
        <w:t xml:space="preserve">Coupling measurements of hormonal analyses and a sport specific performance test may enhance capacities as a performance practitioner to adjust training sessions in the attempt to enable optimal recovery and positive adaptations. </w:t>
      </w:r>
      <w:r w:rsidR="005A4AB8">
        <w:rPr>
          <w:rFonts w:ascii="Times New Roman" w:hAnsi="Times New Roman" w:cs="Times New Roman"/>
        </w:rPr>
        <w:t xml:space="preserve">Therefore, the purpose of this </w:t>
      </w:r>
      <w:r w:rsidR="009546B0">
        <w:rPr>
          <w:rFonts w:ascii="Times New Roman" w:hAnsi="Times New Roman" w:cs="Times New Roman"/>
        </w:rPr>
        <w:t xml:space="preserve">retrospective </w:t>
      </w:r>
      <w:r w:rsidR="005A4AB8">
        <w:rPr>
          <w:rFonts w:ascii="Times New Roman" w:hAnsi="Times New Roman" w:cs="Times New Roman"/>
        </w:rPr>
        <w:t xml:space="preserve">study was to </w:t>
      </w:r>
      <w:r w:rsidR="009546B0">
        <w:rPr>
          <w:rFonts w:ascii="Times New Roman" w:hAnsi="Times New Roman" w:cs="Times New Roman"/>
        </w:rPr>
        <w:t>examine</w:t>
      </w:r>
      <w:r w:rsidR="005A4AB8">
        <w:rPr>
          <w:rFonts w:ascii="Times New Roman" w:hAnsi="Times New Roman" w:cs="Times New Roman"/>
        </w:rPr>
        <w:t xml:space="preserve"> acute and chronic measurements of salivary bio</w:t>
      </w:r>
      <w:r w:rsidR="00C640D6">
        <w:rPr>
          <w:rFonts w:ascii="Times New Roman" w:hAnsi="Times New Roman" w:cs="Times New Roman"/>
        </w:rPr>
        <w:t xml:space="preserve">chemical </w:t>
      </w:r>
      <w:r w:rsidR="005A4AB8">
        <w:rPr>
          <w:rFonts w:ascii="Times New Roman" w:hAnsi="Times New Roman" w:cs="Times New Roman"/>
        </w:rPr>
        <w:t xml:space="preserve">markers </w:t>
      </w:r>
      <w:r w:rsidR="006B1ED6">
        <w:rPr>
          <w:rFonts w:ascii="Times New Roman" w:hAnsi="Times New Roman" w:cs="Times New Roman"/>
        </w:rPr>
        <w:t xml:space="preserve">and neuromuscular performance </w:t>
      </w:r>
      <w:r w:rsidR="005A4AB8">
        <w:rPr>
          <w:rFonts w:ascii="Times New Roman" w:hAnsi="Times New Roman" w:cs="Times New Roman"/>
        </w:rPr>
        <w:t xml:space="preserve">in elite male NCAA Division </w:t>
      </w:r>
      <w:r w:rsidR="00E74A24">
        <w:rPr>
          <w:rFonts w:ascii="Times New Roman" w:hAnsi="Times New Roman" w:cs="Times New Roman"/>
        </w:rPr>
        <w:t>I</w:t>
      </w:r>
      <w:r w:rsidR="005A4AB8">
        <w:rPr>
          <w:rFonts w:ascii="Times New Roman" w:hAnsi="Times New Roman" w:cs="Times New Roman"/>
        </w:rPr>
        <w:t xml:space="preserve"> basketball players over the course of the preseason. </w:t>
      </w:r>
    </w:p>
    <w:p w14:paraId="0B1C1D28" w14:textId="77AD1BE7" w:rsidR="001D5388" w:rsidRPr="008A7A65" w:rsidRDefault="001D5388" w:rsidP="00F829B9">
      <w:pPr>
        <w:pStyle w:val="Heading2"/>
      </w:pPr>
      <w:bookmarkStart w:id="5" w:name="_Toc39490149"/>
      <w:bookmarkStart w:id="6" w:name="_Toc78279726"/>
      <w:bookmarkStart w:id="7" w:name="_Toc99267596"/>
      <w:r>
        <w:lastRenderedPageBreak/>
        <w:t>Purpose</w:t>
      </w:r>
      <w:r w:rsidRPr="008A7A65">
        <w:t xml:space="preserve"> of the Study</w:t>
      </w:r>
      <w:bookmarkEnd w:id="5"/>
      <w:bookmarkEnd w:id="6"/>
      <w:bookmarkEnd w:id="7"/>
    </w:p>
    <w:p w14:paraId="233C3C43" w14:textId="3CCDD148" w:rsidR="001301AE" w:rsidRPr="001301AE" w:rsidRDefault="001D5388" w:rsidP="00B274DE">
      <w:p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firstLine="720"/>
        <w:jc w:val="both"/>
        <w:rPr>
          <w:rFonts w:ascii="Times New Roman" w:hAnsi="Times New Roman"/>
          <w:color w:val="000000" w:themeColor="text1"/>
        </w:rPr>
      </w:pPr>
      <w:r w:rsidRPr="00806D2D">
        <w:rPr>
          <w:rFonts w:ascii="Times New Roman" w:hAnsi="Times New Roman"/>
          <w:color w:val="000000" w:themeColor="text1"/>
        </w:rPr>
        <w:t xml:space="preserve">The primary purpose of this </w:t>
      </w:r>
      <w:r w:rsidR="00E32D31">
        <w:rPr>
          <w:rFonts w:ascii="Times New Roman" w:hAnsi="Times New Roman"/>
          <w:color w:val="000000" w:themeColor="text1"/>
        </w:rPr>
        <w:t>study</w:t>
      </w:r>
      <w:r w:rsidRPr="00806D2D">
        <w:rPr>
          <w:rFonts w:ascii="Times New Roman" w:hAnsi="Times New Roman"/>
          <w:color w:val="000000" w:themeColor="text1"/>
        </w:rPr>
        <w:t xml:space="preserve"> </w:t>
      </w:r>
      <w:r>
        <w:rPr>
          <w:rFonts w:ascii="Times New Roman" w:hAnsi="Times New Roman"/>
          <w:color w:val="000000" w:themeColor="text1"/>
        </w:rPr>
        <w:t>w</w:t>
      </w:r>
      <w:r w:rsidR="006117A0">
        <w:rPr>
          <w:rFonts w:ascii="Times New Roman" w:hAnsi="Times New Roman"/>
          <w:color w:val="000000" w:themeColor="text1"/>
        </w:rPr>
        <w:t>as</w:t>
      </w:r>
      <w:r w:rsidRPr="00806D2D">
        <w:rPr>
          <w:rFonts w:ascii="Times New Roman" w:hAnsi="Times New Roman"/>
          <w:color w:val="000000" w:themeColor="text1"/>
        </w:rPr>
        <w:t xml:space="preserve"> to evaluate </w:t>
      </w:r>
      <w:r w:rsidR="004C19A0">
        <w:rPr>
          <w:rFonts w:ascii="Times New Roman" w:hAnsi="Times New Roman"/>
          <w:color w:val="000000" w:themeColor="text1"/>
        </w:rPr>
        <w:t xml:space="preserve">changes in biochemical markers, specifically </w:t>
      </w:r>
      <w:r w:rsidR="004A1594">
        <w:rPr>
          <w:rFonts w:ascii="Times New Roman" w:hAnsi="Times New Roman"/>
          <w:color w:val="000000" w:themeColor="text1"/>
        </w:rPr>
        <w:t xml:space="preserve">salivary </w:t>
      </w:r>
      <w:r w:rsidR="00875172">
        <w:rPr>
          <w:rFonts w:ascii="Times New Roman" w:hAnsi="Times New Roman"/>
          <w:color w:val="000000" w:themeColor="text1"/>
        </w:rPr>
        <w:t xml:space="preserve">T </w:t>
      </w:r>
      <w:r w:rsidR="004C19A0">
        <w:rPr>
          <w:rFonts w:ascii="Times New Roman" w:hAnsi="Times New Roman"/>
          <w:color w:val="000000" w:themeColor="text1"/>
        </w:rPr>
        <w:t xml:space="preserve">and C, and </w:t>
      </w:r>
      <w:r w:rsidR="00875172">
        <w:rPr>
          <w:rFonts w:ascii="Times New Roman" w:hAnsi="Times New Roman"/>
          <w:color w:val="000000" w:themeColor="text1"/>
        </w:rPr>
        <w:t>the</w:t>
      </w:r>
      <w:r w:rsidR="00F54CFD">
        <w:rPr>
          <w:rFonts w:ascii="Times New Roman" w:hAnsi="Times New Roman"/>
          <w:color w:val="000000" w:themeColor="text1"/>
        </w:rPr>
        <w:t xml:space="preserve"> </w:t>
      </w:r>
      <w:r w:rsidR="00875172">
        <w:rPr>
          <w:rFonts w:ascii="Times New Roman" w:hAnsi="Times New Roman"/>
          <w:color w:val="000000" w:themeColor="text1"/>
        </w:rPr>
        <w:t xml:space="preserve">T:C ratio, as well as </w:t>
      </w:r>
      <w:r w:rsidR="004C19A0">
        <w:rPr>
          <w:rFonts w:ascii="Times New Roman" w:hAnsi="Times New Roman"/>
          <w:color w:val="000000" w:themeColor="text1"/>
        </w:rPr>
        <w:t xml:space="preserve">neuromuscular performance </w:t>
      </w:r>
      <w:r w:rsidR="00AF0DE2">
        <w:rPr>
          <w:rFonts w:ascii="Times New Roman" w:hAnsi="Times New Roman"/>
          <w:color w:val="000000" w:themeColor="text1"/>
        </w:rPr>
        <w:t xml:space="preserve">over the course of the preseason. </w:t>
      </w:r>
      <w:bookmarkStart w:id="8" w:name="_Toc78279727"/>
      <w:bookmarkStart w:id="9" w:name="_Toc39490153"/>
    </w:p>
    <w:p w14:paraId="66D5E03F" w14:textId="2C303DA8" w:rsidR="0093561F" w:rsidRDefault="0093561F" w:rsidP="00F829B9">
      <w:pPr>
        <w:pStyle w:val="Heading2"/>
      </w:pPr>
      <w:bookmarkStart w:id="10" w:name="_Toc99267597"/>
      <w:r>
        <w:t>Research Questions</w:t>
      </w:r>
      <w:bookmarkEnd w:id="8"/>
      <w:bookmarkEnd w:id="10"/>
    </w:p>
    <w:p w14:paraId="45985144" w14:textId="0B23A3DA" w:rsidR="0093561F" w:rsidRPr="00CF6FF1" w:rsidRDefault="0093561F" w:rsidP="007C6DA0">
      <w:pPr>
        <w:pStyle w:val="ListParagraph"/>
        <w:numPr>
          <w:ilvl w:val="0"/>
          <w:numId w:val="6"/>
        </w:numPr>
        <w:jc w:val="both"/>
      </w:pPr>
      <w:r>
        <w:rPr>
          <w:rFonts w:ascii="Times New Roman" w:hAnsi="Times New Roman"/>
        </w:rPr>
        <w:t xml:space="preserve">Are there significant differences in </w:t>
      </w:r>
      <w:r w:rsidR="00875172">
        <w:rPr>
          <w:rFonts w:ascii="Times New Roman" w:hAnsi="Times New Roman"/>
        </w:rPr>
        <w:t>sal</w:t>
      </w:r>
      <w:r w:rsidR="00414B7B">
        <w:rPr>
          <w:rFonts w:ascii="Times New Roman" w:hAnsi="Times New Roman"/>
        </w:rPr>
        <w:t xml:space="preserve">ivary </w:t>
      </w:r>
      <w:r w:rsidR="008C2AC3">
        <w:rPr>
          <w:rFonts w:ascii="Times New Roman" w:hAnsi="Times New Roman"/>
        </w:rPr>
        <w:t>T</w:t>
      </w:r>
      <w:r w:rsidR="00414B7B">
        <w:rPr>
          <w:rFonts w:ascii="Times New Roman" w:hAnsi="Times New Roman"/>
        </w:rPr>
        <w:t>estosterone</w:t>
      </w:r>
      <w:r>
        <w:rPr>
          <w:rFonts w:ascii="Times New Roman" w:hAnsi="Times New Roman"/>
        </w:rPr>
        <w:t xml:space="preserve">, </w:t>
      </w:r>
      <w:r w:rsidR="00875172">
        <w:rPr>
          <w:rFonts w:ascii="Times New Roman" w:hAnsi="Times New Roman"/>
        </w:rPr>
        <w:t>sal</w:t>
      </w:r>
      <w:r w:rsidR="00414B7B">
        <w:rPr>
          <w:rFonts w:ascii="Times New Roman" w:hAnsi="Times New Roman"/>
        </w:rPr>
        <w:t xml:space="preserve">ivary </w:t>
      </w:r>
      <w:r w:rsidR="008C2AC3">
        <w:rPr>
          <w:rFonts w:ascii="Times New Roman" w:hAnsi="Times New Roman"/>
        </w:rPr>
        <w:t>C</w:t>
      </w:r>
      <w:r w:rsidR="00414B7B">
        <w:rPr>
          <w:rFonts w:ascii="Times New Roman" w:hAnsi="Times New Roman"/>
        </w:rPr>
        <w:t>ortisol</w:t>
      </w:r>
      <w:r>
        <w:rPr>
          <w:rFonts w:ascii="Times New Roman" w:hAnsi="Times New Roman"/>
        </w:rPr>
        <w:t xml:space="preserve">, or </w:t>
      </w:r>
      <w:r w:rsidR="00875172">
        <w:rPr>
          <w:rFonts w:ascii="Times New Roman" w:hAnsi="Times New Roman"/>
        </w:rPr>
        <w:t>sal</w:t>
      </w:r>
      <w:r w:rsidR="00414B7B">
        <w:rPr>
          <w:rFonts w:ascii="Times New Roman" w:hAnsi="Times New Roman"/>
        </w:rPr>
        <w:t xml:space="preserve">ivary </w:t>
      </w:r>
      <w:proofErr w:type="spellStart"/>
      <w:r w:rsidR="008C2AC3">
        <w:rPr>
          <w:rFonts w:ascii="Times New Roman" w:hAnsi="Times New Roman"/>
        </w:rPr>
        <w:t>T</w:t>
      </w:r>
      <w:r w:rsidR="00414B7B">
        <w:rPr>
          <w:rFonts w:ascii="Times New Roman" w:hAnsi="Times New Roman"/>
        </w:rPr>
        <w:t>estos</w:t>
      </w:r>
      <w:r w:rsidR="008C2AC3">
        <w:rPr>
          <w:rFonts w:ascii="Times New Roman" w:hAnsi="Times New Roman"/>
        </w:rPr>
        <w:t>t</w:t>
      </w:r>
      <w:r w:rsidR="00414B7B">
        <w:rPr>
          <w:rFonts w:ascii="Times New Roman" w:hAnsi="Times New Roman"/>
        </w:rPr>
        <w:t>erone</w:t>
      </w:r>
      <w:r w:rsidR="0071788D">
        <w:rPr>
          <w:rFonts w:ascii="Times New Roman" w:hAnsi="Times New Roman"/>
        </w:rPr>
        <w:t>:</w:t>
      </w:r>
      <w:r w:rsidR="008C2AC3">
        <w:rPr>
          <w:rFonts w:ascii="Times New Roman" w:hAnsi="Times New Roman"/>
        </w:rPr>
        <w:t>C</w:t>
      </w:r>
      <w:r w:rsidR="00414B7B">
        <w:rPr>
          <w:rFonts w:ascii="Times New Roman" w:hAnsi="Times New Roman"/>
        </w:rPr>
        <w:t>ortisol</w:t>
      </w:r>
      <w:proofErr w:type="spellEnd"/>
      <w:r>
        <w:rPr>
          <w:rFonts w:ascii="Times New Roman" w:hAnsi="Times New Roman"/>
        </w:rPr>
        <w:t xml:space="preserve"> ratio pre- and post- basketball </w:t>
      </w:r>
      <w:r w:rsidR="00823AAC">
        <w:rPr>
          <w:rFonts w:ascii="Times New Roman" w:hAnsi="Times New Roman"/>
        </w:rPr>
        <w:t xml:space="preserve">practice </w:t>
      </w:r>
      <w:r>
        <w:rPr>
          <w:rFonts w:ascii="Times New Roman" w:hAnsi="Times New Roman"/>
        </w:rPr>
        <w:t>session</w:t>
      </w:r>
      <w:r w:rsidR="00CF6FF1">
        <w:rPr>
          <w:rFonts w:ascii="Times New Roman" w:hAnsi="Times New Roman"/>
        </w:rPr>
        <w:t>s?</w:t>
      </w:r>
    </w:p>
    <w:p w14:paraId="3B214A7D" w14:textId="1D8B8F81" w:rsidR="00CF6FF1" w:rsidRPr="00CF6FF1" w:rsidRDefault="00CF6FF1" w:rsidP="007C6DA0">
      <w:pPr>
        <w:pStyle w:val="ListParagraph"/>
        <w:numPr>
          <w:ilvl w:val="0"/>
          <w:numId w:val="6"/>
        </w:numPr>
        <w:jc w:val="both"/>
        <w:rPr>
          <w:rFonts w:ascii="Times New Roman" w:hAnsi="Times New Roman"/>
        </w:rPr>
      </w:pPr>
      <w:r w:rsidRPr="00CF6FF1">
        <w:rPr>
          <w:rFonts w:ascii="Times New Roman" w:hAnsi="Times New Roman"/>
        </w:rPr>
        <w:t xml:space="preserve">Are there significant differences in </w:t>
      </w:r>
      <w:r w:rsidR="00414B7B">
        <w:rPr>
          <w:rFonts w:ascii="Times New Roman" w:hAnsi="Times New Roman"/>
        </w:rPr>
        <w:t xml:space="preserve">salivary </w:t>
      </w:r>
      <w:r w:rsidR="008C2AC3">
        <w:rPr>
          <w:rFonts w:ascii="Times New Roman" w:hAnsi="Times New Roman"/>
        </w:rPr>
        <w:t>T</w:t>
      </w:r>
      <w:r w:rsidR="00414B7B">
        <w:rPr>
          <w:rFonts w:ascii="Times New Roman" w:hAnsi="Times New Roman"/>
        </w:rPr>
        <w:t xml:space="preserve">estosterone, salivary </w:t>
      </w:r>
      <w:r w:rsidR="008C2AC3">
        <w:rPr>
          <w:rFonts w:ascii="Times New Roman" w:hAnsi="Times New Roman"/>
        </w:rPr>
        <w:t>C</w:t>
      </w:r>
      <w:r w:rsidR="00414B7B">
        <w:rPr>
          <w:rFonts w:ascii="Times New Roman" w:hAnsi="Times New Roman"/>
        </w:rPr>
        <w:t xml:space="preserve">ortisol, or salivary </w:t>
      </w:r>
      <w:proofErr w:type="spellStart"/>
      <w:r w:rsidR="008C2AC3">
        <w:rPr>
          <w:rFonts w:ascii="Times New Roman" w:hAnsi="Times New Roman"/>
        </w:rPr>
        <w:t>T</w:t>
      </w:r>
      <w:r w:rsidR="00414B7B">
        <w:rPr>
          <w:rFonts w:ascii="Times New Roman" w:hAnsi="Times New Roman"/>
        </w:rPr>
        <w:t>estos</w:t>
      </w:r>
      <w:r w:rsidR="008C2AC3">
        <w:rPr>
          <w:rFonts w:ascii="Times New Roman" w:hAnsi="Times New Roman"/>
        </w:rPr>
        <w:t>t</w:t>
      </w:r>
      <w:r w:rsidR="00414B7B">
        <w:rPr>
          <w:rFonts w:ascii="Times New Roman" w:hAnsi="Times New Roman"/>
        </w:rPr>
        <w:t>erone:</w:t>
      </w:r>
      <w:r w:rsidR="008C2AC3">
        <w:rPr>
          <w:rFonts w:ascii="Times New Roman" w:hAnsi="Times New Roman"/>
        </w:rPr>
        <w:t>C</w:t>
      </w:r>
      <w:r w:rsidR="00414B7B">
        <w:rPr>
          <w:rFonts w:ascii="Times New Roman" w:hAnsi="Times New Roman"/>
        </w:rPr>
        <w:t>ortisol</w:t>
      </w:r>
      <w:proofErr w:type="spellEnd"/>
      <w:r w:rsidR="00414B7B">
        <w:rPr>
          <w:rFonts w:ascii="Times New Roman" w:hAnsi="Times New Roman"/>
        </w:rPr>
        <w:t xml:space="preserve"> ratio </w:t>
      </w:r>
      <w:r w:rsidRPr="00CF6FF1">
        <w:rPr>
          <w:rFonts w:ascii="Times New Roman" w:hAnsi="Times New Roman"/>
        </w:rPr>
        <w:t>pre- and post- basketball preseason training phase?</w:t>
      </w:r>
    </w:p>
    <w:p w14:paraId="390DC07F" w14:textId="671DF6E2" w:rsidR="009A0BFB" w:rsidRPr="009A0BFB" w:rsidRDefault="0093561F" w:rsidP="007C6DA0">
      <w:pPr>
        <w:pStyle w:val="ListParagraph"/>
        <w:numPr>
          <w:ilvl w:val="0"/>
          <w:numId w:val="6"/>
        </w:numPr>
        <w:jc w:val="both"/>
      </w:pPr>
      <w:r>
        <w:rPr>
          <w:rFonts w:ascii="Times New Roman" w:hAnsi="Times New Roman"/>
        </w:rPr>
        <w:t xml:space="preserve">Are there significant differences in </w:t>
      </w:r>
      <w:r w:rsidR="00414B7B">
        <w:rPr>
          <w:rFonts w:ascii="Times New Roman" w:hAnsi="Times New Roman"/>
        </w:rPr>
        <w:t>countermovement jump</w:t>
      </w:r>
      <w:r>
        <w:rPr>
          <w:rFonts w:ascii="Times New Roman" w:hAnsi="Times New Roman"/>
        </w:rPr>
        <w:t xml:space="preserve"> performance pre- and post- basketball </w:t>
      </w:r>
      <w:r w:rsidR="009A0BFB">
        <w:rPr>
          <w:rFonts w:ascii="Times New Roman" w:hAnsi="Times New Roman"/>
        </w:rPr>
        <w:t xml:space="preserve">specific training </w:t>
      </w:r>
      <w:r>
        <w:rPr>
          <w:rFonts w:ascii="Times New Roman" w:hAnsi="Times New Roman"/>
        </w:rPr>
        <w:t>session</w:t>
      </w:r>
      <w:r w:rsidR="009A0BFB">
        <w:rPr>
          <w:rFonts w:ascii="Times New Roman" w:hAnsi="Times New Roman"/>
        </w:rPr>
        <w:t>?</w:t>
      </w:r>
    </w:p>
    <w:p w14:paraId="3C0D010D" w14:textId="557DE089" w:rsidR="0093561F" w:rsidRPr="0093561F" w:rsidRDefault="009A0BFB" w:rsidP="007C6DA0">
      <w:pPr>
        <w:pStyle w:val="ListParagraph"/>
        <w:numPr>
          <w:ilvl w:val="0"/>
          <w:numId w:val="6"/>
        </w:numPr>
        <w:jc w:val="both"/>
      </w:pPr>
      <w:r>
        <w:rPr>
          <w:rFonts w:ascii="Times New Roman" w:hAnsi="Times New Roman"/>
        </w:rPr>
        <w:t>Are there significant differences in</w:t>
      </w:r>
      <w:r w:rsidR="00414B7B">
        <w:rPr>
          <w:rFonts w:ascii="Times New Roman" w:hAnsi="Times New Roman"/>
        </w:rPr>
        <w:t xml:space="preserve"> countermovement jump</w:t>
      </w:r>
      <w:r w:rsidR="0093561F">
        <w:rPr>
          <w:rFonts w:ascii="Times New Roman" w:hAnsi="Times New Roman"/>
        </w:rPr>
        <w:t xml:space="preserve"> </w:t>
      </w:r>
      <w:r>
        <w:rPr>
          <w:rFonts w:ascii="Times New Roman" w:hAnsi="Times New Roman"/>
        </w:rPr>
        <w:t>performance pre- and post- basketball</w:t>
      </w:r>
      <w:r w:rsidR="0093561F">
        <w:rPr>
          <w:rFonts w:ascii="Times New Roman" w:hAnsi="Times New Roman"/>
        </w:rPr>
        <w:t xml:space="preserve"> preseason </w:t>
      </w:r>
      <w:r>
        <w:rPr>
          <w:rFonts w:ascii="Times New Roman" w:hAnsi="Times New Roman"/>
        </w:rPr>
        <w:t xml:space="preserve">training </w:t>
      </w:r>
      <w:r w:rsidR="0093561F">
        <w:rPr>
          <w:rFonts w:ascii="Times New Roman" w:hAnsi="Times New Roman"/>
        </w:rPr>
        <w:t>phase?</w:t>
      </w:r>
    </w:p>
    <w:p w14:paraId="761DD59D" w14:textId="33AAF0E5" w:rsidR="0093561F" w:rsidRDefault="0093561F" w:rsidP="00F829B9">
      <w:pPr>
        <w:pStyle w:val="Heading2"/>
      </w:pPr>
      <w:bookmarkStart w:id="11" w:name="_Toc78279728"/>
      <w:bookmarkStart w:id="12" w:name="_Toc99267598"/>
      <w:r>
        <w:t>Research Hypotheses</w:t>
      </w:r>
      <w:bookmarkEnd w:id="11"/>
      <w:bookmarkEnd w:id="12"/>
    </w:p>
    <w:p w14:paraId="3FE8502B" w14:textId="7CB8ABDE" w:rsidR="0093561F" w:rsidRPr="00CF6FF1" w:rsidRDefault="0093561F" w:rsidP="007C6DA0">
      <w:pPr>
        <w:pStyle w:val="ListParagraph"/>
        <w:numPr>
          <w:ilvl w:val="0"/>
          <w:numId w:val="7"/>
        </w:numPr>
        <w:jc w:val="both"/>
      </w:pPr>
      <w:r>
        <w:rPr>
          <w:rFonts w:ascii="Times New Roman" w:hAnsi="Times New Roman"/>
        </w:rPr>
        <w:t xml:space="preserve">It was hypothesized that </w:t>
      </w:r>
      <w:r w:rsidR="00CF6FF1">
        <w:rPr>
          <w:rFonts w:ascii="Times New Roman" w:hAnsi="Times New Roman"/>
        </w:rPr>
        <w:t>there would be a significant increase in sal</w:t>
      </w:r>
      <w:r w:rsidR="00414B7B">
        <w:rPr>
          <w:rFonts w:ascii="Times New Roman" w:hAnsi="Times New Roman"/>
        </w:rPr>
        <w:t xml:space="preserve">ivary </w:t>
      </w:r>
      <w:r w:rsidR="008C2AC3">
        <w:rPr>
          <w:rFonts w:ascii="Times New Roman" w:hAnsi="Times New Roman"/>
        </w:rPr>
        <w:t>C</w:t>
      </w:r>
      <w:r w:rsidR="00414B7B">
        <w:rPr>
          <w:rFonts w:ascii="Times New Roman" w:hAnsi="Times New Roman"/>
        </w:rPr>
        <w:t>ortisol</w:t>
      </w:r>
      <w:r w:rsidR="00CF6FF1">
        <w:rPr>
          <w:rFonts w:ascii="Times New Roman" w:hAnsi="Times New Roman"/>
        </w:rPr>
        <w:t xml:space="preserve"> following both basketball sessions in accordance with previous literature </w:t>
      </w:r>
      <w:r w:rsidR="006E711E">
        <w:rPr>
          <w:rFonts w:ascii="Times New Roman" w:hAnsi="Times New Roman"/>
          <w:noProof/>
        </w:rPr>
        <w:fldChar w:fldCharType="begin"/>
      </w:r>
      <w:r w:rsidR="00546507">
        <w:rPr>
          <w:rFonts w:ascii="Times New Roman" w:hAnsi="Times New Roman"/>
          <w:noProof/>
        </w:rPr>
        <w:instrText xml:space="preserve"> ADDIN ZOTERO_ITEM CSL_CITATION {"citationID":"XSjgy2jv","properties":{"formattedCitation":"(Arruda et al., 2014)","plainCitation":"(Arruda et al., 2014)","noteIndex":0},"citationItems":[{"id":121,"uris":["http://zotero.org/users/6327055/items/ISQ3B27D"],"itemData":{"id":121,"type":"article-journal","abstract":"This study examined the inﬂuence of competition playing venue on the hormonal responses, state anxiety and perception of effort in elite basketball players. Eighteen males from two basketball teams were monitored during two competitive matches that were played against each other on a home and away basis. Salivary testosterone (T) and cortisol (C) concentrations were measured before and after each match. The Competitive State Anxiety Inventory-2 (CSAI-2) test was also administrated prior to each match and session ratings of perceived exertion (RPE) were taken post-game. Playing at home was accompanied by elevated pre-match T concentration, as compared to playing away (p b 0.05). The matches played at home were also won. Salivary T and C concentrations were similarly elevated across the matches (percent changes from pre to post) played either at home or away. No signiﬁcant differences in state anxiety and perception of effort were identiﬁed between the playing venues. Pre-match T and C concentrations and the percent changes in these hormones were signiﬁcantly related to somatic anxiety, especially when playing at home (p b 0.05). In conclusion, the competition playing venue appeared to inﬂuence athlete salivary hormonal responses prior to elite basketball matches. These hormonal responses were associated with player's anxiety state, which might contribute to performance and the eventual match outcomes.","container-title":"Physiology &amp; Behavior","DOI":"10.1016/j.physbeh.2014.03.007","ISSN":"00319384","journalAbbreviation":"Physiology &amp; Behavior","language":"en","page":"1-5","source":"DOI.org (Crossref)","title":"Influence of competition playing venue on the hormonal responses, state anxiety and perception of effort in elite basketball athletes","volume":"130","author":[{"family":"Arruda","given":"Ademir F.S."},{"family":"Aoki","given":"Marcelo S."},{"family":"Freitas","given":"Camila G."},{"family":"Drago","given":"Gustavo"},{"family":"Oliveira","given":"Roney"},{"family":"Crewther","given":"Blair T."},{"family":"Moreira","given":"Alexandre"}],"issued":{"date-parts":[["2014",5]]}}}],"schema":"https://github.com/citation-style-language/schema/raw/master/csl-citation.json"} </w:instrText>
      </w:r>
      <w:r w:rsidR="006E711E">
        <w:rPr>
          <w:rFonts w:ascii="Times New Roman" w:hAnsi="Times New Roman"/>
          <w:noProof/>
        </w:rPr>
        <w:fldChar w:fldCharType="separate"/>
      </w:r>
      <w:r w:rsidR="006E711E">
        <w:rPr>
          <w:rFonts w:ascii="Times New Roman" w:hAnsi="Times New Roman"/>
          <w:noProof/>
        </w:rPr>
        <w:t>(Arruda et al., 2014)</w:t>
      </w:r>
      <w:r w:rsidR="006E711E">
        <w:rPr>
          <w:rFonts w:ascii="Times New Roman" w:hAnsi="Times New Roman"/>
          <w:noProof/>
        </w:rPr>
        <w:fldChar w:fldCharType="end"/>
      </w:r>
      <w:r w:rsidR="00CF6FF1">
        <w:rPr>
          <w:rFonts w:ascii="Times New Roman" w:hAnsi="Times New Roman"/>
        </w:rPr>
        <w:t xml:space="preserve">. </w:t>
      </w:r>
      <w:r w:rsidR="00D7637F">
        <w:rPr>
          <w:rFonts w:ascii="Times New Roman" w:hAnsi="Times New Roman"/>
        </w:rPr>
        <w:t xml:space="preserve">Additionally, </w:t>
      </w:r>
      <w:r w:rsidR="00F77959">
        <w:rPr>
          <w:rFonts w:ascii="Times New Roman" w:hAnsi="Times New Roman"/>
        </w:rPr>
        <w:t>no significant differences would exist within</w:t>
      </w:r>
      <w:r w:rsidR="00D7637F">
        <w:rPr>
          <w:rFonts w:ascii="Times New Roman" w:hAnsi="Times New Roman"/>
        </w:rPr>
        <w:t xml:space="preserve"> s</w:t>
      </w:r>
      <w:r w:rsidR="0071788D">
        <w:rPr>
          <w:rFonts w:ascii="Times New Roman" w:hAnsi="Times New Roman"/>
        </w:rPr>
        <w:t>al</w:t>
      </w:r>
      <w:r w:rsidR="00414B7B">
        <w:rPr>
          <w:rFonts w:ascii="Times New Roman" w:hAnsi="Times New Roman"/>
        </w:rPr>
        <w:t xml:space="preserve">ivary </w:t>
      </w:r>
      <w:r w:rsidR="008C2AC3">
        <w:rPr>
          <w:rFonts w:ascii="Times New Roman" w:hAnsi="Times New Roman"/>
        </w:rPr>
        <w:t>T</w:t>
      </w:r>
      <w:r w:rsidR="00414B7B">
        <w:rPr>
          <w:rFonts w:ascii="Times New Roman" w:hAnsi="Times New Roman"/>
        </w:rPr>
        <w:t>estosterone</w:t>
      </w:r>
      <w:r w:rsidR="0071788D">
        <w:rPr>
          <w:rFonts w:ascii="Times New Roman" w:hAnsi="Times New Roman"/>
        </w:rPr>
        <w:t xml:space="preserve"> and </w:t>
      </w:r>
      <w:r w:rsidR="00414B7B">
        <w:rPr>
          <w:rFonts w:ascii="Times New Roman" w:hAnsi="Times New Roman"/>
        </w:rPr>
        <w:t xml:space="preserve">salivary </w:t>
      </w:r>
      <w:proofErr w:type="spellStart"/>
      <w:r w:rsidR="008C2AC3">
        <w:rPr>
          <w:rFonts w:ascii="Times New Roman" w:hAnsi="Times New Roman"/>
        </w:rPr>
        <w:t>T</w:t>
      </w:r>
      <w:r w:rsidR="00414B7B">
        <w:rPr>
          <w:rFonts w:ascii="Times New Roman" w:hAnsi="Times New Roman"/>
        </w:rPr>
        <w:t>estos</w:t>
      </w:r>
      <w:r w:rsidR="008C2AC3">
        <w:rPr>
          <w:rFonts w:ascii="Times New Roman" w:hAnsi="Times New Roman"/>
        </w:rPr>
        <w:t>t</w:t>
      </w:r>
      <w:r w:rsidR="00414B7B">
        <w:rPr>
          <w:rFonts w:ascii="Times New Roman" w:hAnsi="Times New Roman"/>
        </w:rPr>
        <w:t>erone:</w:t>
      </w:r>
      <w:r w:rsidR="008C2AC3">
        <w:rPr>
          <w:rFonts w:ascii="Times New Roman" w:hAnsi="Times New Roman"/>
        </w:rPr>
        <w:t>C</w:t>
      </w:r>
      <w:r w:rsidR="00414B7B">
        <w:rPr>
          <w:rFonts w:ascii="Times New Roman" w:hAnsi="Times New Roman"/>
        </w:rPr>
        <w:t>ortisol</w:t>
      </w:r>
      <w:proofErr w:type="spellEnd"/>
      <w:r w:rsidR="00414B7B">
        <w:rPr>
          <w:rFonts w:ascii="Times New Roman" w:hAnsi="Times New Roman"/>
        </w:rPr>
        <w:t xml:space="preserve"> ratio</w:t>
      </w:r>
      <w:r w:rsidR="0071788D">
        <w:rPr>
          <w:rFonts w:ascii="Times New Roman" w:hAnsi="Times New Roman"/>
        </w:rPr>
        <w:t xml:space="preserve"> after each basketball specific training session similarly reported by </w:t>
      </w:r>
      <w:r w:rsidR="006E711E">
        <w:rPr>
          <w:rFonts w:ascii="Times New Roman" w:hAnsi="Times New Roman"/>
          <w:noProof/>
        </w:rPr>
        <w:fldChar w:fldCharType="begin"/>
      </w:r>
      <w:r w:rsidR="00546507">
        <w:rPr>
          <w:rFonts w:ascii="Times New Roman" w:hAnsi="Times New Roman"/>
          <w:noProof/>
        </w:rPr>
        <w:instrText xml:space="preserve"> ADDIN ZOTERO_ITEM CSL_CITATION {"citationID":"PLtynE31","properties":{"formattedCitation":"(Andre et al., 2018; Hoffman et al., 1999)","plainCitation":"(Andre et al., 2018; Hoffman et al., 1999)","noteIndex":0},"citationItems":[{"id":127,"uris":["http://zotero.org/users/6327055/items/NJLLP2DZ"],"itemData":{"id":127,"type":"article-journal","abstract":"International Journal of Exercise Science 11(6): 439-451, 2018. The purpose of this study was to monitor weekly the salivary free testosterone (FT), cortisol (C), and the FT/C ratio in elite men NCAA Division I basketball athletes across an entire season. Twelve athletes gave salivary samples for 30 consecutive weeks, beginning in the pre-season and ending one week after the end of post-season competition. Samples were assayed for FT and C. Additionally, a composite value (CBD) composed of Z-scores for weekly practice minutes, game minutes, resistance training repetitions, academic demands, and travel schedules was determined. One-way RM ANOVAs were used to determine which weekly values were different (α=.05) from the season mean. For FT, 10 weeks were different from the season average (5.1 nmol/L). For C, 11 weeks were different from the season mean (9.0 nmol/L). For FT/C, weeks 7 (p=.007), 17 (p=.007), and 25 (p=.005) were different from the season mean (FT/C=0.69). During Wk7, at the start of regular season play, FT/C was above, while CBD was below the season means. During Wk17, which was leading into a series of important conference games, FT/C was below, while CBD was not different from season means. During Wk25, which was one week before the conference tournament, FT/C was below, while CBD was above season means. The methods of this study can be used for monitoring athlete responses and adaptations to sport-specific training and competition; specifically, for evaluating responses to challenging pre-season training, recovery for regular season play, and how they physiologically cope with the competitive season.","container-title":"International Journal of Exercise Science","issue":"6","language":"en","note":"Purpose: Monitor weekly salivary biomarkers in elite men NCAA Division 1 basketball players throughout an entire season. Additionally, the salivary biomarkers were compared to other demands for collegiate basketball training and competition, to examin their relationships. \nResearch Question: What is the weekly hormonal response to training? How do other stimuli within the magnitude of the training sessions and aspects of the season effect the hormonal response? \nMethods \nStudy Design: This study was observational with a colllection of saliva upon arrival from each participant prior to the afternoon practice across 30 weeks of the training and competitive season. Aspects such as playing/practice minutes, travel, resistance exercise volume, and academia were collected. \nSample: 12 male NCAA Division 1 American collegiate basketball student athletes \nProtocol: Salivary sample at rest prior to the afternoon practice (1300-1500hrs) in the middle of the week for 27 weeks with the 30 week season. Sample collection began one week before pre-season and concluded one week after post-season. No eating, brushing teeth, or consuming any drink other than water 1 hour prior to collection. Mouth rinse with water and resting for 5 minutes and finally an oral swab to hold in their mouth for 2 minutes.\nValidity/Reliabilty Data: Saliva has been shown to be highly correlated with plasma or serum samples. \nData Collection Procedures: Samples were frozen at -80 degress Celsius. Enzyme immunoassay kits using 96 well microtitre plates from Salimetrics. Separate assay for each athlete. Playing minutes, practice minutes, resistance training volume (total repetitions), travel schedules (scale values based on the time getting back from the trip - 1 = overnight bus before midnight, 2 = overnight flight, 5 = multiple day trip with flight), and academic demands (scale generalized so 0 = no class, 2 = normal academic week, 4 = exam period) were collected. All variables converted to Z scores. \nStatistical Analyses: IBM SPSS 24, 324 total samples with 20 missing from absence and replaced with the team's average for that week. Verification of all assumptions and a 1 way RMANOVA with LSD pairwise comparisons to determine which weekly values were different from the season mean. Relationships between team FT, C, FT/C and team CBD (collegiate basketball demands) scores, and their individual components, throughout the season was done through Pearson correlations. Significant set at 0.05. \nFindings: The FT (free testosterone) was seen to be different from the season mean in 10 weeks, C (cortisol) was different in 11 weeks, and FT/C (FT/C ratio) was different in weeks 7 (more than 3 SD above with CBD significantly below season averages), 17-before important games (more than 2.5 SD below season average and no difference in CBD), and 25-before conference tournament (FT/C more than 1 SD below and CBD significantly above season averages). There was a significant negative correlation between FT/C and game minutes. \nConclusions: The increases in C at the beginning is likely due to the intense preseason. The large increase in FT/C in week 7 suggests that the athletes were recovered from preseason prior to the first week of regular season competition but there was no increase in FT meaning there was a reduction in C. The decrease in FT/C at week 17 could suggest that the season was beginning to have an effect physiologically on the athletes and was supported by the negative correlation of FT/C and game minutes. There was another decrease in FT/C at the start of postseason competition but a return to baseline once competition play stopped. This is likely due to the decreases in FT leading to the reduction in FT/C but C also varied significantly through the collection showing that the demands are stressful. The CBD was very unpredictable but when examined individually a significant inverse correlation between FT/C and game minutes was found. Monitoring FT/C changes may provide insight into health, performance, and recovery. \nFurther Research: Collect performance data in conjuction with the biomarker samples to examine if performance changes occur and relate to the biomarkers. \nRelevant Studies: \nGaviglio CM, Cook CJ. Relationship between midweek training measures of testosterone and cortisol concentrations and game outcome in professional rugby union matches. J Strength Cond Res 28(12):3447-3452, 2014.\nBalsalobre-Fernández C, Tejero-González CM, del Campo-Vecino J. Relationships between training load, salivary cortisol responses and performance during season training in middle and long distance runners. PLoS ONE 9(8), 2014.\nHoffman JR, Epstein S, Yarom Y, Zigel L, Einbinder M. Hormonal and biochemical changes in elite basketball players during a 4-week training camp. J Strength Cond Res 13(3):280-285, 1999.\nKraemer WJ, Ratamess NA. Hormonal responses and adaptations to resistance exercise and training. Sports Med 35(4):339-361, 2005.","page":"439-451","source":"Zotero","title":"Weekly salivary biomarkers across a season for elite men collegiate basketball players","volume":"11","author":[{"family":"Andre","given":"Matthew J"},{"family":"Fry","given":"Andrew C"},{"family":"Luebbers","given":"Paul E"},{"family":"Hudy","given":"Andrea"},{"family":"Dietz","given":"Partricia R"},{"family":"Cain","given":"Glenn J"}],"issued":{"date-parts":[["2018"]]}}},{"id":170,"uris":["http://zotero.org/users/6327055/items/JX5273GV"],"itemData":{"id":170,"type":"article-journal","abstract":"This investigation examined hormonal and biochemical changes in basketball players during a 4-week training camp before the European championships. Ten members of the Israel national team (mean ± SD; age: 26.4 ± 4.3 years; weight: 100.7 ± 12.3 kg; and height: 196.4 ± 8.0 cm) participated in this study, which began 4 weeks after the regular season. Plasma samples of testosterone, cortisol, luteinizing hormone, thyroid-stimulating hormone, triiodothyronine, free thyroxine, creatine kinase, and urea were obtained before (T1) and after 9 (T2), 17 (T3), and 28 (T4) days of practice. Questionnaires concerning appetite, quality of sleep, muscle soreness, and recovery time following practice were filled out before each blood draw. Differences (p &lt; 0.05) in the volume of training were seen between T1 and T2 (150 ± 29 min*d−1) and T3 and T4 (92 ± 28 min*d−1). Muscle soreness and recovery time following practice were greater (p &lt; 0.05) at T2 than T1, T3, and T4. A significant increase in cortisol, although remaining within normal physiological range, was observed between T1 (260 ± 91 nmol*L−1) and T4 (457 ± 99 nmol*L−1). No changes from Tl were seen in testosterone (14.2 ± 5.6 nmol*L−1), luteinizing hormone (4.2 ± 1.6 IU*mH−1), creatine kinase, and urea or in the testosterone-to-cortisol ratio. In addition, no significant changes from T1 were observed in any of the thyroid hormones. These results suggest that a 28-day training camp may not cause significant disturbances in hormonal or biochemical stress markers in elite athletes.","container-title":"The Journal of Strength &amp; Conditioning Research","ISSN":"1064-8011","issue":"3","language":"en-US","note":"Purpose: Examine the hormonal and biochemical measurements in the early stages of overtraining in elite basketball players. \nResearch Question: What are the hormonal and biochemical responses in elite basketball players in the response to overtraining?\nMethods \nStudy Design: Measurements of hormonal and other biochemical parameters were collected in a 4 week training camp before an international basketball tournament and a month of complete rest after the regular season. \nSample: 10 participants of the Israel national basketball team \nProtocol: Measurements such as blood samples and questionnaires were taken on Days 1, 9, 17, and 28 in the morning before practice at the same time. A questionnaire was adminsitered by the same researcher and same environemental conditions was performed to describe appetite, quality of sleep, feelings of soreness, feelings of recovery, and perception of practice intensity all done on a 5 point scale. \nStatistical Analyses: Significance was set at 0.05. A one way ANOVA and repeated measures across time with post hoc analyses of a Bonferroni correction was performed. \nFindings: Training volume was the average practice time per day. Training volume was high initially but completed a taper toward the end of the camp. Training volume was significantly greater in days 1 and 9 than days 17 and 28. The perception of the training intensity was unchanged throughout the camp. The subjective questionnaire revealed that on Day 9 there were increases in muscle soreness and less recovery time. The concentration of T was unchanged throughout the 4 weeks. There was a significant increase in cortisol over the 4 weeks but only Day 28 showed a significant increase from Day 1. T/C ratio remained unchanged throughout the camp but there was a decrease seen from Day 1 to Day 28. \nConclusions: The resting level of T was low compared to normal to start and may suggest that the players were still not recovered from the 9 month regular season play even after a month of rest. The significant increase in C from Day 1 to Day 28 could be due to the athletes still not being recovered and another stimulus was given to early in a hypersensitive state of the athletes. This is in line with the decrease in T/C ratio of 22% from Day 1 to Day 28 but not reaching significance. Overall, the 4 week recovery period may not have been adequate for the athletes.\nFurther Research: Examine the duration of a recovery period to be adequate enough for recovery to occur within athletes. \nRelevant Studies: \nHakkinen, K. Effects of the competitive season on physical fitness profile in elite basketball players. J. Hum. Movement Stud. 15:119-128. 1988.","page":"280–285","source":"journals.lww.com","title":"Hormonal and biochemical changes in elite basketball players during a 4-week training camp","volume":"13","author":[{"family":"Hoffman","given":"Jay R."},{"family":"Epstein","given":"Shmuel"},{"family":"Yarom","given":"Yoni"},{"family":"Zigel","given":"Levanna"},{"family":"Einbinder","given":"Merav"}],"issued":{"date-parts":[["1999",8]]}}}],"schema":"https://github.com/citation-style-language/schema/raw/master/csl-citation.json"} </w:instrText>
      </w:r>
      <w:r w:rsidR="006E711E">
        <w:rPr>
          <w:rFonts w:ascii="Times New Roman" w:hAnsi="Times New Roman"/>
          <w:noProof/>
        </w:rPr>
        <w:fldChar w:fldCharType="separate"/>
      </w:r>
      <w:r w:rsidR="006E711E">
        <w:rPr>
          <w:rFonts w:ascii="Times New Roman" w:hAnsi="Times New Roman"/>
          <w:noProof/>
        </w:rPr>
        <w:t>(Andre et al., 2018; Hoffman et al., 1999)</w:t>
      </w:r>
      <w:r w:rsidR="006E711E">
        <w:rPr>
          <w:rFonts w:ascii="Times New Roman" w:hAnsi="Times New Roman"/>
          <w:noProof/>
        </w:rPr>
        <w:fldChar w:fldCharType="end"/>
      </w:r>
      <w:r w:rsidR="00EB7D76">
        <w:rPr>
          <w:rFonts w:ascii="Times New Roman" w:hAnsi="Times New Roman"/>
        </w:rPr>
        <w:t>.</w:t>
      </w:r>
    </w:p>
    <w:p w14:paraId="05E7B8C5" w14:textId="1DC7F784" w:rsidR="00CF6FF1" w:rsidRPr="009A0BFB" w:rsidRDefault="0071788D" w:rsidP="007C6DA0">
      <w:pPr>
        <w:pStyle w:val="ListParagraph"/>
        <w:numPr>
          <w:ilvl w:val="0"/>
          <w:numId w:val="7"/>
        </w:numPr>
        <w:jc w:val="both"/>
      </w:pPr>
      <w:r>
        <w:rPr>
          <w:rFonts w:ascii="Times New Roman" w:hAnsi="Times New Roman"/>
        </w:rPr>
        <w:t>It was hypothesized that there would be a significant increase i</w:t>
      </w:r>
      <w:r w:rsidR="009A0BFB">
        <w:rPr>
          <w:rFonts w:ascii="Times New Roman" w:hAnsi="Times New Roman"/>
        </w:rPr>
        <w:t xml:space="preserve">n </w:t>
      </w:r>
      <w:r w:rsidR="00414B7B">
        <w:rPr>
          <w:rFonts w:ascii="Times New Roman" w:hAnsi="Times New Roman"/>
        </w:rPr>
        <w:t xml:space="preserve">salivary </w:t>
      </w:r>
      <w:proofErr w:type="spellStart"/>
      <w:r w:rsidR="008C2AC3">
        <w:rPr>
          <w:rFonts w:ascii="Times New Roman" w:hAnsi="Times New Roman"/>
        </w:rPr>
        <w:t>T</w:t>
      </w:r>
      <w:r w:rsidR="00414B7B">
        <w:rPr>
          <w:rFonts w:ascii="Times New Roman" w:hAnsi="Times New Roman"/>
        </w:rPr>
        <w:t>estos</w:t>
      </w:r>
      <w:r w:rsidR="008C2AC3">
        <w:rPr>
          <w:rFonts w:ascii="Times New Roman" w:hAnsi="Times New Roman"/>
        </w:rPr>
        <w:t>t</w:t>
      </w:r>
      <w:r w:rsidR="00414B7B">
        <w:rPr>
          <w:rFonts w:ascii="Times New Roman" w:hAnsi="Times New Roman"/>
        </w:rPr>
        <w:t>erone:</w:t>
      </w:r>
      <w:r w:rsidR="008C2AC3">
        <w:rPr>
          <w:rFonts w:ascii="Times New Roman" w:hAnsi="Times New Roman"/>
        </w:rPr>
        <w:t>C</w:t>
      </w:r>
      <w:r w:rsidR="00414B7B">
        <w:rPr>
          <w:rFonts w:ascii="Times New Roman" w:hAnsi="Times New Roman"/>
        </w:rPr>
        <w:t>ortisol</w:t>
      </w:r>
      <w:proofErr w:type="spellEnd"/>
      <w:r w:rsidR="00414B7B">
        <w:rPr>
          <w:rFonts w:ascii="Times New Roman" w:hAnsi="Times New Roman"/>
        </w:rPr>
        <w:t xml:space="preserve"> ratio</w:t>
      </w:r>
      <w:r w:rsidR="009A0BFB">
        <w:rPr>
          <w:rFonts w:ascii="Times New Roman" w:hAnsi="Times New Roman"/>
        </w:rPr>
        <w:t>, a significant decrease in sal</w:t>
      </w:r>
      <w:r w:rsidR="00414B7B">
        <w:rPr>
          <w:rFonts w:ascii="Times New Roman" w:hAnsi="Times New Roman"/>
        </w:rPr>
        <w:t xml:space="preserve">ivary </w:t>
      </w:r>
      <w:r w:rsidR="008C2AC3">
        <w:rPr>
          <w:rFonts w:ascii="Times New Roman" w:hAnsi="Times New Roman"/>
        </w:rPr>
        <w:t>C</w:t>
      </w:r>
      <w:r w:rsidR="00414B7B">
        <w:rPr>
          <w:rFonts w:ascii="Times New Roman" w:hAnsi="Times New Roman"/>
        </w:rPr>
        <w:t>ortisol</w:t>
      </w:r>
      <w:r w:rsidR="009A0BFB">
        <w:rPr>
          <w:rFonts w:ascii="Times New Roman" w:hAnsi="Times New Roman"/>
        </w:rPr>
        <w:t xml:space="preserve"> concentration, and </w:t>
      </w:r>
      <w:r w:rsidR="00F77959">
        <w:rPr>
          <w:rFonts w:ascii="Times New Roman" w:hAnsi="Times New Roman"/>
        </w:rPr>
        <w:t xml:space="preserve">no differences would exist within </w:t>
      </w:r>
      <w:r w:rsidR="009A0BFB">
        <w:rPr>
          <w:rFonts w:ascii="Times New Roman" w:hAnsi="Times New Roman"/>
        </w:rPr>
        <w:t>sal</w:t>
      </w:r>
      <w:r w:rsidR="00414B7B">
        <w:rPr>
          <w:rFonts w:ascii="Times New Roman" w:hAnsi="Times New Roman"/>
        </w:rPr>
        <w:t xml:space="preserve">ivary </w:t>
      </w:r>
      <w:r w:rsidR="008C2AC3">
        <w:rPr>
          <w:rFonts w:ascii="Times New Roman" w:hAnsi="Times New Roman"/>
        </w:rPr>
        <w:t>T</w:t>
      </w:r>
      <w:r w:rsidR="00414B7B">
        <w:rPr>
          <w:rFonts w:ascii="Times New Roman" w:hAnsi="Times New Roman"/>
        </w:rPr>
        <w:t>estosterone</w:t>
      </w:r>
      <w:r w:rsidR="009A0BFB">
        <w:rPr>
          <w:rFonts w:ascii="Times New Roman" w:hAnsi="Times New Roman"/>
        </w:rPr>
        <w:t xml:space="preserve"> concentrations</w:t>
      </w:r>
      <w:r w:rsidR="00D7637F">
        <w:rPr>
          <w:rFonts w:ascii="Times New Roman" w:hAnsi="Times New Roman"/>
        </w:rPr>
        <w:t xml:space="preserve"> </w:t>
      </w:r>
      <w:r w:rsidR="00823AAC">
        <w:rPr>
          <w:rFonts w:ascii="Times New Roman" w:hAnsi="Times New Roman"/>
        </w:rPr>
        <w:t xml:space="preserve">following the preseason training phase </w:t>
      </w:r>
      <w:r w:rsidR="009A0BFB">
        <w:rPr>
          <w:rFonts w:ascii="Times New Roman" w:hAnsi="Times New Roman"/>
        </w:rPr>
        <w:t xml:space="preserve">in parallel with </w:t>
      </w:r>
      <w:r w:rsidR="006E711E">
        <w:rPr>
          <w:rFonts w:ascii="Times New Roman" w:hAnsi="Times New Roman"/>
          <w:noProof/>
        </w:rPr>
        <w:fldChar w:fldCharType="begin"/>
      </w:r>
      <w:r w:rsidR="00546507">
        <w:rPr>
          <w:rFonts w:ascii="Times New Roman" w:hAnsi="Times New Roman"/>
          <w:noProof/>
        </w:rPr>
        <w:instrText xml:space="preserve"> ADDIN ZOTERO_ITEM CSL_CITATION {"citationID":"AUxyWv3o","properties":{"formattedCitation":"(Andre et al., 2018)","plainCitation":"(Andre et al., 2018)","noteIndex":0},"citationItems":[{"id":127,"uris":["http://zotero.org/users/6327055/items/NJLLP2DZ"],"itemData":{"id":127,"type":"article-journal","abstract":"International Journal of Exercise Science 11(6): 439-451, 2018. The purpose of this study was to monitor weekly the salivary free testosterone (FT), cortisol (C), and the FT/C ratio in elite men NCAA Division I basketball athletes across an entire season. Twelve athletes gave salivary samples for 30 consecutive weeks, beginning in the pre-season and ending one week after the end of post-season competition. Samples were assayed for FT and C. Additionally, a composite value (CBD) composed of Z-scores for weekly practice minutes, game minutes, resistance training repetitions, academic demands, and travel schedules was determined. One-way RM ANOVAs were used to determine which weekly values were different (α=.05) from the season mean. For FT, 10 weeks were different from the season average (5.1 nmol/L). For C, 11 weeks were different from the season mean (9.0 nmol/L). For FT/C, weeks 7 (p=.007), 17 (p=.007), and 25 (p=.005) were different from the season mean (FT/C=0.69). During Wk7, at the start of regular season play, FT/C was above, while CBD was below the season means. During Wk17, which was leading into a series of important conference games, FT/C was below, while CBD was not different from season means. During Wk25, which was one week before the conference tournament, FT/C was below, while CBD was above season means. The methods of this study can be used for monitoring athlete responses and adaptations to sport-specific training and competition; specifically, for evaluating responses to challenging pre-season training, recovery for regular season play, and how they physiologically cope with the competitive season.","container-title":"International Journal of Exercise Science","issue":"6","language":"en","note":"Purpose: Monitor weekly salivary biomarkers in elite men NCAA Division 1 basketball players throughout an entire season. Additionally, the salivary biomarkers were compared to other demands for collegiate basketball training and competition, to examin their relationships. \nResearch Question: What is the weekly hormonal response to training? How do other stimuli within the magnitude of the training sessions and aspects of the season effect the hormonal response? \nMethods \nStudy Design: This study was observational with a colllection of saliva upon arrival from each participant prior to the afternoon practice across 30 weeks of the training and competitive season. Aspects such as playing/practice minutes, travel, resistance exercise volume, and academia were collected. \nSample: 12 male NCAA Division 1 American collegiate basketball student athletes \nProtocol: Salivary sample at rest prior to the afternoon practice (1300-1500hrs) in the middle of the week for 27 weeks with the 30 week season. Sample collection began one week before pre-season and concluded one week after post-season. No eating, brushing teeth, or consuming any drink other than water 1 hour prior to collection. Mouth rinse with water and resting for 5 minutes and finally an oral swab to hold in their mouth for 2 minutes.\nValidity/Reliabilty Data: Saliva has been shown to be highly correlated with plasma or serum samples. \nData Collection Procedures: Samples were frozen at -80 degress Celsius. Enzyme immunoassay kits using 96 well microtitre plates from Salimetrics. Separate assay for each athlete. Playing minutes, practice minutes, resistance training volume (total repetitions), travel schedules (scale values based on the time getting back from the trip - 1 = overnight bus before midnight, 2 = overnight flight, 5 = multiple day trip with flight), and academic demands (scale generalized so 0 = no class, 2 = normal academic week, 4 = exam period) were collected. All variables converted to Z scores. \nStatistical Analyses: IBM SPSS 24, 324 total samples with 20 missing from absence and replaced with the team's average for that week. Verification of all assumptions and a 1 way RMANOVA with LSD pairwise comparisons to determine which weekly values were different from the season mean. Relationships between team FT, C, FT/C and team CBD (collegiate basketball demands) scores, and their individual components, throughout the season was done through Pearson correlations. Significant set at 0.05. \nFindings: The FT (free testosterone) was seen to be different from the season mean in 10 weeks, C (cortisol) was different in 11 weeks, and FT/C (FT/C ratio) was different in weeks 7 (more than 3 SD above with CBD significantly below season averages), 17-before important games (more than 2.5 SD below season average and no difference in CBD), and 25-before conference tournament (FT/C more than 1 SD below and CBD significantly above season averages). There was a significant negative correlation between FT/C and game minutes. \nConclusions: The increases in C at the beginning is likely due to the intense preseason. The large increase in FT/C in week 7 suggests that the athletes were recovered from preseason prior to the first week of regular season competition but there was no increase in FT meaning there was a reduction in C. The decrease in FT/C at week 17 could suggest that the season was beginning to have an effect physiologically on the athletes and was supported by the negative correlation of FT/C and game minutes. There was another decrease in FT/C at the start of postseason competition but a return to baseline once competition play stopped. This is likely due to the decreases in FT leading to the reduction in FT/C but C also varied significantly through the collection showing that the demands are stressful. The CBD was very unpredictable but when examined individually a significant inverse correlation between FT/C and game minutes was found. Monitoring FT/C changes may provide insight into health, performance, and recovery. \nFurther Research: Collect performance data in conjuction with the biomarker samples to examine if performance changes occur and relate to the biomarkers. \nRelevant Studies: \nGaviglio CM, Cook CJ. Relationship between midweek training measures of testosterone and cortisol concentrations and game outcome in professional rugby union matches. J Strength Cond Res 28(12):3447-3452, 2014.\nBalsalobre-Fernández C, Tejero-González CM, del Campo-Vecino J. Relationships between training load, salivary cortisol responses and performance during season training in middle and long distance runners. PLoS ONE 9(8), 2014.\nHoffman JR, Epstein S, Yarom Y, Zigel L, Einbinder M. Hormonal and biochemical changes in elite basketball players during a 4-week training camp. J Strength Cond Res 13(3):280-285, 1999.\nKraemer WJ, Ratamess NA. Hormonal responses and adaptations to resistance exercise and training. Sports Med 35(4):339-361, 2005.","page":"439-451","source":"Zotero","title":"Weekly salivary biomarkers across a season for elite men collegiate basketball players","volume":"11","author":[{"family":"Andre","given":"Matthew J"},{"family":"Fry","given":"Andrew C"},{"family":"Luebbers","given":"Paul E"},{"family":"Hudy","given":"Andrea"},{"family":"Dietz","given":"Partricia R"},{"family":"Cain","given":"Glenn J"}],"issued":{"date-parts":[["2018"]]}}}],"schema":"https://github.com/citation-style-language/schema/raw/master/csl-citation.json"} </w:instrText>
      </w:r>
      <w:r w:rsidR="006E711E">
        <w:rPr>
          <w:rFonts w:ascii="Times New Roman" w:hAnsi="Times New Roman"/>
          <w:noProof/>
        </w:rPr>
        <w:fldChar w:fldCharType="separate"/>
      </w:r>
      <w:r w:rsidR="006E711E">
        <w:rPr>
          <w:rFonts w:ascii="Times New Roman" w:hAnsi="Times New Roman"/>
          <w:noProof/>
        </w:rPr>
        <w:t>(Andre et al., 2018)</w:t>
      </w:r>
      <w:r w:rsidR="006E711E">
        <w:rPr>
          <w:rFonts w:ascii="Times New Roman" w:hAnsi="Times New Roman"/>
          <w:noProof/>
        </w:rPr>
        <w:fldChar w:fldCharType="end"/>
      </w:r>
      <w:r w:rsidR="009A0BFB">
        <w:rPr>
          <w:rFonts w:ascii="Times New Roman" w:hAnsi="Times New Roman"/>
        </w:rPr>
        <w:t xml:space="preserve">. </w:t>
      </w:r>
    </w:p>
    <w:p w14:paraId="508C869A" w14:textId="00D2BD39" w:rsidR="009A0BFB" w:rsidRPr="002634C4" w:rsidRDefault="002634C4" w:rsidP="007C6DA0">
      <w:pPr>
        <w:pStyle w:val="ListParagraph"/>
        <w:numPr>
          <w:ilvl w:val="0"/>
          <w:numId w:val="7"/>
        </w:numPr>
        <w:jc w:val="both"/>
      </w:pPr>
      <w:r>
        <w:rPr>
          <w:rFonts w:ascii="Times New Roman" w:hAnsi="Times New Roman"/>
        </w:rPr>
        <w:lastRenderedPageBreak/>
        <w:t xml:space="preserve">It was hypothesized that there would be significant decreases in </w:t>
      </w:r>
      <w:r w:rsidR="00414B7B">
        <w:rPr>
          <w:rFonts w:ascii="Times New Roman" w:hAnsi="Times New Roman"/>
        </w:rPr>
        <w:t>countermovement jump</w:t>
      </w:r>
      <w:r>
        <w:rPr>
          <w:rFonts w:ascii="Times New Roman" w:hAnsi="Times New Roman"/>
        </w:rPr>
        <w:t xml:space="preserve"> performance from pre- to post- basketball specific training sessions.</w:t>
      </w:r>
    </w:p>
    <w:p w14:paraId="3F945F3F" w14:textId="4E3FBCEB" w:rsidR="002634C4" w:rsidRPr="0093561F" w:rsidRDefault="002634C4" w:rsidP="007C6DA0">
      <w:pPr>
        <w:pStyle w:val="ListParagraph"/>
        <w:numPr>
          <w:ilvl w:val="0"/>
          <w:numId w:val="7"/>
        </w:numPr>
        <w:jc w:val="both"/>
      </w:pPr>
      <w:r>
        <w:rPr>
          <w:rFonts w:ascii="Times New Roman" w:hAnsi="Times New Roman"/>
        </w:rPr>
        <w:t xml:space="preserve">It was hypothesized that there would be significant increases in </w:t>
      </w:r>
      <w:r w:rsidR="00414B7B">
        <w:rPr>
          <w:rFonts w:ascii="Times New Roman" w:hAnsi="Times New Roman"/>
        </w:rPr>
        <w:t>countermovement jump</w:t>
      </w:r>
      <w:r>
        <w:rPr>
          <w:rFonts w:ascii="Times New Roman" w:hAnsi="Times New Roman"/>
        </w:rPr>
        <w:t xml:space="preserve"> performance from pre- to post- of the preseason training phase. </w:t>
      </w:r>
    </w:p>
    <w:p w14:paraId="221762DC" w14:textId="48D42C09" w:rsidR="00A364CF" w:rsidRDefault="00A364CF" w:rsidP="00F829B9">
      <w:pPr>
        <w:pStyle w:val="Heading2"/>
      </w:pPr>
      <w:bookmarkStart w:id="13" w:name="_Toc78279729"/>
      <w:bookmarkStart w:id="14" w:name="_Toc99267599"/>
      <w:r>
        <w:t>Significance of the Study</w:t>
      </w:r>
      <w:bookmarkEnd w:id="13"/>
      <w:bookmarkEnd w:id="14"/>
    </w:p>
    <w:p w14:paraId="164C7C98" w14:textId="7ADD2939" w:rsidR="001A37E8" w:rsidRPr="00297C45" w:rsidRDefault="006F551D" w:rsidP="007C6DA0">
      <w:pPr>
        <w:spacing w:line="480" w:lineRule="auto"/>
        <w:ind w:firstLine="720"/>
        <w:jc w:val="both"/>
        <w:rPr>
          <w:rFonts w:ascii="Times New Roman" w:hAnsi="Times New Roman"/>
        </w:rPr>
      </w:pPr>
      <w:r w:rsidRPr="006F551D">
        <w:rPr>
          <w:rFonts w:ascii="Times New Roman" w:hAnsi="Times New Roman"/>
        </w:rPr>
        <w:t xml:space="preserve">Monitoring and assessing endocrine responses </w:t>
      </w:r>
      <w:r w:rsidR="001A37E8">
        <w:rPr>
          <w:rFonts w:ascii="Times New Roman" w:hAnsi="Times New Roman"/>
        </w:rPr>
        <w:t xml:space="preserve">and neuromuscular performance </w:t>
      </w:r>
      <w:r w:rsidRPr="006F551D">
        <w:rPr>
          <w:rFonts w:ascii="Times New Roman" w:hAnsi="Times New Roman"/>
        </w:rPr>
        <w:t xml:space="preserve">over the course of </w:t>
      </w:r>
      <w:r w:rsidR="001A37E8">
        <w:rPr>
          <w:rFonts w:ascii="Times New Roman" w:hAnsi="Times New Roman"/>
        </w:rPr>
        <w:t xml:space="preserve">acute bouts in basketball specific training sessions as well as the preseason </w:t>
      </w:r>
      <w:r w:rsidRPr="006F551D">
        <w:rPr>
          <w:rFonts w:ascii="Times New Roman" w:hAnsi="Times New Roman"/>
        </w:rPr>
        <w:t xml:space="preserve">training phase </w:t>
      </w:r>
      <w:r w:rsidR="001A37E8">
        <w:rPr>
          <w:rFonts w:ascii="Times New Roman" w:hAnsi="Times New Roman"/>
        </w:rPr>
        <w:t>can provide insight into the physiological status of athletes</w:t>
      </w:r>
      <w:r w:rsidR="008F2CC1">
        <w:rPr>
          <w:rFonts w:ascii="Times New Roman" w:hAnsi="Times New Roman"/>
        </w:rPr>
        <w:t xml:space="preserve"> during the specific training phase</w:t>
      </w:r>
      <w:r w:rsidR="001A37E8">
        <w:rPr>
          <w:rFonts w:ascii="Times New Roman" w:hAnsi="Times New Roman"/>
        </w:rPr>
        <w:t xml:space="preserve">. </w:t>
      </w:r>
      <w:r w:rsidR="00297C45">
        <w:rPr>
          <w:rFonts w:ascii="Times New Roman" w:hAnsi="Times New Roman"/>
        </w:rPr>
        <w:t xml:space="preserve">This will </w:t>
      </w:r>
      <w:r w:rsidR="008F2CC1">
        <w:rPr>
          <w:rFonts w:ascii="Times New Roman" w:hAnsi="Times New Roman"/>
        </w:rPr>
        <w:t>help</w:t>
      </w:r>
      <w:r w:rsidR="00297C45">
        <w:rPr>
          <w:rFonts w:ascii="Times New Roman" w:hAnsi="Times New Roman"/>
        </w:rPr>
        <w:t xml:space="preserve"> to emphasiz</w:t>
      </w:r>
      <w:r w:rsidR="008F2CC1">
        <w:rPr>
          <w:rFonts w:ascii="Times New Roman" w:hAnsi="Times New Roman"/>
        </w:rPr>
        <w:t>e</w:t>
      </w:r>
      <w:r w:rsidR="00297C45">
        <w:rPr>
          <w:rFonts w:ascii="Times New Roman" w:hAnsi="Times New Roman"/>
        </w:rPr>
        <w:t xml:space="preserve"> the incorporation or enhancement </w:t>
      </w:r>
      <w:r w:rsidR="008F2CC1">
        <w:rPr>
          <w:rFonts w:ascii="Times New Roman" w:hAnsi="Times New Roman"/>
        </w:rPr>
        <w:t>of</w:t>
      </w:r>
      <w:r w:rsidR="00297C45">
        <w:rPr>
          <w:rFonts w:ascii="Times New Roman" w:hAnsi="Times New Roman"/>
        </w:rPr>
        <w:t xml:space="preserve"> periodization schemes being used to allow for either stronger stimuli or better assembly for a reduction in volume. </w:t>
      </w:r>
      <w:r w:rsidR="001A37E8">
        <w:rPr>
          <w:rFonts w:ascii="Times New Roman" w:hAnsi="Times New Roman"/>
        </w:rPr>
        <w:t xml:space="preserve">Therefore, assessing </w:t>
      </w:r>
      <w:r w:rsidR="00251D23">
        <w:rPr>
          <w:rFonts w:ascii="Times New Roman" w:hAnsi="Times New Roman"/>
        </w:rPr>
        <w:t xml:space="preserve">performance data while interpreting endocrine responses can provide useful information in the evaluation of the </w:t>
      </w:r>
      <w:r w:rsidR="008F2CC1">
        <w:rPr>
          <w:rFonts w:ascii="Times New Roman" w:hAnsi="Times New Roman"/>
        </w:rPr>
        <w:t>magnitude</w:t>
      </w:r>
      <w:r w:rsidR="00251D23">
        <w:rPr>
          <w:rFonts w:ascii="Times New Roman" w:hAnsi="Times New Roman"/>
        </w:rPr>
        <w:t xml:space="preserve"> of stimulus </w:t>
      </w:r>
      <w:r w:rsidR="008F2CC1">
        <w:rPr>
          <w:rFonts w:ascii="Times New Roman" w:hAnsi="Times New Roman"/>
        </w:rPr>
        <w:t>imposed</w:t>
      </w:r>
      <w:r w:rsidR="00251D23">
        <w:rPr>
          <w:rFonts w:ascii="Times New Roman" w:hAnsi="Times New Roman"/>
        </w:rPr>
        <w:t xml:space="preserve"> within the training phase</w:t>
      </w:r>
      <w:r w:rsidR="008F2CC1">
        <w:rPr>
          <w:rFonts w:ascii="Times New Roman" w:hAnsi="Times New Roman"/>
        </w:rPr>
        <w:t>,</w:t>
      </w:r>
      <w:r w:rsidR="00251D23">
        <w:rPr>
          <w:rFonts w:ascii="Times New Roman" w:hAnsi="Times New Roman"/>
        </w:rPr>
        <w:t xml:space="preserve"> </w:t>
      </w:r>
      <w:r w:rsidR="008F2CC1">
        <w:rPr>
          <w:rFonts w:ascii="Times New Roman" w:hAnsi="Times New Roman"/>
        </w:rPr>
        <w:t>while also examining the recovery windows.</w:t>
      </w:r>
      <w:r w:rsidR="00251D23">
        <w:rPr>
          <w:rFonts w:ascii="Times New Roman" w:hAnsi="Times New Roman"/>
        </w:rPr>
        <w:t xml:space="preserve"> The </w:t>
      </w:r>
      <w:r w:rsidR="00B10D1E">
        <w:rPr>
          <w:rFonts w:ascii="Times New Roman" w:hAnsi="Times New Roman"/>
        </w:rPr>
        <w:t>culmination</w:t>
      </w:r>
      <w:r w:rsidR="00251D23">
        <w:rPr>
          <w:rFonts w:ascii="Times New Roman" w:hAnsi="Times New Roman"/>
        </w:rPr>
        <w:t xml:space="preserve"> of this information will assist in </w:t>
      </w:r>
      <w:r w:rsidR="008F2CC1">
        <w:rPr>
          <w:rFonts w:ascii="Times New Roman" w:hAnsi="Times New Roman"/>
        </w:rPr>
        <w:t xml:space="preserve">optimizing the appropriate stress placed </w:t>
      </w:r>
      <w:r w:rsidR="00251D23">
        <w:rPr>
          <w:rFonts w:ascii="Times New Roman" w:hAnsi="Times New Roman"/>
        </w:rPr>
        <w:t>upon the athletes which c</w:t>
      </w:r>
      <w:r w:rsidR="008F2CC1">
        <w:rPr>
          <w:rFonts w:ascii="Times New Roman" w:hAnsi="Times New Roman"/>
        </w:rPr>
        <w:t>an</w:t>
      </w:r>
      <w:r w:rsidR="00251D23">
        <w:rPr>
          <w:rFonts w:ascii="Times New Roman" w:hAnsi="Times New Roman"/>
        </w:rPr>
        <w:t xml:space="preserve"> ultimately lead </w:t>
      </w:r>
      <w:r w:rsidR="008F2CC1">
        <w:rPr>
          <w:rFonts w:ascii="Times New Roman" w:hAnsi="Times New Roman"/>
        </w:rPr>
        <w:t>to avoiding over or under-training.</w:t>
      </w:r>
    </w:p>
    <w:p w14:paraId="751F801E" w14:textId="0AAAD40A" w:rsidR="002E62FE" w:rsidRDefault="002E62FE" w:rsidP="00F829B9">
      <w:pPr>
        <w:pStyle w:val="Heading2"/>
      </w:pPr>
      <w:bookmarkStart w:id="15" w:name="_Toc78279730"/>
      <w:bookmarkStart w:id="16" w:name="_Toc99267600"/>
      <w:r w:rsidRPr="008A7A65">
        <w:t>Delimitations</w:t>
      </w:r>
      <w:bookmarkEnd w:id="9"/>
      <w:bookmarkEnd w:id="15"/>
      <w:bookmarkEnd w:id="16"/>
    </w:p>
    <w:p w14:paraId="5482F0DD" w14:textId="5BFF851A" w:rsidR="002E62FE" w:rsidRPr="00806D2D" w:rsidRDefault="002E62FE" w:rsidP="007C6DA0">
      <w:pPr>
        <w:pStyle w:val="ListParagraph"/>
        <w:numPr>
          <w:ilvl w:val="0"/>
          <w:numId w:val="1"/>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rFonts w:ascii="Times New Roman" w:hAnsi="Times New Roman"/>
          <w:color w:val="000000" w:themeColor="text1"/>
        </w:rPr>
      </w:pPr>
      <w:r w:rsidRPr="005E1CDA">
        <w:rPr>
          <w:rFonts w:ascii="Times New Roman" w:hAnsi="Times New Roman"/>
          <w:color w:val="000000" w:themeColor="text1"/>
        </w:rPr>
        <w:t>The</w:t>
      </w:r>
      <w:r w:rsidRPr="00806D2D">
        <w:rPr>
          <w:rFonts w:ascii="Times New Roman" w:hAnsi="Times New Roman"/>
          <w:color w:val="000000" w:themeColor="text1"/>
        </w:rPr>
        <w:t xml:space="preserve"> participants </w:t>
      </w:r>
      <w:r w:rsidR="00C872E1">
        <w:rPr>
          <w:rFonts w:ascii="Times New Roman" w:hAnsi="Times New Roman"/>
          <w:color w:val="000000" w:themeColor="text1"/>
        </w:rPr>
        <w:t>were</w:t>
      </w:r>
      <w:r w:rsidRPr="00806D2D">
        <w:rPr>
          <w:rFonts w:ascii="Times New Roman" w:hAnsi="Times New Roman"/>
          <w:color w:val="000000" w:themeColor="text1"/>
        </w:rPr>
        <w:t xml:space="preserve"> members of the </w:t>
      </w:r>
      <w:r>
        <w:rPr>
          <w:rFonts w:ascii="Times New Roman" w:hAnsi="Times New Roman"/>
          <w:color w:val="000000" w:themeColor="text1"/>
        </w:rPr>
        <w:t xml:space="preserve">Men’s Basketball squad at the </w:t>
      </w:r>
      <w:r w:rsidRPr="00806D2D">
        <w:rPr>
          <w:rFonts w:ascii="Times New Roman" w:hAnsi="Times New Roman"/>
          <w:color w:val="000000" w:themeColor="text1"/>
        </w:rPr>
        <w:t>University of Oklahoma</w:t>
      </w:r>
      <w:r>
        <w:rPr>
          <w:rFonts w:ascii="Times New Roman" w:hAnsi="Times New Roman"/>
          <w:color w:val="000000" w:themeColor="text1"/>
        </w:rPr>
        <w:t>.</w:t>
      </w:r>
    </w:p>
    <w:p w14:paraId="3E5F32C4" w14:textId="265C88C0" w:rsidR="002E62FE" w:rsidRPr="00806D2D" w:rsidRDefault="002E62FE" w:rsidP="007C6DA0">
      <w:pPr>
        <w:pStyle w:val="ListParagraph"/>
        <w:numPr>
          <w:ilvl w:val="0"/>
          <w:numId w:val="1"/>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rFonts w:ascii="Times New Roman" w:hAnsi="Times New Roman"/>
          <w:color w:val="000000" w:themeColor="text1"/>
        </w:rPr>
      </w:pPr>
      <w:r w:rsidRPr="00806D2D">
        <w:rPr>
          <w:rFonts w:ascii="Times New Roman" w:hAnsi="Times New Roman"/>
          <w:color w:val="000000" w:themeColor="text1"/>
        </w:rPr>
        <w:t xml:space="preserve">Participants </w:t>
      </w:r>
      <w:r w:rsidR="00C872E1">
        <w:rPr>
          <w:rFonts w:ascii="Times New Roman" w:hAnsi="Times New Roman"/>
          <w:color w:val="000000" w:themeColor="text1"/>
        </w:rPr>
        <w:t>were</w:t>
      </w:r>
      <w:r w:rsidRPr="00806D2D">
        <w:rPr>
          <w:rFonts w:ascii="Times New Roman" w:hAnsi="Times New Roman"/>
          <w:color w:val="000000" w:themeColor="text1"/>
        </w:rPr>
        <w:t xml:space="preserve"> between 18 and 2</w:t>
      </w:r>
      <w:r w:rsidR="003A5135">
        <w:rPr>
          <w:rFonts w:ascii="Times New Roman" w:hAnsi="Times New Roman"/>
          <w:color w:val="000000" w:themeColor="text1"/>
        </w:rPr>
        <w:t>5</w:t>
      </w:r>
      <w:r w:rsidRPr="00806D2D">
        <w:rPr>
          <w:rFonts w:ascii="Times New Roman" w:hAnsi="Times New Roman"/>
          <w:color w:val="000000" w:themeColor="text1"/>
        </w:rPr>
        <w:t xml:space="preserve"> years of age. </w:t>
      </w:r>
    </w:p>
    <w:p w14:paraId="652B52EE" w14:textId="3C7C64D8" w:rsidR="002E62FE" w:rsidRPr="00AC722B" w:rsidRDefault="002E62FE" w:rsidP="007C6DA0">
      <w:pPr>
        <w:pStyle w:val="ListParagraph"/>
        <w:numPr>
          <w:ilvl w:val="0"/>
          <w:numId w:val="1"/>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rFonts w:ascii="Times New Roman" w:hAnsi="Times New Roman"/>
          <w:b/>
          <w:bCs/>
          <w:color w:val="000000" w:themeColor="text1"/>
        </w:rPr>
      </w:pPr>
      <w:r w:rsidRPr="00806D2D">
        <w:rPr>
          <w:rFonts w:ascii="Times New Roman" w:hAnsi="Times New Roman"/>
          <w:color w:val="000000" w:themeColor="text1"/>
        </w:rPr>
        <w:t xml:space="preserve">Participants </w:t>
      </w:r>
      <w:r w:rsidR="00C872E1">
        <w:rPr>
          <w:rFonts w:ascii="Times New Roman" w:hAnsi="Times New Roman"/>
          <w:color w:val="000000" w:themeColor="text1"/>
        </w:rPr>
        <w:t>were</w:t>
      </w:r>
      <w:r w:rsidRPr="00806D2D">
        <w:rPr>
          <w:rFonts w:ascii="Times New Roman" w:hAnsi="Times New Roman"/>
          <w:color w:val="000000" w:themeColor="text1"/>
        </w:rPr>
        <w:t xml:space="preserve"> free of recent musculoskeletal injury. </w:t>
      </w:r>
    </w:p>
    <w:p w14:paraId="0C7A7548" w14:textId="401EBBCC" w:rsidR="00AC722B" w:rsidRPr="00AC722B" w:rsidRDefault="00AC722B" w:rsidP="007C6DA0">
      <w:pPr>
        <w:pStyle w:val="ListParagraph"/>
        <w:numPr>
          <w:ilvl w:val="0"/>
          <w:numId w:val="1"/>
        </w:numPr>
        <w:jc w:val="both"/>
        <w:rPr>
          <w:rFonts w:ascii="Times New Roman" w:hAnsi="Times New Roman"/>
        </w:rPr>
      </w:pPr>
      <w:r w:rsidRPr="00AC722B">
        <w:rPr>
          <w:rFonts w:ascii="Times New Roman" w:hAnsi="Times New Roman"/>
        </w:rPr>
        <w:t xml:space="preserve">Basketball training sessions were performed in the team setting to maximize ecological validity. </w:t>
      </w:r>
    </w:p>
    <w:p w14:paraId="4A196A79" w14:textId="0DC20BBA" w:rsidR="002E62FE" w:rsidRDefault="002E62FE" w:rsidP="00F829B9">
      <w:pPr>
        <w:pStyle w:val="Heading2"/>
      </w:pPr>
      <w:bookmarkStart w:id="17" w:name="_Toc39490154"/>
      <w:bookmarkStart w:id="18" w:name="_Toc78279731"/>
      <w:bookmarkStart w:id="19" w:name="_Toc99267601"/>
      <w:r w:rsidRPr="008A7A65">
        <w:lastRenderedPageBreak/>
        <w:t>Limitations</w:t>
      </w:r>
      <w:bookmarkEnd w:id="17"/>
      <w:bookmarkEnd w:id="18"/>
      <w:bookmarkEnd w:id="19"/>
    </w:p>
    <w:p w14:paraId="4C168104" w14:textId="32A12ACD" w:rsidR="002E62FE" w:rsidRPr="00806D2D" w:rsidRDefault="002E62FE" w:rsidP="007C6DA0">
      <w:pPr>
        <w:pStyle w:val="ListParagraph"/>
        <w:numPr>
          <w:ilvl w:val="0"/>
          <w:numId w:val="2"/>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rFonts w:ascii="Times New Roman" w:hAnsi="Times New Roman"/>
          <w:color w:val="000000" w:themeColor="text1"/>
        </w:rPr>
      </w:pPr>
      <w:r w:rsidRPr="005E1CDA">
        <w:rPr>
          <w:rFonts w:ascii="Times New Roman" w:hAnsi="Times New Roman"/>
          <w:color w:val="000000" w:themeColor="text1"/>
        </w:rPr>
        <w:t xml:space="preserve">Participants enrolled in this </w:t>
      </w:r>
      <w:r w:rsidR="00EF1615">
        <w:rPr>
          <w:rFonts w:ascii="Times New Roman" w:hAnsi="Times New Roman"/>
          <w:color w:val="000000" w:themeColor="text1"/>
        </w:rPr>
        <w:t xml:space="preserve">retrospective </w:t>
      </w:r>
      <w:r w:rsidRPr="005E1CDA">
        <w:rPr>
          <w:rFonts w:ascii="Times New Roman" w:hAnsi="Times New Roman"/>
          <w:color w:val="000000" w:themeColor="text1"/>
        </w:rPr>
        <w:t xml:space="preserve">study </w:t>
      </w:r>
      <w:r w:rsidR="00C872E1">
        <w:rPr>
          <w:rFonts w:ascii="Times New Roman" w:hAnsi="Times New Roman"/>
          <w:color w:val="000000" w:themeColor="text1"/>
        </w:rPr>
        <w:t>were</w:t>
      </w:r>
      <w:r w:rsidRPr="00806D2D">
        <w:rPr>
          <w:rFonts w:ascii="Times New Roman" w:hAnsi="Times New Roman"/>
          <w:color w:val="000000" w:themeColor="text1"/>
        </w:rPr>
        <w:t xml:space="preserve"> of a convenience sample of collegiate basketball players at the University of Oklahoma. </w:t>
      </w:r>
    </w:p>
    <w:p w14:paraId="16606739" w14:textId="2D11FF10" w:rsidR="002E62FE" w:rsidRPr="00806D2D" w:rsidRDefault="002E62FE" w:rsidP="007C6DA0">
      <w:pPr>
        <w:pStyle w:val="ListParagraph"/>
        <w:numPr>
          <w:ilvl w:val="0"/>
          <w:numId w:val="2"/>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rFonts w:ascii="Times New Roman" w:hAnsi="Times New Roman"/>
          <w:color w:val="000000" w:themeColor="text1"/>
        </w:rPr>
      </w:pPr>
      <w:r w:rsidRPr="00806D2D">
        <w:rPr>
          <w:rFonts w:ascii="Times New Roman" w:hAnsi="Times New Roman"/>
          <w:color w:val="000000" w:themeColor="text1"/>
        </w:rPr>
        <w:t xml:space="preserve">These results </w:t>
      </w:r>
      <w:r w:rsidR="00C872E1">
        <w:rPr>
          <w:rFonts w:ascii="Times New Roman" w:hAnsi="Times New Roman"/>
          <w:color w:val="000000" w:themeColor="text1"/>
        </w:rPr>
        <w:t>are</w:t>
      </w:r>
      <w:r w:rsidRPr="00806D2D">
        <w:rPr>
          <w:rFonts w:ascii="Times New Roman" w:hAnsi="Times New Roman"/>
          <w:color w:val="000000" w:themeColor="text1"/>
        </w:rPr>
        <w:t xml:space="preserve"> only generalizable to men’s collegiate basketball players.</w:t>
      </w:r>
    </w:p>
    <w:p w14:paraId="31DA894E" w14:textId="2949ACC7" w:rsidR="002E62FE" w:rsidRPr="000D624E" w:rsidRDefault="002E62FE" w:rsidP="007C6DA0">
      <w:pPr>
        <w:pStyle w:val="ListParagraph"/>
        <w:numPr>
          <w:ilvl w:val="0"/>
          <w:numId w:val="2"/>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rFonts w:ascii="Times New Roman" w:hAnsi="Times New Roman"/>
          <w:b/>
          <w:bCs/>
          <w:color w:val="000000" w:themeColor="text1"/>
        </w:rPr>
      </w:pPr>
      <w:r w:rsidRPr="00806D2D">
        <w:rPr>
          <w:rFonts w:ascii="Times New Roman" w:hAnsi="Times New Roman"/>
          <w:color w:val="000000" w:themeColor="text1"/>
        </w:rPr>
        <w:t>Dietary compliance w</w:t>
      </w:r>
      <w:r w:rsidR="00C872E1">
        <w:rPr>
          <w:rFonts w:ascii="Times New Roman" w:hAnsi="Times New Roman"/>
          <w:color w:val="000000" w:themeColor="text1"/>
        </w:rPr>
        <w:t>as</w:t>
      </w:r>
      <w:r w:rsidRPr="00806D2D">
        <w:rPr>
          <w:rFonts w:ascii="Times New Roman" w:hAnsi="Times New Roman"/>
          <w:color w:val="000000" w:themeColor="text1"/>
        </w:rPr>
        <w:t xml:space="preserve"> not controlled</w:t>
      </w:r>
      <w:r w:rsidR="0098314C">
        <w:rPr>
          <w:rFonts w:ascii="Times New Roman" w:hAnsi="Times New Roman"/>
          <w:color w:val="000000" w:themeColor="text1"/>
        </w:rPr>
        <w:t xml:space="preserve"> outside of the testing environment</w:t>
      </w:r>
      <w:r w:rsidRPr="00806D2D">
        <w:rPr>
          <w:rFonts w:ascii="Times New Roman" w:hAnsi="Times New Roman"/>
          <w:color w:val="000000" w:themeColor="text1"/>
        </w:rPr>
        <w:t>.</w:t>
      </w:r>
    </w:p>
    <w:p w14:paraId="27D2431D" w14:textId="1BB1E9D4" w:rsidR="002E62FE" w:rsidRDefault="002E62FE" w:rsidP="00F829B9">
      <w:pPr>
        <w:pStyle w:val="Heading2"/>
      </w:pPr>
      <w:bookmarkStart w:id="20" w:name="_Toc39490155"/>
      <w:bookmarkStart w:id="21" w:name="_Toc78279732"/>
      <w:bookmarkStart w:id="22" w:name="_Toc99267602"/>
      <w:r w:rsidRPr="008A7A65">
        <w:t>Assumptions</w:t>
      </w:r>
      <w:bookmarkEnd w:id="20"/>
      <w:bookmarkEnd w:id="21"/>
      <w:bookmarkEnd w:id="22"/>
    </w:p>
    <w:p w14:paraId="486577D7" w14:textId="0E79C1C3" w:rsidR="002E62FE" w:rsidRPr="00806D2D" w:rsidRDefault="002E62FE" w:rsidP="007C6DA0">
      <w:pPr>
        <w:pStyle w:val="ListParagraph"/>
        <w:numPr>
          <w:ilvl w:val="0"/>
          <w:numId w:val="3"/>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rFonts w:ascii="Times New Roman" w:hAnsi="Times New Roman"/>
          <w:bCs/>
          <w:color w:val="000000" w:themeColor="text1"/>
        </w:rPr>
      </w:pPr>
      <w:r w:rsidRPr="005E1CDA">
        <w:rPr>
          <w:rFonts w:ascii="Times New Roman" w:hAnsi="Times New Roman"/>
          <w:bCs/>
          <w:color w:val="000000" w:themeColor="text1"/>
        </w:rPr>
        <w:t xml:space="preserve">Participants </w:t>
      </w:r>
      <w:r w:rsidR="00C872E1">
        <w:rPr>
          <w:rFonts w:ascii="Times New Roman" w:hAnsi="Times New Roman"/>
          <w:bCs/>
          <w:color w:val="000000" w:themeColor="text1"/>
        </w:rPr>
        <w:t>gave</w:t>
      </w:r>
      <w:r w:rsidRPr="005E1CDA">
        <w:rPr>
          <w:rFonts w:ascii="Times New Roman" w:hAnsi="Times New Roman"/>
          <w:bCs/>
          <w:color w:val="000000" w:themeColor="text1"/>
        </w:rPr>
        <w:t xml:space="preserve"> maximal effort on </w:t>
      </w:r>
      <w:r w:rsidR="000F3BA2">
        <w:rPr>
          <w:rFonts w:ascii="Times New Roman" w:hAnsi="Times New Roman"/>
          <w:bCs/>
          <w:color w:val="000000" w:themeColor="text1"/>
        </w:rPr>
        <w:t xml:space="preserve">countermovement </w:t>
      </w:r>
      <w:r w:rsidRPr="005E1CDA">
        <w:rPr>
          <w:rFonts w:ascii="Times New Roman" w:hAnsi="Times New Roman"/>
          <w:bCs/>
          <w:color w:val="000000" w:themeColor="text1"/>
        </w:rPr>
        <w:t>tes</w:t>
      </w:r>
      <w:r w:rsidRPr="00806D2D">
        <w:rPr>
          <w:rFonts w:ascii="Times New Roman" w:hAnsi="Times New Roman"/>
          <w:bCs/>
          <w:color w:val="000000" w:themeColor="text1"/>
        </w:rPr>
        <w:t>ting.</w:t>
      </w:r>
    </w:p>
    <w:p w14:paraId="363C7ED6" w14:textId="6E9BD97C" w:rsidR="002E62FE" w:rsidRPr="00834C78" w:rsidRDefault="002E62FE" w:rsidP="007C6DA0">
      <w:pPr>
        <w:pStyle w:val="ListParagraph"/>
        <w:numPr>
          <w:ilvl w:val="0"/>
          <w:numId w:val="3"/>
        </w:numPr>
        <w:tabs>
          <w:tab w:val="left" w:pos="-36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rFonts w:ascii="Times New Roman" w:hAnsi="Times New Roman"/>
          <w:color w:val="000000" w:themeColor="text1"/>
        </w:rPr>
      </w:pPr>
      <w:r w:rsidRPr="00806D2D">
        <w:rPr>
          <w:rFonts w:ascii="Times New Roman" w:hAnsi="Times New Roman"/>
          <w:bCs/>
          <w:color w:val="000000" w:themeColor="text1"/>
        </w:rPr>
        <w:t xml:space="preserve">Participants </w:t>
      </w:r>
      <w:r w:rsidR="00834C78">
        <w:rPr>
          <w:rFonts w:ascii="Times New Roman" w:hAnsi="Times New Roman"/>
          <w:bCs/>
          <w:color w:val="000000" w:themeColor="text1"/>
        </w:rPr>
        <w:t>maintain</w:t>
      </w:r>
      <w:r w:rsidR="00C872E1">
        <w:rPr>
          <w:rFonts w:ascii="Times New Roman" w:hAnsi="Times New Roman"/>
          <w:bCs/>
          <w:color w:val="000000" w:themeColor="text1"/>
        </w:rPr>
        <w:t>ed</w:t>
      </w:r>
      <w:r w:rsidRPr="00806D2D">
        <w:rPr>
          <w:rFonts w:ascii="Times New Roman" w:hAnsi="Times New Roman"/>
          <w:bCs/>
          <w:color w:val="000000" w:themeColor="text1"/>
        </w:rPr>
        <w:t xml:space="preserve"> normal dietary intake </w:t>
      </w:r>
      <w:r w:rsidR="00834C78">
        <w:rPr>
          <w:rFonts w:ascii="Times New Roman" w:hAnsi="Times New Roman"/>
          <w:bCs/>
          <w:color w:val="000000" w:themeColor="text1"/>
        </w:rPr>
        <w:t>governed</w:t>
      </w:r>
      <w:r w:rsidRPr="00806D2D">
        <w:rPr>
          <w:rFonts w:ascii="Times New Roman" w:hAnsi="Times New Roman"/>
          <w:bCs/>
          <w:color w:val="000000" w:themeColor="text1"/>
        </w:rPr>
        <w:t xml:space="preserve"> by the team’s sport </w:t>
      </w:r>
      <w:r w:rsidR="000F3BA2">
        <w:rPr>
          <w:rFonts w:ascii="Times New Roman" w:hAnsi="Times New Roman"/>
          <w:bCs/>
          <w:color w:val="000000" w:themeColor="text1"/>
        </w:rPr>
        <w:t>dietician</w:t>
      </w:r>
      <w:r w:rsidRPr="00806D2D">
        <w:rPr>
          <w:rFonts w:ascii="Times New Roman" w:hAnsi="Times New Roman"/>
          <w:bCs/>
          <w:color w:val="000000" w:themeColor="text1"/>
        </w:rPr>
        <w:t>.</w:t>
      </w:r>
    </w:p>
    <w:p w14:paraId="736FA70C" w14:textId="7E3231D9" w:rsidR="00834C78" w:rsidRPr="00834C78" w:rsidRDefault="00834C78" w:rsidP="007C6DA0">
      <w:pPr>
        <w:pStyle w:val="ListParagraph"/>
        <w:numPr>
          <w:ilvl w:val="0"/>
          <w:numId w:val="3"/>
        </w:numPr>
        <w:jc w:val="both"/>
        <w:rPr>
          <w:rFonts w:ascii="Times New Roman" w:hAnsi="Times New Roman"/>
        </w:rPr>
      </w:pPr>
      <w:r w:rsidRPr="00834C78">
        <w:rPr>
          <w:rFonts w:ascii="Times New Roman" w:hAnsi="Times New Roman"/>
        </w:rPr>
        <w:t>Participants only consume</w:t>
      </w:r>
      <w:r w:rsidR="00C872E1">
        <w:rPr>
          <w:rFonts w:ascii="Times New Roman" w:hAnsi="Times New Roman"/>
        </w:rPr>
        <w:t>d</w:t>
      </w:r>
      <w:r w:rsidRPr="00834C78">
        <w:rPr>
          <w:rFonts w:ascii="Times New Roman" w:hAnsi="Times New Roman"/>
        </w:rPr>
        <w:t xml:space="preserve"> water 60 minutes prior to all salivary sample collection. </w:t>
      </w:r>
    </w:p>
    <w:p w14:paraId="1B949326" w14:textId="0D80ADB0" w:rsidR="00194824" w:rsidRDefault="00194824" w:rsidP="00F829B9">
      <w:pPr>
        <w:pStyle w:val="Heading2"/>
      </w:pPr>
      <w:bookmarkStart w:id="23" w:name="_Toc78279733"/>
      <w:bookmarkStart w:id="24" w:name="_Toc99267603"/>
      <w:r>
        <w:t>Operational Definitions</w:t>
      </w:r>
      <w:bookmarkEnd w:id="23"/>
      <w:bookmarkEnd w:id="24"/>
    </w:p>
    <w:p w14:paraId="30251CAD" w14:textId="4596E5B4" w:rsidR="00C22987" w:rsidRDefault="00C22987" w:rsidP="00530F9A">
      <w:pPr>
        <w:pStyle w:val="ListParagraph"/>
        <w:numPr>
          <w:ilvl w:val="0"/>
          <w:numId w:val="11"/>
        </w:numPr>
        <w:jc w:val="both"/>
        <w:rPr>
          <w:rFonts w:ascii="Times New Roman" w:hAnsi="Times New Roman"/>
        </w:rPr>
      </w:pPr>
      <w:r w:rsidRPr="00C22987">
        <w:rPr>
          <w:rFonts w:ascii="Times New Roman" w:hAnsi="Times New Roman"/>
          <w:b/>
        </w:rPr>
        <w:t>Concentric Mean Force</w:t>
      </w:r>
      <w:r w:rsidRPr="00C22987">
        <w:rPr>
          <w:rFonts w:ascii="Times New Roman" w:hAnsi="Times New Roman"/>
        </w:rPr>
        <w:t xml:space="preserve"> </w:t>
      </w:r>
      <w:r w:rsidRPr="00F4549E">
        <w:rPr>
          <w:rFonts w:ascii="Times New Roman" w:hAnsi="Times New Roman"/>
          <w:b/>
          <w:bCs/>
        </w:rPr>
        <w:t>[N] (</w:t>
      </w:r>
      <w:proofErr w:type="spellStart"/>
      <w:r w:rsidRPr="00F4549E">
        <w:rPr>
          <w:rFonts w:ascii="Times New Roman" w:hAnsi="Times New Roman"/>
          <w:b/>
          <w:bCs/>
        </w:rPr>
        <w:t>ConcMF</w:t>
      </w:r>
      <w:proofErr w:type="spellEnd"/>
      <w:r w:rsidRPr="00F4549E">
        <w:rPr>
          <w:rFonts w:ascii="Times New Roman" w:hAnsi="Times New Roman"/>
          <w:b/>
          <w:bCs/>
        </w:rPr>
        <w:t>):</w:t>
      </w:r>
      <w:r w:rsidRPr="00C22987">
        <w:rPr>
          <w:rFonts w:ascii="Times New Roman" w:hAnsi="Times New Roman"/>
        </w:rPr>
        <w:t xml:space="preserve"> Mean force during the concentric p</w:t>
      </w:r>
      <w:r>
        <w:rPr>
          <w:rFonts w:ascii="Times New Roman" w:hAnsi="Times New Roman"/>
        </w:rPr>
        <w:t xml:space="preserve">hase </w:t>
      </w:r>
      <w:r>
        <w:rPr>
          <w:rFonts w:ascii="Times New Roman" w:hAnsi="Times New Roman"/>
        </w:rPr>
        <w:fldChar w:fldCharType="begin"/>
      </w:r>
      <w:r w:rsidR="00A05ADB">
        <w:rPr>
          <w:rFonts w:ascii="Times New Roman" w:hAnsi="Times New Roman"/>
        </w:rPr>
        <w:instrText xml:space="preserve"> ADDIN ZOTERO_ITEM CSL_CITATION {"citationID":"S55mUufr","properties":{"formattedCitation":"(A. Heishman, Daub, et al., 2020; A. Heishman et al., 2019)","plainCitation":"(A. Heishman, Daub, et al., 2020; A. Heishman et al., 2019)","noteIndex":0},"citationItems":[{"id":70,"uris":["http://zotero.org/users/6327055/items/E8G29XZE"],"itemData":{"id":70,"type":"article-journal","abstract":"The purpose of the present study was to establish the intrasession and intersession reliability of variables obtained from a force plate that was used to quantitate lower extremity inter-limb asymmetry during the bilateral countermovement jump (CMJ). Secondarily, a comparison was performed to determine the inﬂuence of the jump protocol CMJ with or without an arm swing (CMJ AS and CMJ NAS, respectively) on inter-limb asymmetries. Twenty-two collegiate basketball players performed three CMJ AS and three CMJ NAS on dual force platforms during two separate testing sessions. A majority of variables met the acceptable criterion of intersession and intrasession relative reliability (ICC &gt; 0.700), while fewer than half met standards established for absolute reliability (CV &lt; 10%). CMJ protocol appeared to inﬂuence asymmetries; Concentric Impulse-100 ms, Eccentric Braking Rate of Force Development, Eccentric Deceleration, and Force at Zero velocity were signiﬁcantly di</w:instrText>
      </w:r>
      <w:r w:rsidR="00A05ADB">
        <w:rPr>
          <w:rFonts w:ascii="Cambria Math" w:hAnsi="Cambria Math" w:cs="Cambria Math"/>
        </w:rPr>
        <w:instrText>↵</w:instrText>
      </w:r>
      <w:r w:rsidR="00A05ADB">
        <w:rPr>
          <w:rFonts w:ascii="Times New Roman" w:hAnsi="Times New Roman"/>
        </w:rPr>
        <w:instrText>erent between jumping conditions (CMJAS versus CMJ NAS; p &lt; 0.05). The present data establish the reliability and smallest worthwhile change of inter-limb asymmetries during the CMJ, while also identifying the inﬂuence of CMJ protocol on inter-limb asymmetries, which can be useful to practitioners and clinicians in order to e</w:instrText>
      </w:r>
      <w:r w:rsidR="00A05ADB">
        <w:rPr>
          <w:rFonts w:ascii="Cambria Math" w:hAnsi="Cambria Math" w:cs="Cambria Math"/>
        </w:rPr>
        <w:instrText>↵</w:instrText>
      </w:r>
      <w:r w:rsidR="00A05ADB">
        <w:rPr>
          <w:rFonts w:ascii="Times New Roman" w:hAnsi="Times New Roman"/>
        </w:rPr>
        <w:instrText xml:space="preserve">ectively monitor changes associated with performance, injury risk, and return-to-play strategies.","container-title":"Sports","DOI":"10.3390/sports7050103","ISSN":"2075-4663","issue":"5","journalAbbreviation":"Sports","language":"en","page":"103","source":"DOI.org (Crossref)","title":"Countermovement jump inter-limb asymmetries in collegiate basketball players","volume":"7","author":[{"family":"Heishman","given":"Aaron"},{"family":"Daub","given":"Bryce"},{"family":"Miller","given":"Ryan"},{"family":"Brown","given":"Brady"},{"family":"Freitas","given":"Eduardo"},{"family":"Bemben","given":"Michael"}],"issued":{"date-parts":[["2019",4,30]]}}},{"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Pr>
          <w:rFonts w:ascii="Times New Roman" w:hAnsi="Times New Roman"/>
        </w:rPr>
        <w:fldChar w:fldCharType="separate"/>
      </w:r>
      <w:r w:rsidR="00A05ADB">
        <w:rPr>
          <w:rFonts w:ascii="Times New Roman" w:hAnsi="Times New Roman"/>
          <w:noProof/>
        </w:rPr>
        <w:t>(A. Heishman, Daub, et al., 2020; A. Heishman et al., 2019)</w:t>
      </w:r>
      <w:r>
        <w:rPr>
          <w:rFonts w:ascii="Times New Roman" w:hAnsi="Times New Roman"/>
        </w:rPr>
        <w:fldChar w:fldCharType="end"/>
      </w:r>
      <w:r>
        <w:rPr>
          <w:rFonts w:ascii="Times New Roman" w:hAnsi="Times New Roman"/>
        </w:rPr>
        <w:t>.</w:t>
      </w:r>
    </w:p>
    <w:p w14:paraId="78DF8EFE" w14:textId="000A5902" w:rsidR="00C22987" w:rsidRDefault="00C22987" w:rsidP="00530F9A">
      <w:pPr>
        <w:pStyle w:val="ListParagraph"/>
        <w:numPr>
          <w:ilvl w:val="0"/>
          <w:numId w:val="11"/>
        </w:numPr>
        <w:jc w:val="both"/>
        <w:rPr>
          <w:rFonts w:ascii="Times New Roman" w:hAnsi="Times New Roman"/>
        </w:rPr>
      </w:pPr>
      <w:r>
        <w:rPr>
          <w:rFonts w:ascii="Times New Roman" w:hAnsi="Times New Roman"/>
          <w:b/>
        </w:rPr>
        <w:t>Co</w:t>
      </w:r>
      <w:r w:rsidRPr="00C22987">
        <w:rPr>
          <w:rFonts w:ascii="Times New Roman" w:hAnsi="Times New Roman"/>
          <w:b/>
        </w:rPr>
        <w:t>ncentric Mean Power</w:t>
      </w:r>
      <w:r w:rsidRPr="00C22987">
        <w:rPr>
          <w:rFonts w:ascii="Times New Roman" w:hAnsi="Times New Roman"/>
        </w:rPr>
        <w:t xml:space="preserve"> </w:t>
      </w:r>
      <w:r w:rsidRPr="00F4549E">
        <w:rPr>
          <w:rFonts w:ascii="Times New Roman" w:hAnsi="Times New Roman"/>
          <w:b/>
          <w:bCs/>
        </w:rPr>
        <w:t>[W] (</w:t>
      </w:r>
      <w:proofErr w:type="spellStart"/>
      <w:r w:rsidRPr="00F4549E">
        <w:rPr>
          <w:rFonts w:ascii="Times New Roman" w:hAnsi="Times New Roman"/>
          <w:b/>
          <w:bCs/>
        </w:rPr>
        <w:t>ConcMP</w:t>
      </w:r>
      <w:proofErr w:type="spellEnd"/>
      <w:r w:rsidRPr="00F4549E">
        <w:rPr>
          <w:rFonts w:ascii="Times New Roman" w:hAnsi="Times New Roman"/>
          <w:b/>
          <w:bCs/>
        </w:rPr>
        <w:t>):</w:t>
      </w:r>
      <w:r w:rsidRPr="00C22987">
        <w:rPr>
          <w:rFonts w:ascii="Times New Roman" w:hAnsi="Times New Roman"/>
        </w:rPr>
        <w:t xml:space="preserve"> Mean power during the concentric phase</w:t>
      </w:r>
      <w:r>
        <w:rPr>
          <w:rFonts w:ascii="Times New Roman" w:hAnsi="Times New Roman"/>
        </w:rPr>
        <w:t xml:space="preserve"> </w:t>
      </w:r>
      <w:r>
        <w:rPr>
          <w:rFonts w:ascii="Times New Roman" w:hAnsi="Times New Roman"/>
        </w:rPr>
        <w:fldChar w:fldCharType="begin"/>
      </w:r>
      <w:r w:rsidR="00A05ADB">
        <w:rPr>
          <w:rFonts w:ascii="Times New Roman" w:hAnsi="Times New Roman"/>
        </w:rPr>
        <w:instrText xml:space="preserve"> ADDIN ZOTERO_ITEM CSL_CITATION {"citationID":"8bBiQ4wZ","properties":{"formattedCitation":"(A. Heishman, Daub, et al., 2020; A. Heishman et al., 2019)","plainCitation":"(A. Heishman, Daub, et al., 2020; A. Heishman et al., 2019)","noteIndex":0},"citationItems":[{"id":70,"uris":["http://zotero.org/users/6327055/items/E8G29XZE"],"itemData":{"id":70,"type":"article-journal","abstract":"The purpose of the present study was to establish the intrasession and intersession reliability of variables obtained from a force plate that was used to quantitate lower extremity inter-limb asymmetry during the bilateral countermovement jump (CMJ). Secondarily, a comparison was performed to determine the inﬂuence of the jump protocol CMJ with or without an arm swing (CMJ AS and CMJ NAS, respectively) on inter-limb asymmetries. Twenty-two collegiate basketball players performed three CMJ AS and three CMJ NAS on dual force platforms during two separate testing sessions. A majority of variables met the acceptable criterion of intersession and intrasession relative reliability (ICC &gt; 0.700), while fewer than half met standards established for absolute reliability (CV &lt; 10%). CMJ protocol appeared to inﬂuence asymmetries; Concentric Impulse-100 ms, Eccentric Braking Rate of Force Development, Eccentric Deceleration, and Force at Zero velocity were signiﬁcantly di</w:instrText>
      </w:r>
      <w:r w:rsidR="00A05ADB">
        <w:rPr>
          <w:rFonts w:ascii="Cambria Math" w:hAnsi="Cambria Math" w:cs="Cambria Math"/>
        </w:rPr>
        <w:instrText>↵</w:instrText>
      </w:r>
      <w:r w:rsidR="00A05ADB">
        <w:rPr>
          <w:rFonts w:ascii="Times New Roman" w:hAnsi="Times New Roman"/>
        </w:rPr>
        <w:instrText>erent between jumping conditions (CMJAS versus CMJ NAS; p &lt; 0.05). The present data establish the reliability and smallest worthwhile change of inter-limb asymmetries during the CMJ, while also identifying the inﬂuence of CMJ protocol on inter-limb asymmetries, which can be useful to practitioners and clinicians in order to e</w:instrText>
      </w:r>
      <w:r w:rsidR="00A05ADB">
        <w:rPr>
          <w:rFonts w:ascii="Cambria Math" w:hAnsi="Cambria Math" w:cs="Cambria Math"/>
        </w:rPr>
        <w:instrText>↵</w:instrText>
      </w:r>
      <w:r w:rsidR="00A05ADB">
        <w:rPr>
          <w:rFonts w:ascii="Times New Roman" w:hAnsi="Times New Roman"/>
        </w:rPr>
        <w:instrText xml:space="preserve">ectively monitor changes associated with performance, injury risk, and return-to-play strategies.","container-title":"Sports","DOI":"10.3390/sports7050103","ISSN":"2075-4663","issue":"5","journalAbbreviation":"Sports","language":"en","page":"103","source":"DOI.org (Crossref)","title":"Countermovement jump inter-limb asymmetries in collegiate basketball players","volume":"7","author":[{"family":"Heishman","given":"Aaron"},{"family":"Daub","given":"Bryce"},{"family":"Miller","given":"Ryan"},{"family":"Brown","given":"Brady"},{"family":"Freitas","given":"Eduardo"},{"family":"Bemben","given":"Michael"}],"issued":{"date-parts":[["2019",4,30]]}}},{"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Pr>
          <w:rFonts w:ascii="Times New Roman" w:hAnsi="Times New Roman"/>
        </w:rPr>
        <w:fldChar w:fldCharType="separate"/>
      </w:r>
      <w:r w:rsidR="00A05ADB">
        <w:rPr>
          <w:rFonts w:ascii="Times New Roman" w:hAnsi="Times New Roman"/>
          <w:noProof/>
        </w:rPr>
        <w:t>(A. Heishman, Daub, et al., 2020; A. Heishman et al., 2019)</w:t>
      </w:r>
      <w:r>
        <w:rPr>
          <w:rFonts w:ascii="Times New Roman" w:hAnsi="Times New Roman"/>
        </w:rPr>
        <w:fldChar w:fldCharType="end"/>
      </w:r>
      <w:r>
        <w:rPr>
          <w:rFonts w:ascii="Times New Roman" w:hAnsi="Times New Roman"/>
        </w:rPr>
        <w:t>.</w:t>
      </w:r>
    </w:p>
    <w:p w14:paraId="72F6402A" w14:textId="68DA0B55" w:rsidR="00C22987" w:rsidRDefault="00C22987" w:rsidP="00530F9A">
      <w:pPr>
        <w:pStyle w:val="ListParagraph"/>
        <w:numPr>
          <w:ilvl w:val="0"/>
          <w:numId w:val="11"/>
        </w:numPr>
        <w:jc w:val="both"/>
        <w:rPr>
          <w:rFonts w:ascii="Times New Roman" w:hAnsi="Times New Roman"/>
        </w:rPr>
      </w:pPr>
      <w:r>
        <w:rPr>
          <w:rFonts w:ascii="Times New Roman" w:hAnsi="Times New Roman"/>
          <w:b/>
        </w:rPr>
        <w:t>Co</w:t>
      </w:r>
      <w:r w:rsidRPr="00C22987">
        <w:rPr>
          <w:rFonts w:ascii="Times New Roman" w:hAnsi="Times New Roman"/>
          <w:b/>
        </w:rPr>
        <w:t>ncentric Peak Force</w:t>
      </w:r>
      <w:r w:rsidRPr="00C22987">
        <w:rPr>
          <w:rFonts w:ascii="Times New Roman" w:hAnsi="Times New Roman"/>
        </w:rPr>
        <w:t xml:space="preserve"> </w:t>
      </w:r>
      <w:r w:rsidRPr="00F4549E">
        <w:rPr>
          <w:rFonts w:ascii="Times New Roman" w:hAnsi="Times New Roman"/>
          <w:b/>
          <w:bCs/>
        </w:rPr>
        <w:t>[N] (</w:t>
      </w:r>
      <w:proofErr w:type="spellStart"/>
      <w:r w:rsidRPr="00F4549E">
        <w:rPr>
          <w:rFonts w:ascii="Times New Roman" w:hAnsi="Times New Roman"/>
          <w:b/>
          <w:bCs/>
        </w:rPr>
        <w:t>ConcPF</w:t>
      </w:r>
      <w:proofErr w:type="spellEnd"/>
      <w:r w:rsidRPr="00F4549E">
        <w:rPr>
          <w:rFonts w:ascii="Times New Roman" w:hAnsi="Times New Roman"/>
          <w:b/>
          <w:bCs/>
        </w:rPr>
        <w:t>):</w:t>
      </w:r>
      <w:r w:rsidRPr="00C22987">
        <w:rPr>
          <w:rFonts w:ascii="Times New Roman" w:hAnsi="Times New Roman"/>
        </w:rPr>
        <w:t xml:space="preserve"> Greatest force achieved during the concentric phase</w:t>
      </w:r>
      <w:r>
        <w:rPr>
          <w:rFonts w:ascii="Times New Roman" w:hAnsi="Times New Roman"/>
        </w:rPr>
        <w:t xml:space="preserve"> </w:t>
      </w:r>
      <w:r>
        <w:rPr>
          <w:rFonts w:ascii="Times New Roman" w:hAnsi="Times New Roman"/>
        </w:rPr>
        <w:fldChar w:fldCharType="begin"/>
      </w:r>
      <w:r w:rsidR="00A05ADB">
        <w:rPr>
          <w:rFonts w:ascii="Times New Roman" w:hAnsi="Times New Roman"/>
        </w:rPr>
        <w:instrText xml:space="preserve"> ADDIN ZOTERO_ITEM CSL_CITATION {"citationID":"wO0URpkc","properties":{"formattedCitation":"(A. Heishman, Daub, et al., 2020; A. Heishman et al., 2019)","plainCitation":"(A. Heishman, Daub, et al., 2020; A. Heishman et al., 2019)","noteIndex":0},"citationItems":[{"id":70,"uris":["http://zotero.org/users/6327055/items/E8G29XZE"],"itemData":{"id":70,"type":"article-journal","abstract":"The purpose of the present study was to establish the intrasession and intersession reliability of variables obtained from a force plate that was used to quantitate lower extremity inter-limb asymmetry during the bilateral countermovement jump (CMJ). Secondarily, a comparison was performed to determine the inﬂuence of the jump protocol CMJ with or without an arm swing (CMJ AS and CMJ NAS, respectively) on inter-limb asymmetries. Twenty-two collegiate basketball players performed three CMJ AS and three CMJ NAS on dual force platforms during two separate testing sessions. A majority of variables met the acceptable criterion of intersession and intrasession relative reliability (ICC &gt; 0.700), while fewer than half met standards established for absolute reliability (CV &lt; 10%). CMJ protocol appeared to inﬂuence asymmetries; Concentric Impulse-100 ms, Eccentric Braking Rate of Force Development, Eccentric Deceleration, and Force at Zero velocity were signiﬁcantly di</w:instrText>
      </w:r>
      <w:r w:rsidR="00A05ADB">
        <w:rPr>
          <w:rFonts w:ascii="Cambria Math" w:hAnsi="Cambria Math" w:cs="Cambria Math"/>
        </w:rPr>
        <w:instrText>↵</w:instrText>
      </w:r>
      <w:r w:rsidR="00A05ADB">
        <w:rPr>
          <w:rFonts w:ascii="Times New Roman" w:hAnsi="Times New Roman"/>
        </w:rPr>
        <w:instrText>erent between jumping conditions (CMJAS versus CMJ NAS; p &lt; 0.05). The present data establish the reliability and smallest worthwhile change of inter-limb asymmetries during the CMJ, while also identifying the inﬂuence of CMJ protocol on inter-limb asymmetries, which can be useful to practitioners and clinicians in order to e</w:instrText>
      </w:r>
      <w:r w:rsidR="00A05ADB">
        <w:rPr>
          <w:rFonts w:ascii="Cambria Math" w:hAnsi="Cambria Math" w:cs="Cambria Math"/>
        </w:rPr>
        <w:instrText>↵</w:instrText>
      </w:r>
      <w:r w:rsidR="00A05ADB">
        <w:rPr>
          <w:rFonts w:ascii="Times New Roman" w:hAnsi="Times New Roman"/>
        </w:rPr>
        <w:instrText xml:space="preserve">ectively monitor changes associated with performance, injury risk, and return-to-play strategies.","container-title":"Sports","DOI":"10.3390/sports7050103","ISSN":"2075-4663","issue":"5","journalAbbreviation":"Sports","language":"en","page":"103","source":"DOI.org (Crossref)","title":"Countermovement jump inter-limb asymmetries in collegiate basketball players","volume":"7","author":[{"family":"Heishman","given":"Aaron"},{"family":"Daub","given":"Bryce"},{"family":"Miller","given":"Ryan"},{"family":"Brown","given":"Brady"},{"family":"Freitas","given":"Eduardo"},{"family":"Bemben","given":"Michael"}],"issued":{"date-parts":[["2019",4,30]]}}},{"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Pr>
          <w:rFonts w:ascii="Times New Roman" w:hAnsi="Times New Roman"/>
        </w:rPr>
        <w:fldChar w:fldCharType="separate"/>
      </w:r>
      <w:r w:rsidR="00A05ADB">
        <w:rPr>
          <w:rFonts w:ascii="Times New Roman" w:hAnsi="Times New Roman"/>
          <w:noProof/>
        </w:rPr>
        <w:t>(A. Heishman, Daub, et al., 2020; A. Heishman et al., 2019)</w:t>
      </w:r>
      <w:r>
        <w:rPr>
          <w:rFonts w:ascii="Times New Roman" w:hAnsi="Times New Roman"/>
        </w:rPr>
        <w:fldChar w:fldCharType="end"/>
      </w:r>
      <w:r w:rsidRPr="00C22987">
        <w:rPr>
          <w:rFonts w:ascii="Times New Roman" w:hAnsi="Times New Roman"/>
        </w:rPr>
        <w:t>.</w:t>
      </w:r>
    </w:p>
    <w:p w14:paraId="515D23CF" w14:textId="04125BAC" w:rsidR="00C22987" w:rsidRPr="00C22987" w:rsidRDefault="00C22987" w:rsidP="00530F9A">
      <w:pPr>
        <w:pStyle w:val="ListParagraph"/>
        <w:numPr>
          <w:ilvl w:val="0"/>
          <w:numId w:val="11"/>
        </w:numPr>
        <w:jc w:val="both"/>
        <w:rPr>
          <w:rFonts w:ascii="Times New Roman" w:hAnsi="Times New Roman"/>
        </w:rPr>
      </w:pPr>
      <w:r w:rsidRPr="00C22987">
        <w:rPr>
          <w:rFonts w:ascii="Times New Roman" w:hAnsi="Times New Roman"/>
          <w:b/>
        </w:rPr>
        <w:t>Contraction Time</w:t>
      </w:r>
      <w:r w:rsidRPr="00C22987">
        <w:rPr>
          <w:rFonts w:ascii="Times New Roman" w:hAnsi="Times New Roman"/>
        </w:rPr>
        <w:t xml:space="preserve"> </w:t>
      </w:r>
      <w:r w:rsidRPr="00F4549E">
        <w:rPr>
          <w:rFonts w:ascii="Times New Roman" w:hAnsi="Times New Roman"/>
          <w:b/>
          <w:bCs/>
        </w:rPr>
        <w:t>[</w:t>
      </w:r>
      <w:proofErr w:type="spellStart"/>
      <w:r w:rsidRPr="00F4549E">
        <w:rPr>
          <w:rFonts w:ascii="Times New Roman" w:hAnsi="Times New Roman"/>
          <w:b/>
          <w:bCs/>
        </w:rPr>
        <w:t>ms</w:t>
      </w:r>
      <w:proofErr w:type="spellEnd"/>
      <w:r w:rsidRPr="00F4549E">
        <w:rPr>
          <w:rFonts w:ascii="Times New Roman" w:hAnsi="Times New Roman"/>
          <w:b/>
          <w:bCs/>
        </w:rPr>
        <w:t>] (CT):</w:t>
      </w:r>
      <w:r w:rsidRPr="00C22987">
        <w:rPr>
          <w:rFonts w:ascii="Times New Roman" w:hAnsi="Times New Roman"/>
        </w:rPr>
        <w:t xml:space="preserve"> Duration from jump initiation to take-off</w:t>
      </w:r>
      <w:r>
        <w:rPr>
          <w:rFonts w:ascii="Times New Roman" w:hAnsi="Times New Roman"/>
        </w:rPr>
        <w:t xml:space="preserve"> </w:t>
      </w:r>
      <w:r w:rsidR="00E40F3F">
        <w:rPr>
          <w:rFonts w:ascii="Times New Roman" w:hAnsi="Times New Roman"/>
        </w:rPr>
        <w:fldChar w:fldCharType="begin"/>
      </w:r>
      <w:r w:rsidR="00546507">
        <w:rPr>
          <w:rFonts w:ascii="Times New Roman" w:hAnsi="Times New Roman"/>
        </w:rPr>
        <w:instrText xml:space="preserve"> ADDIN ZOTERO_ITEM CSL_CITATION {"citationID":"cAskrgia","properties":{"formattedCitation":"(A. Heishman, Daub, et al., 2020)","plainCitation":"(A. Heishman, Daub, et al., 2020)","noteIndex":0},"citationItems":[{"id":15,"uris":["http://zotero.org/users/6327055/items/JSD3CII9"],"itemData":{"id":15,"type":"article-journal","abstract":"Heishman,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sidR="00E40F3F">
        <w:rPr>
          <w:rFonts w:ascii="Times New Roman" w:hAnsi="Times New Roman"/>
        </w:rPr>
        <w:fldChar w:fldCharType="separate"/>
      </w:r>
      <w:r w:rsidR="00546507">
        <w:rPr>
          <w:rFonts w:ascii="Times New Roman" w:hAnsi="Times New Roman"/>
          <w:noProof/>
        </w:rPr>
        <w:t>(A. Heishman, Daub, et al., 2020)</w:t>
      </w:r>
      <w:r w:rsidR="00E40F3F">
        <w:rPr>
          <w:rFonts w:ascii="Times New Roman" w:hAnsi="Times New Roman"/>
        </w:rPr>
        <w:fldChar w:fldCharType="end"/>
      </w:r>
      <w:r w:rsidR="00E40F3F">
        <w:rPr>
          <w:rFonts w:ascii="Times New Roman" w:hAnsi="Times New Roman"/>
        </w:rPr>
        <w:t>.</w:t>
      </w:r>
    </w:p>
    <w:p w14:paraId="7DDD9F4F" w14:textId="616553DF" w:rsidR="00530F9A" w:rsidRPr="00530F9A" w:rsidRDefault="00530F9A" w:rsidP="00530F9A">
      <w:pPr>
        <w:pStyle w:val="ListParagraph"/>
        <w:numPr>
          <w:ilvl w:val="0"/>
          <w:numId w:val="11"/>
        </w:numPr>
        <w:jc w:val="both"/>
        <w:rPr>
          <w:rFonts w:ascii="Times New Roman" w:hAnsi="Times New Roman"/>
        </w:rPr>
      </w:pPr>
      <w:r>
        <w:rPr>
          <w:rFonts w:ascii="Times New Roman" w:hAnsi="Times New Roman"/>
          <w:b/>
        </w:rPr>
        <w:t>Cortisol</w:t>
      </w:r>
      <w:r w:rsidR="00F4549E">
        <w:rPr>
          <w:rFonts w:ascii="Times New Roman" w:hAnsi="Times New Roman"/>
          <w:b/>
        </w:rPr>
        <w:t xml:space="preserve"> (C)</w:t>
      </w:r>
      <w:r>
        <w:rPr>
          <w:rFonts w:ascii="Times New Roman" w:hAnsi="Times New Roman"/>
          <w:b/>
        </w:rPr>
        <w:t>:</w:t>
      </w:r>
      <w:r>
        <w:rPr>
          <w:rFonts w:ascii="Times New Roman" w:hAnsi="Times New Roman"/>
        </w:rPr>
        <w:t xml:space="preserve"> A steroid hormone of the glucocorticoid family that represents the state of catabolism and is </w:t>
      </w:r>
      <w:r w:rsidRPr="006F44C3">
        <w:rPr>
          <w:rFonts w:ascii="Times New Roman" w:hAnsi="Times New Roman"/>
        </w:rPr>
        <w:t>associated with decreases in protein synthesis and increases in protein degradation</w:t>
      </w:r>
      <w:r>
        <w:rPr>
          <w:rFonts w:ascii="Times New Roman" w:hAnsi="Times New Roman"/>
        </w:rPr>
        <w:t xml:space="preserve"> </w:t>
      </w:r>
      <w:r>
        <w:rPr>
          <w:rFonts w:ascii="Times New Roman" w:hAnsi="Times New Roman"/>
          <w:noProof/>
        </w:rPr>
        <w:fldChar w:fldCharType="begin"/>
      </w:r>
      <w:r w:rsidR="00546507">
        <w:rPr>
          <w:rFonts w:ascii="Times New Roman" w:hAnsi="Times New Roman"/>
          <w:noProof/>
        </w:rPr>
        <w:instrText xml:space="preserve"> ADDIN ZOTERO_ITEM CSL_CITATION {"citationID":"ApKuLSKF","properties":{"formattedCitation":"(Kraemer &amp; Ratamess, 2005)","plainCitation":"(Kraemer &amp; Ratamess, 2005)","noteIndex":0},"citationItems":[{"id":129,"uris":["http://zotero.org/users/6327055/items/SPBDA3V8"],"itemData":{"id":129,"type":"article-journal","container-title":"Sports Medicine","DOI":"10.2165/00007256-200535040-00004","ISSN":"0112-1642","issue":"4","journalAbbreviation":"Sports Medicine","language":"en","page":"339-361","source":"DOI.org (Crossref)","title":"Hormonal responses and adaptations to resistance exercise and training:","title-short":"Hormonal Responses and Adaptations to Resistance Exercise and Training","volume":"35","author":[{"family":"Kraemer","given":"William J"},{"family":"Ratamess","given":"Nicholas A"}],"issued":{"date-parts":[["2005"]]}}}],"schema":"https://github.com/citation-style-language/schema/raw/master/csl-citation.json"} </w:instrText>
      </w:r>
      <w:r>
        <w:rPr>
          <w:rFonts w:ascii="Times New Roman" w:hAnsi="Times New Roman"/>
          <w:noProof/>
        </w:rPr>
        <w:fldChar w:fldCharType="separate"/>
      </w:r>
      <w:r>
        <w:rPr>
          <w:rFonts w:ascii="Times New Roman" w:hAnsi="Times New Roman"/>
          <w:noProof/>
        </w:rPr>
        <w:t>(Kraemer &amp; Ratamess, 2005)</w:t>
      </w:r>
      <w:r>
        <w:rPr>
          <w:rFonts w:ascii="Times New Roman" w:hAnsi="Times New Roman"/>
          <w:noProof/>
        </w:rPr>
        <w:fldChar w:fldCharType="end"/>
      </w:r>
      <w:r>
        <w:rPr>
          <w:rFonts w:ascii="Times New Roman" w:hAnsi="Times New Roman"/>
        </w:rPr>
        <w:t>.</w:t>
      </w:r>
    </w:p>
    <w:p w14:paraId="37D3668F" w14:textId="6E35B5C1" w:rsidR="00E26D58" w:rsidRDefault="00E26D58" w:rsidP="00E26D58">
      <w:pPr>
        <w:pStyle w:val="ListParagraph"/>
        <w:numPr>
          <w:ilvl w:val="0"/>
          <w:numId w:val="11"/>
        </w:numPr>
        <w:jc w:val="both"/>
        <w:rPr>
          <w:rFonts w:ascii="Times New Roman" w:hAnsi="Times New Roman"/>
        </w:rPr>
      </w:pPr>
      <w:r w:rsidRPr="00BD08C9">
        <w:rPr>
          <w:rFonts w:ascii="Times New Roman" w:hAnsi="Times New Roman"/>
          <w:b/>
          <w:bCs/>
        </w:rPr>
        <w:lastRenderedPageBreak/>
        <w:t>Countermovement Jump (CMJ):</w:t>
      </w:r>
      <w:r w:rsidRPr="00BD08C9">
        <w:rPr>
          <w:rFonts w:ascii="Times New Roman" w:hAnsi="Times New Roman"/>
        </w:rPr>
        <w:t xml:space="preserve"> A form of vertical jump in which the participant starts tall and drops to a self-selected depth before maximally vertically displacing in the air</w:t>
      </w:r>
      <w:r>
        <w:rPr>
          <w:rFonts w:ascii="Times New Roman" w:hAnsi="Times New Roman"/>
        </w:rPr>
        <w:t xml:space="preserve"> </w:t>
      </w:r>
      <w:r>
        <w:rPr>
          <w:rFonts w:ascii="Times New Roman" w:hAnsi="Times New Roman"/>
          <w:noProof/>
        </w:rPr>
        <w:fldChar w:fldCharType="begin"/>
      </w:r>
      <w:r w:rsidR="00546507">
        <w:rPr>
          <w:rFonts w:ascii="Times New Roman" w:hAnsi="Times New Roman"/>
          <w:noProof/>
        </w:rPr>
        <w:instrText xml:space="preserve"> ADDIN ZOTERO_ITEM CSL_CITATION {"citationID":"WCTLhYvx","properties":{"formattedCitation":"(A. Heishman, Daub, et al., 2020)","plainCitation":"(A. Heishman, Daub, et al., 2020)","noteIndex":0},"citationItems":[{"id":15,"uris":["http://zotero.org/users/6327055/items/JSD3CII9"],"itemData":{"id":15,"type":"article-journal","abstract":"Heishman,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Pr>
          <w:rFonts w:ascii="Times New Roman" w:hAnsi="Times New Roman"/>
          <w:noProof/>
        </w:rPr>
        <w:fldChar w:fldCharType="separate"/>
      </w:r>
      <w:r w:rsidR="00546507">
        <w:rPr>
          <w:rFonts w:ascii="Times New Roman" w:hAnsi="Times New Roman"/>
          <w:noProof/>
        </w:rPr>
        <w:t>(A. Heishman, Daub, et al., 2020)</w:t>
      </w:r>
      <w:r>
        <w:rPr>
          <w:rFonts w:ascii="Times New Roman" w:hAnsi="Times New Roman"/>
          <w:noProof/>
        </w:rPr>
        <w:fldChar w:fldCharType="end"/>
      </w:r>
      <w:r>
        <w:rPr>
          <w:rFonts w:ascii="Times New Roman" w:hAnsi="Times New Roman"/>
        </w:rPr>
        <w:t>.</w:t>
      </w:r>
    </w:p>
    <w:p w14:paraId="2A5A4720" w14:textId="6F123805" w:rsidR="00E40F3F" w:rsidRDefault="00E40F3F" w:rsidP="00E26D58">
      <w:pPr>
        <w:pStyle w:val="ListParagraph"/>
        <w:numPr>
          <w:ilvl w:val="0"/>
          <w:numId w:val="11"/>
        </w:numPr>
        <w:jc w:val="both"/>
        <w:rPr>
          <w:rFonts w:ascii="Times New Roman" w:hAnsi="Times New Roman"/>
        </w:rPr>
      </w:pPr>
      <w:r w:rsidRPr="00E40F3F">
        <w:rPr>
          <w:rFonts w:ascii="Times New Roman" w:hAnsi="Times New Roman"/>
          <w:b/>
        </w:rPr>
        <w:t>Eccentric Mean Braking Force</w:t>
      </w:r>
      <w:r w:rsidRPr="00E40F3F">
        <w:rPr>
          <w:rFonts w:ascii="Times New Roman" w:hAnsi="Times New Roman"/>
        </w:rPr>
        <w:t xml:space="preserve"> </w:t>
      </w:r>
      <w:r w:rsidRPr="00F4549E">
        <w:rPr>
          <w:rFonts w:ascii="Times New Roman" w:hAnsi="Times New Roman"/>
          <w:b/>
          <w:bCs/>
        </w:rPr>
        <w:t>[N] (</w:t>
      </w:r>
      <w:proofErr w:type="spellStart"/>
      <w:r w:rsidRPr="00F4549E">
        <w:rPr>
          <w:rFonts w:ascii="Times New Roman" w:hAnsi="Times New Roman"/>
          <w:b/>
          <w:bCs/>
        </w:rPr>
        <w:t>EccMBF</w:t>
      </w:r>
      <w:proofErr w:type="spellEnd"/>
      <w:r w:rsidRPr="00F4549E">
        <w:rPr>
          <w:rFonts w:ascii="Times New Roman" w:hAnsi="Times New Roman"/>
          <w:b/>
          <w:bCs/>
        </w:rPr>
        <w:t>):</w:t>
      </w:r>
      <w:r w:rsidRPr="00E40F3F">
        <w:rPr>
          <w:rFonts w:ascii="Times New Roman" w:hAnsi="Times New Roman"/>
        </w:rPr>
        <w:t xml:space="preserve"> Mean force during the eccentric braking phase from minimum force to zero velocity at the end of the eccentric phase</w:t>
      </w:r>
      <w:r>
        <w:rPr>
          <w:rFonts w:ascii="Times New Roman" w:hAnsi="Times New Roman"/>
        </w:rPr>
        <w:t xml:space="preserve"> </w:t>
      </w:r>
      <w:r>
        <w:rPr>
          <w:rFonts w:ascii="Times New Roman" w:hAnsi="Times New Roman"/>
        </w:rPr>
        <w:fldChar w:fldCharType="begin"/>
      </w:r>
      <w:r w:rsidR="00546507">
        <w:rPr>
          <w:rFonts w:ascii="Times New Roman" w:hAnsi="Times New Roman"/>
        </w:rPr>
        <w:instrText xml:space="preserve"> ADDIN ZOTERO_ITEM CSL_CITATION {"citationID":"yipEdCzt","properties":{"formattedCitation":"(A. Heishman, Daub, et al., 2020)","plainCitation":"(A. Heishman, Daub, et al., 2020)","noteIndex":0},"citationItems":[{"id":15,"uris":["http://zotero.org/users/6327055/items/JSD3CII9"],"itemData":{"id":15,"type":"article-journal","abstract":"Heishman,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Pr>
          <w:rFonts w:ascii="Times New Roman" w:hAnsi="Times New Roman"/>
        </w:rPr>
        <w:fldChar w:fldCharType="separate"/>
      </w:r>
      <w:r w:rsidR="00546507">
        <w:rPr>
          <w:rFonts w:ascii="Times New Roman" w:hAnsi="Times New Roman"/>
          <w:noProof/>
        </w:rPr>
        <w:t>(A. Heishman, Daub, et al., 2020)</w:t>
      </w:r>
      <w:r>
        <w:rPr>
          <w:rFonts w:ascii="Times New Roman" w:hAnsi="Times New Roman"/>
        </w:rPr>
        <w:fldChar w:fldCharType="end"/>
      </w:r>
      <w:r>
        <w:rPr>
          <w:rFonts w:ascii="Times New Roman" w:hAnsi="Times New Roman"/>
        </w:rPr>
        <w:t>.</w:t>
      </w:r>
    </w:p>
    <w:p w14:paraId="4E2D3C13" w14:textId="099A34D1" w:rsidR="0003046F" w:rsidRDefault="0003046F" w:rsidP="00E26D58">
      <w:pPr>
        <w:pStyle w:val="ListParagraph"/>
        <w:numPr>
          <w:ilvl w:val="0"/>
          <w:numId w:val="11"/>
        </w:numPr>
        <w:jc w:val="both"/>
        <w:rPr>
          <w:rFonts w:ascii="Times New Roman" w:hAnsi="Times New Roman"/>
        </w:rPr>
      </w:pPr>
      <w:r w:rsidRPr="0003046F">
        <w:rPr>
          <w:rFonts w:ascii="Times New Roman" w:hAnsi="Times New Roman"/>
          <w:b/>
        </w:rPr>
        <w:t>Eccentric Mean Deceleration Force</w:t>
      </w:r>
      <w:r w:rsidRPr="0003046F">
        <w:rPr>
          <w:rFonts w:ascii="Times New Roman" w:hAnsi="Times New Roman"/>
        </w:rPr>
        <w:t xml:space="preserve"> </w:t>
      </w:r>
      <w:r w:rsidRPr="00F4549E">
        <w:rPr>
          <w:rFonts w:ascii="Times New Roman" w:hAnsi="Times New Roman"/>
          <w:b/>
          <w:bCs/>
        </w:rPr>
        <w:t>[N] (</w:t>
      </w:r>
      <w:proofErr w:type="spellStart"/>
      <w:r w:rsidRPr="00F4549E">
        <w:rPr>
          <w:rFonts w:ascii="Times New Roman" w:hAnsi="Times New Roman"/>
          <w:b/>
          <w:bCs/>
        </w:rPr>
        <w:t>EccMDecF</w:t>
      </w:r>
      <w:proofErr w:type="spellEnd"/>
      <w:r w:rsidRPr="00F4549E">
        <w:rPr>
          <w:rFonts w:ascii="Times New Roman" w:hAnsi="Times New Roman"/>
          <w:b/>
          <w:bCs/>
        </w:rPr>
        <w:t>):</w:t>
      </w:r>
      <w:r w:rsidRPr="0003046F">
        <w:rPr>
          <w:rFonts w:ascii="Times New Roman" w:hAnsi="Times New Roman"/>
        </w:rPr>
        <w:t xml:space="preserve"> Mean force during the eccentric braking phase from minimum force to zero velocity</w:t>
      </w:r>
      <w:r>
        <w:rPr>
          <w:rFonts w:ascii="Times New Roman" w:hAnsi="Times New Roman"/>
        </w:rPr>
        <w:t xml:space="preserve"> </w:t>
      </w:r>
      <w:r>
        <w:rPr>
          <w:rFonts w:ascii="Times New Roman" w:hAnsi="Times New Roman"/>
        </w:rPr>
        <w:fldChar w:fldCharType="begin"/>
      </w:r>
      <w:r w:rsidR="00546507">
        <w:rPr>
          <w:rFonts w:ascii="Times New Roman" w:hAnsi="Times New Roman"/>
        </w:rPr>
        <w:instrText xml:space="preserve"> ADDIN ZOTERO_ITEM CSL_CITATION {"citationID":"8wulKqPa","properties":{"formattedCitation":"(A. Heishman, Daub, et al., 2020)","plainCitation":"(A. Heishman, Daub, et al., 2020)","noteIndex":0},"citationItems":[{"id":15,"uris":["http://zotero.org/users/6327055/items/JSD3CII9"],"itemData":{"id":15,"type":"article-journal","abstract":"Heishman,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Pr>
          <w:rFonts w:ascii="Times New Roman" w:hAnsi="Times New Roman"/>
        </w:rPr>
        <w:fldChar w:fldCharType="separate"/>
      </w:r>
      <w:r w:rsidR="00546507">
        <w:rPr>
          <w:rFonts w:ascii="Times New Roman" w:hAnsi="Times New Roman"/>
          <w:noProof/>
        </w:rPr>
        <w:t>(A. Heishman, Daub, et al., 2020)</w:t>
      </w:r>
      <w:r>
        <w:rPr>
          <w:rFonts w:ascii="Times New Roman" w:hAnsi="Times New Roman"/>
        </w:rPr>
        <w:fldChar w:fldCharType="end"/>
      </w:r>
      <w:r>
        <w:rPr>
          <w:rFonts w:ascii="Times New Roman" w:hAnsi="Times New Roman"/>
        </w:rPr>
        <w:t>.</w:t>
      </w:r>
    </w:p>
    <w:p w14:paraId="0BA45A8B" w14:textId="08B75C0E" w:rsidR="0003046F" w:rsidRDefault="0003046F" w:rsidP="00E26D58">
      <w:pPr>
        <w:pStyle w:val="ListParagraph"/>
        <w:numPr>
          <w:ilvl w:val="0"/>
          <w:numId w:val="11"/>
        </w:numPr>
        <w:jc w:val="both"/>
        <w:rPr>
          <w:rFonts w:ascii="Times New Roman" w:hAnsi="Times New Roman"/>
        </w:rPr>
      </w:pPr>
      <w:r w:rsidRPr="0003046F">
        <w:rPr>
          <w:rFonts w:ascii="Times New Roman" w:hAnsi="Times New Roman"/>
          <w:b/>
        </w:rPr>
        <w:t>Eccentric Mean Force</w:t>
      </w:r>
      <w:r w:rsidRPr="0003046F">
        <w:rPr>
          <w:rFonts w:ascii="Times New Roman" w:hAnsi="Times New Roman"/>
        </w:rPr>
        <w:t xml:space="preserve"> </w:t>
      </w:r>
      <w:r w:rsidRPr="00F4549E">
        <w:rPr>
          <w:rFonts w:ascii="Times New Roman" w:hAnsi="Times New Roman"/>
          <w:b/>
          <w:bCs/>
        </w:rPr>
        <w:t>[N] (</w:t>
      </w:r>
      <w:proofErr w:type="spellStart"/>
      <w:r w:rsidRPr="00F4549E">
        <w:rPr>
          <w:rFonts w:ascii="Times New Roman" w:hAnsi="Times New Roman"/>
          <w:b/>
          <w:bCs/>
        </w:rPr>
        <w:t>EccMF</w:t>
      </w:r>
      <w:proofErr w:type="spellEnd"/>
      <w:r w:rsidRPr="00F4549E">
        <w:rPr>
          <w:rFonts w:ascii="Times New Roman" w:hAnsi="Times New Roman"/>
          <w:b/>
          <w:bCs/>
        </w:rPr>
        <w:t>):</w:t>
      </w:r>
      <w:r w:rsidRPr="0003046F">
        <w:rPr>
          <w:rFonts w:ascii="Times New Roman" w:hAnsi="Times New Roman"/>
        </w:rPr>
        <w:t xml:space="preserve"> Mean force during the eccentric phase from start of movement to zero velocity</w:t>
      </w:r>
      <w:r>
        <w:rPr>
          <w:rFonts w:ascii="Times New Roman" w:hAnsi="Times New Roman"/>
        </w:rPr>
        <w:t xml:space="preserve"> </w:t>
      </w:r>
      <w:r>
        <w:rPr>
          <w:rFonts w:ascii="Times New Roman" w:hAnsi="Times New Roman"/>
        </w:rPr>
        <w:fldChar w:fldCharType="begin"/>
      </w:r>
      <w:r w:rsidR="00546507">
        <w:rPr>
          <w:rFonts w:ascii="Times New Roman" w:hAnsi="Times New Roman"/>
        </w:rPr>
        <w:instrText xml:space="preserve"> ADDIN ZOTERO_ITEM CSL_CITATION {"citationID":"otpkXwRu","properties":{"formattedCitation":"(A. Heishman, Daub, et al., 2020)","plainCitation":"(A. Heishman, Daub, et al., 2020)","noteIndex":0},"citationItems":[{"id":15,"uris":["http://zotero.org/users/6327055/items/JSD3CII9"],"itemData":{"id":15,"type":"article-journal","abstract":"Heishman,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Pr>
          <w:rFonts w:ascii="Times New Roman" w:hAnsi="Times New Roman"/>
        </w:rPr>
        <w:fldChar w:fldCharType="separate"/>
      </w:r>
      <w:r w:rsidR="00546507">
        <w:rPr>
          <w:rFonts w:ascii="Times New Roman" w:hAnsi="Times New Roman"/>
          <w:noProof/>
        </w:rPr>
        <w:t>(A. Heishman, Daub, et al., 2020)</w:t>
      </w:r>
      <w:r>
        <w:rPr>
          <w:rFonts w:ascii="Times New Roman" w:hAnsi="Times New Roman"/>
        </w:rPr>
        <w:fldChar w:fldCharType="end"/>
      </w:r>
      <w:r>
        <w:rPr>
          <w:rFonts w:ascii="Times New Roman" w:hAnsi="Times New Roman"/>
        </w:rPr>
        <w:t>.</w:t>
      </w:r>
    </w:p>
    <w:p w14:paraId="273C4F7D" w14:textId="6AF98506" w:rsidR="0003046F" w:rsidRDefault="0003046F" w:rsidP="00E26D58">
      <w:pPr>
        <w:pStyle w:val="ListParagraph"/>
        <w:numPr>
          <w:ilvl w:val="0"/>
          <w:numId w:val="11"/>
        </w:numPr>
        <w:jc w:val="both"/>
        <w:rPr>
          <w:rFonts w:ascii="Times New Roman" w:hAnsi="Times New Roman"/>
        </w:rPr>
      </w:pPr>
      <w:r w:rsidRPr="0003046F">
        <w:rPr>
          <w:rFonts w:ascii="Times New Roman" w:hAnsi="Times New Roman"/>
          <w:b/>
        </w:rPr>
        <w:t>Eccentric Mean Power</w:t>
      </w:r>
      <w:r w:rsidRPr="0003046F">
        <w:rPr>
          <w:rFonts w:ascii="Times New Roman" w:hAnsi="Times New Roman"/>
        </w:rPr>
        <w:t xml:space="preserve"> </w:t>
      </w:r>
      <w:r w:rsidRPr="00F4549E">
        <w:rPr>
          <w:rFonts w:ascii="Times New Roman" w:hAnsi="Times New Roman"/>
          <w:b/>
          <w:bCs/>
        </w:rPr>
        <w:t>[W] (</w:t>
      </w:r>
      <w:proofErr w:type="spellStart"/>
      <w:r w:rsidRPr="00F4549E">
        <w:rPr>
          <w:rFonts w:ascii="Times New Roman" w:hAnsi="Times New Roman"/>
          <w:b/>
          <w:bCs/>
        </w:rPr>
        <w:t>EccMP</w:t>
      </w:r>
      <w:proofErr w:type="spellEnd"/>
      <w:r w:rsidRPr="00F4549E">
        <w:rPr>
          <w:rFonts w:ascii="Times New Roman" w:hAnsi="Times New Roman"/>
          <w:b/>
          <w:bCs/>
        </w:rPr>
        <w:t>):</w:t>
      </w:r>
      <w:r w:rsidRPr="0003046F">
        <w:rPr>
          <w:rFonts w:ascii="Times New Roman" w:hAnsi="Times New Roman"/>
        </w:rPr>
        <w:t xml:space="preserve"> Mean power during the eccentric phase from start of movement to zero velocity</w:t>
      </w:r>
      <w:r>
        <w:rPr>
          <w:rFonts w:ascii="Times New Roman" w:hAnsi="Times New Roman"/>
        </w:rPr>
        <w:t xml:space="preserve"> </w:t>
      </w:r>
      <w:r>
        <w:rPr>
          <w:rFonts w:ascii="Times New Roman" w:hAnsi="Times New Roman"/>
        </w:rPr>
        <w:fldChar w:fldCharType="begin"/>
      </w:r>
      <w:r w:rsidR="00546507">
        <w:rPr>
          <w:rFonts w:ascii="Times New Roman" w:hAnsi="Times New Roman"/>
        </w:rPr>
        <w:instrText xml:space="preserve"> ADDIN ZOTERO_ITEM CSL_CITATION {"citationID":"JjK0emBz","properties":{"formattedCitation":"(A. Heishman, Daub, et al., 2020)","plainCitation":"(A. Heishman, Daub, et al., 2020)","noteIndex":0},"citationItems":[{"id":15,"uris":["http://zotero.org/users/6327055/items/JSD3CII9"],"itemData":{"id":15,"type":"article-journal","abstract":"Heishman,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Pr>
          <w:rFonts w:ascii="Times New Roman" w:hAnsi="Times New Roman"/>
        </w:rPr>
        <w:fldChar w:fldCharType="separate"/>
      </w:r>
      <w:r w:rsidR="00546507">
        <w:rPr>
          <w:rFonts w:ascii="Times New Roman" w:hAnsi="Times New Roman"/>
          <w:noProof/>
        </w:rPr>
        <w:t>(A. Heishman, Daub, et al., 2020)</w:t>
      </w:r>
      <w:r>
        <w:rPr>
          <w:rFonts w:ascii="Times New Roman" w:hAnsi="Times New Roman"/>
        </w:rPr>
        <w:fldChar w:fldCharType="end"/>
      </w:r>
      <w:r>
        <w:rPr>
          <w:rFonts w:ascii="Times New Roman" w:hAnsi="Times New Roman"/>
        </w:rPr>
        <w:t>.</w:t>
      </w:r>
    </w:p>
    <w:p w14:paraId="4DAD483F" w14:textId="7E4B9EED" w:rsidR="0003046F" w:rsidRDefault="0003046F" w:rsidP="00E26D58">
      <w:pPr>
        <w:pStyle w:val="ListParagraph"/>
        <w:numPr>
          <w:ilvl w:val="0"/>
          <w:numId w:val="11"/>
        </w:numPr>
        <w:jc w:val="both"/>
        <w:rPr>
          <w:rFonts w:ascii="Times New Roman" w:hAnsi="Times New Roman"/>
        </w:rPr>
      </w:pPr>
      <w:r w:rsidRPr="0003046F">
        <w:rPr>
          <w:rFonts w:ascii="Times New Roman" w:hAnsi="Times New Roman"/>
          <w:b/>
        </w:rPr>
        <w:t xml:space="preserve">Eccentric Peak </w:t>
      </w:r>
      <w:r w:rsidRPr="00F4549E">
        <w:rPr>
          <w:rFonts w:ascii="Times New Roman" w:hAnsi="Times New Roman"/>
          <w:b/>
        </w:rPr>
        <w:t>Force [N] (</w:t>
      </w:r>
      <w:proofErr w:type="spellStart"/>
      <w:r w:rsidRPr="00F4549E">
        <w:rPr>
          <w:rFonts w:ascii="Times New Roman" w:hAnsi="Times New Roman"/>
          <w:b/>
        </w:rPr>
        <w:t>EccPF</w:t>
      </w:r>
      <w:proofErr w:type="spellEnd"/>
      <w:r w:rsidRPr="00F4549E">
        <w:rPr>
          <w:rFonts w:ascii="Times New Roman" w:hAnsi="Times New Roman"/>
          <w:b/>
        </w:rPr>
        <w:t>):</w:t>
      </w:r>
      <w:r w:rsidRPr="0003046F">
        <w:rPr>
          <w:rFonts w:ascii="Times New Roman" w:hAnsi="Times New Roman"/>
        </w:rPr>
        <w:t xml:space="preserve"> Greatest force achieved during the eccentric phase</w:t>
      </w:r>
      <w:r>
        <w:rPr>
          <w:rFonts w:ascii="Times New Roman" w:hAnsi="Times New Roman"/>
        </w:rPr>
        <w:t xml:space="preserve"> </w:t>
      </w:r>
      <w:r>
        <w:rPr>
          <w:rFonts w:ascii="Times New Roman" w:hAnsi="Times New Roman"/>
        </w:rPr>
        <w:fldChar w:fldCharType="begin"/>
      </w:r>
      <w:r w:rsidR="00546507">
        <w:rPr>
          <w:rFonts w:ascii="Times New Roman" w:hAnsi="Times New Roman"/>
        </w:rPr>
        <w:instrText xml:space="preserve"> ADDIN ZOTERO_ITEM CSL_CITATION {"citationID":"CDI3pLpa","properties":{"formattedCitation":"(A. Heishman, Daub, et al., 2020)","plainCitation":"(A. Heishman, Daub, et al., 2020)","noteIndex":0},"citationItems":[{"id":15,"uris":["http://zotero.org/users/6327055/items/JSD3CII9"],"itemData":{"id":15,"type":"article-journal","abstract":"Heishman,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Pr>
          <w:rFonts w:ascii="Times New Roman" w:hAnsi="Times New Roman"/>
        </w:rPr>
        <w:fldChar w:fldCharType="separate"/>
      </w:r>
      <w:r w:rsidR="00546507">
        <w:rPr>
          <w:rFonts w:ascii="Times New Roman" w:hAnsi="Times New Roman"/>
          <w:noProof/>
        </w:rPr>
        <w:t>(A. Heishman, Daub, et al., 2020)</w:t>
      </w:r>
      <w:r>
        <w:rPr>
          <w:rFonts w:ascii="Times New Roman" w:hAnsi="Times New Roman"/>
        </w:rPr>
        <w:fldChar w:fldCharType="end"/>
      </w:r>
      <w:r>
        <w:rPr>
          <w:rFonts w:ascii="Times New Roman" w:hAnsi="Times New Roman"/>
        </w:rPr>
        <w:t xml:space="preserve">. </w:t>
      </w:r>
    </w:p>
    <w:p w14:paraId="0C59064E" w14:textId="765B804B" w:rsidR="0003046F" w:rsidRPr="00774CE4" w:rsidRDefault="00F4549E" w:rsidP="00E26D58">
      <w:pPr>
        <w:pStyle w:val="ListParagraph"/>
        <w:numPr>
          <w:ilvl w:val="0"/>
          <w:numId w:val="11"/>
        </w:numPr>
        <w:jc w:val="both"/>
        <w:rPr>
          <w:rFonts w:ascii="Times New Roman" w:hAnsi="Times New Roman"/>
        </w:rPr>
      </w:pPr>
      <w:r w:rsidRPr="00774CE4">
        <w:rPr>
          <w:rFonts w:ascii="Times New Roman" w:hAnsi="Times New Roman"/>
          <w:b/>
        </w:rPr>
        <w:t>Eccentric Peak Power [W] (</w:t>
      </w:r>
      <w:proofErr w:type="spellStart"/>
      <w:r w:rsidRPr="00774CE4">
        <w:rPr>
          <w:rFonts w:ascii="Times New Roman" w:hAnsi="Times New Roman"/>
          <w:b/>
        </w:rPr>
        <w:t>EccPP</w:t>
      </w:r>
      <w:proofErr w:type="spellEnd"/>
      <w:r w:rsidRPr="00774CE4">
        <w:rPr>
          <w:rFonts w:ascii="Times New Roman" w:hAnsi="Times New Roman"/>
          <w:b/>
        </w:rPr>
        <w:t xml:space="preserve">): </w:t>
      </w:r>
      <w:r w:rsidR="00774CE4" w:rsidRPr="00AC2D44">
        <w:rPr>
          <w:rFonts w:ascii="Times New Roman" w:hAnsi="Times New Roman"/>
          <w:bCs/>
        </w:rPr>
        <w:t xml:space="preserve">Greatest power achieved during the eccentric phase </w:t>
      </w:r>
      <w:r w:rsidR="00774CE4" w:rsidRPr="00AC2D44">
        <w:rPr>
          <w:rFonts w:ascii="Times New Roman" w:hAnsi="Times New Roman"/>
          <w:bCs/>
        </w:rPr>
        <w:fldChar w:fldCharType="begin"/>
      </w:r>
      <w:r w:rsidR="00546507">
        <w:rPr>
          <w:rFonts w:ascii="Times New Roman" w:hAnsi="Times New Roman"/>
          <w:bCs/>
        </w:rPr>
        <w:instrText xml:space="preserve"> ADDIN ZOTERO_ITEM CSL_CITATION {"citationID":"W67ZbKVn","properties":{"formattedCitation":"(A. Heishman, Daub, et al., 2020)","plainCitation":"(A. Heishman, Daub, et al., 2020)","noteIndex":0},"citationItems":[{"id":15,"uris":["http://zotero.org/users/6327055/items/JSD3CII9"],"itemData":{"id":15,"type":"article-journal","abstract":"Heishman,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sidR="00774CE4" w:rsidRPr="00AC2D44">
        <w:rPr>
          <w:rFonts w:ascii="Times New Roman" w:hAnsi="Times New Roman"/>
          <w:bCs/>
        </w:rPr>
        <w:fldChar w:fldCharType="separate"/>
      </w:r>
      <w:r w:rsidR="00546507">
        <w:rPr>
          <w:rFonts w:ascii="Times New Roman" w:hAnsi="Times New Roman"/>
          <w:bCs/>
          <w:noProof/>
        </w:rPr>
        <w:t>(A. Heishman, Daub, et al., 2020)</w:t>
      </w:r>
      <w:r w:rsidR="00774CE4" w:rsidRPr="00AC2D44">
        <w:rPr>
          <w:rFonts w:ascii="Times New Roman" w:hAnsi="Times New Roman"/>
          <w:bCs/>
        </w:rPr>
        <w:fldChar w:fldCharType="end"/>
      </w:r>
      <w:r w:rsidR="00774CE4" w:rsidRPr="00AC2D44">
        <w:rPr>
          <w:rFonts w:ascii="Times New Roman" w:hAnsi="Times New Roman"/>
          <w:bCs/>
        </w:rPr>
        <w:t>.</w:t>
      </w:r>
      <w:r w:rsidR="00774CE4">
        <w:rPr>
          <w:rFonts w:ascii="Times New Roman" w:hAnsi="Times New Roman"/>
          <w:b/>
        </w:rPr>
        <w:t xml:space="preserve"> </w:t>
      </w:r>
    </w:p>
    <w:p w14:paraId="77070674" w14:textId="584CD55C" w:rsidR="00EB0E29" w:rsidRDefault="00EB0E29" w:rsidP="00EB0E29">
      <w:pPr>
        <w:pStyle w:val="ListParagraph"/>
        <w:numPr>
          <w:ilvl w:val="0"/>
          <w:numId w:val="11"/>
        </w:numPr>
        <w:jc w:val="both"/>
        <w:rPr>
          <w:rFonts w:ascii="Times New Roman" w:hAnsi="Times New Roman"/>
        </w:rPr>
      </w:pPr>
      <w:r w:rsidRPr="0096233C">
        <w:rPr>
          <w:rFonts w:ascii="Times New Roman" w:hAnsi="Times New Roman"/>
          <w:b/>
          <w:bCs/>
        </w:rPr>
        <w:t>External training load (</w:t>
      </w:r>
      <w:proofErr w:type="spellStart"/>
      <w:r w:rsidRPr="0096233C">
        <w:rPr>
          <w:rFonts w:ascii="Times New Roman" w:hAnsi="Times New Roman"/>
          <w:b/>
          <w:bCs/>
        </w:rPr>
        <w:t>eTL</w:t>
      </w:r>
      <w:proofErr w:type="spellEnd"/>
      <w:r w:rsidRPr="0096233C">
        <w:rPr>
          <w:rFonts w:ascii="Times New Roman" w:hAnsi="Times New Roman"/>
          <w:b/>
          <w:bCs/>
        </w:rPr>
        <w:t>):</w:t>
      </w:r>
      <w:r w:rsidRPr="0096233C">
        <w:rPr>
          <w:rFonts w:ascii="Times New Roman" w:hAnsi="Times New Roman"/>
        </w:rPr>
        <w:t xml:space="preserve"> Referred to as the quantification of work completed by the athlete through their coordination of mechanics and locomotion as mechanical stress and is measured independent of the internal responses</w:t>
      </w:r>
      <w:r>
        <w:rPr>
          <w:rFonts w:ascii="Times New Roman" w:hAnsi="Times New Roman"/>
        </w:rPr>
        <w:t xml:space="preserve"> </w:t>
      </w:r>
      <w:r>
        <w:rPr>
          <w:rFonts w:ascii="Times New Roman" w:hAnsi="Times New Roman"/>
          <w:noProof/>
        </w:rPr>
        <w:fldChar w:fldCharType="begin"/>
      </w:r>
      <w:r w:rsidR="00546507">
        <w:rPr>
          <w:rFonts w:ascii="Times New Roman" w:hAnsi="Times New Roman"/>
          <w:noProof/>
        </w:rPr>
        <w:instrText xml:space="preserve"> ADDIN ZOTERO_ITEM CSL_CITATION {"citationID":"o99iGzuk","properties":{"formattedCitation":"(Halson, 2014; A. Heishman et al., 2018)","plainCitation":"(Halson, 2014; A. Heishman et al., 2018)","noteIndex":0},"citationItems":[{"id":265,"uris":["http://zotero.org/users/6327055/items/E6RD28YW"],"itemData":{"id":265,"type":"article-journal","container-title":"Sports Medicine","DOI":"10.1007/s40279-014-0253-z","ISSN":"0112-1642, 1179-2035","issue":"S2","journalAbbreviation":"Sports Med","language":"en","page":"139-147","source":"DOI.org (Crossref)","title":"Monitoring training load to understand fatigue in athletes","volume":"44","author":[{"family":"Halson","given":"Shona L."}],"issued":{"date-parts":[["2014",11]]}}},{"id":267,"uris":["http://zotero.org/users/6327055/items/V555YN52"],"itemData":{"id":267,"type":"article-journal","container-title":"Journal of Strength and Conditioning Research","DOI":"10.1519/JSC.0000000000002413","ISSN":"1064-8011","issue":"5","language":"en","page":"1280-1287","source":"DOI.org (Crossref)","title":"Noninvasive assessment of internal and external player load: Implications for optimizing athletic performance","title-short":"Noninvasive Assessment of Internal and External Player Load","volume":"32","author":[{"family":"Heishman","given":"Aaron"},{"family":"Curtis","given":"Michael"},{"family":"Saliba","given":"Ethan"},{"family":"Hornett","given":"Robert"},{"family":"Malin","given":"Steven"},{"family":"Weltman","given":"Arthur"}],"issued":{"date-parts":[["2018",5]]}}}],"schema":"https://github.com/citation-style-language/schema/raw/master/csl-citation.json"} </w:instrText>
      </w:r>
      <w:r>
        <w:rPr>
          <w:rFonts w:ascii="Times New Roman" w:hAnsi="Times New Roman"/>
          <w:noProof/>
        </w:rPr>
        <w:fldChar w:fldCharType="separate"/>
      </w:r>
      <w:r w:rsidR="00546507">
        <w:rPr>
          <w:rFonts w:ascii="Times New Roman" w:hAnsi="Times New Roman"/>
          <w:noProof/>
        </w:rPr>
        <w:t>(Halson, 2014; A. Heishman et al., 2018)</w:t>
      </w:r>
      <w:r>
        <w:rPr>
          <w:rFonts w:ascii="Times New Roman" w:hAnsi="Times New Roman"/>
          <w:noProof/>
        </w:rPr>
        <w:fldChar w:fldCharType="end"/>
      </w:r>
      <w:r>
        <w:rPr>
          <w:rFonts w:ascii="Times New Roman" w:hAnsi="Times New Roman"/>
        </w:rPr>
        <w:t>.</w:t>
      </w:r>
    </w:p>
    <w:p w14:paraId="14E204B5" w14:textId="099B2F84" w:rsidR="001A1514" w:rsidRDefault="001A1514" w:rsidP="00EB0E29">
      <w:pPr>
        <w:pStyle w:val="ListParagraph"/>
        <w:numPr>
          <w:ilvl w:val="0"/>
          <w:numId w:val="11"/>
        </w:numPr>
        <w:jc w:val="both"/>
        <w:rPr>
          <w:rFonts w:ascii="Times New Roman" w:hAnsi="Times New Roman"/>
        </w:rPr>
      </w:pPr>
      <w:r w:rsidRPr="001A1514">
        <w:rPr>
          <w:rFonts w:ascii="Times New Roman" w:hAnsi="Times New Roman"/>
          <w:b/>
        </w:rPr>
        <w:t xml:space="preserve">Flight Time </w:t>
      </w:r>
      <w:r w:rsidRPr="001A1514">
        <w:rPr>
          <w:rFonts w:ascii="Times New Roman" w:hAnsi="Times New Roman"/>
          <w:b/>
          <w:bCs/>
        </w:rPr>
        <w:t>[</w:t>
      </w:r>
      <w:proofErr w:type="spellStart"/>
      <w:r w:rsidRPr="001A1514">
        <w:rPr>
          <w:rFonts w:ascii="Times New Roman" w:hAnsi="Times New Roman"/>
          <w:b/>
          <w:bCs/>
        </w:rPr>
        <w:t>ms</w:t>
      </w:r>
      <w:proofErr w:type="spellEnd"/>
      <w:r w:rsidRPr="001A1514">
        <w:rPr>
          <w:rFonts w:ascii="Times New Roman" w:hAnsi="Times New Roman"/>
          <w:b/>
          <w:bCs/>
        </w:rPr>
        <w:t>] (FT):</w:t>
      </w:r>
      <w:r w:rsidRPr="001A1514">
        <w:rPr>
          <w:rFonts w:ascii="Times New Roman" w:hAnsi="Times New Roman"/>
        </w:rPr>
        <w:t xml:space="preserve"> Time spent in the air from jump take-off to landing</w:t>
      </w:r>
      <w:r>
        <w:rPr>
          <w:rFonts w:ascii="Times New Roman" w:hAnsi="Times New Roman"/>
        </w:rPr>
        <w:t xml:space="preserve"> </w:t>
      </w:r>
      <w:r>
        <w:rPr>
          <w:rFonts w:ascii="Times New Roman" w:hAnsi="Times New Roman"/>
        </w:rPr>
        <w:fldChar w:fldCharType="begin"/>
      </w:r>
      <w:r w:rsidR="00546507">
        <w:rPr>
          <w:rFonts w:ascii="Times New Roman" w:hAnsi="Times New Roman"/>
        </w:rPr>
        <w:instrText xml:space="preserve"> ADDIN ZOTERO_ITEM CSL_CITATION {"citationID":"HoQ5WLPz","properties":{"formattedCitation":"(A. Heishman, Daub, et al., 2020)","plainCitation":"(A. Heishman, Daub, et al., 2020)","noteIndex":0},"citationItems":[{"id":15,"uris":["http://zotero.org/users/6327055/items/JSD3CII9"],"itemData":{"id":15,"type":"article-journal","abstract":"Heishman,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Pr>
          <w:rFonts w:ascii="Times New Roman" w:hAnsi="Times New Roman"/>
        </w:rPr>
        <w:fldChar w:fldCharType="separate"/>
      </w:r>
      <w:r w:rsidR="00546507">
        <w:rPr>
          <w:rFonts w:ascii="Times New Roman" w:hAnsi="Times New Roman"/>
          <w:noProof/>
        </w:rPr>
        <w:t>(A. Heishman, Daub, et al., 2020)</w:t>
      </w:r>
      <w:r>
        <w:rPr>
          <w:rFonts w:ascii="Times New Roman" w:hAnsi="Times New Roman"/>
        </w:rPr>
        <w:fldChar w:fldCharType="end"/>
      </w:r>
      <w:r>
        <w:rPr>
          <w:rFonts w:ascii="Times New Roman" w:hAnsi="Times New Roman"/>
        </w:rPr>
        <w:t>.</w:t>
      </w:r>
    </w:p>
    <w:p w14:paraId="54CDF0DB" w14:textId="3E7BB354" w:rsidR="00EB0E29" w:rsidRPr="001A1514" w:rsidRDefault="00EB0E29" w:rsidP="00EB0E29">
      <w:pPr>
        <w:pStyle w:val="ListParagraph"/>
        <w:numPr>
          <w:ilvl w:val="0"/>
          <w:numId w:val="11"/>
        </w:numPr>
        <w:jc w:val="both"/>
        <w:rPr>
          <w:rFonts w:ascii="Times New Roman" w:hAnsi="Times New Roman"/>
        </w:rPr>
      </w:pPr>
      <w:r w:rsidRPr="00CB09EF">
        <w:rPr>
          <w:rFonts w:ascii="Times New Roman" w:hAnsi="Times New Roman"/>
          <w:b/>
          <w:bCs/>
          <w:color w:val="000000" w:themeColor="text1"/>
        </w:rPr>
        <w:lastRenderedPageBreak/>
        <w:t xml:space="preserve">Flight </w:t>
      </w:r>
      <w:proofErr w:type="spellStart"/>
      <w:r w:rsidRPr="00CB09EF">
        <w:rPr>
          <w:rFonts w:ascii="Times New Roman" w:hAnsi="Times New Roman"/>
          <w:b/>
          <w:bCs/>
          <w:color w:val="000000" w:themeColor="text1"/>
        </w:rPr>
        <w:t>Time:Contraction</w:t>
      </w:r>
      <w:proofErr w:type="spellEnd"/>
      <w:r w:rsidRPr="00CB09EF">
        <w:rPr>
          <w:rFonts w:ascii="Times New Roman" w:hAnsi="Times New Roman"/>
          <w:b/>
          <w:bCs/>
          <w:color w:val="000000" w:themeColor="text1"/>
        </w:rPr>
        <w:t xml:space="preserve"> Time</w:t>
      </w:r>
      <w:r w:rsidR="002B34EC">
        <w:rPr>
          <w:rFonts w:ascii="Times New Roman" w:hAnsi="Times New Roman"/>
          <w:b/>
          <w:bCs/>
          <w:color w:val="000000" w:themeColor="text1"/>
        </w:rPr>
        <w:t xml:space="preserve"> (FT:CT)</w:t>
      </w:r>
      <w:r w:rsidRPr="00CB09EF">
        <w:rPr>
          <w:rFonts w:ascii="Times New Roman" w:hAnsi="Times New Roman"/>
          <w:b/>
          <w:bCs/>
          <w:color w:val="000000" w:themeColor="text1"/>
        </w:rPr>
        <w:t>:</w:t>
      </w:r>
      <w:r w:rsidRPr="00CB09EF">
        <w:rPr>
          <w:rFonts w:ascii="Times New Roman" w:hAnsi="Times New Roman"/>
          <w:color w:val="000000" w:themeColor="text1"/>
        </w:rPr>
        <w:t xml:space="preserve"> </w:t>
      </w:r>
      <w:r>
        <w:rPr>
          <w:rFonts w:ascii="Times New Roman" w:hAnsi="Times New Roman"/>
          <w:color w:val="000000" w:themeColor="text1"/>
        </w:rPr>
        <w:t>T</w:t>
      </w:r>
      <w:r w:rsidRPr="00CB09EF">
        <w:rPr>
          <w:rFonts w:ascii="Times New Roman" w:hAnsi="Times New Roman"/>
          <w:color w:val="000000" w:themeColor="text1"/>
        </w:rPr>
        <w:t>he ratio of Flight Time (FT), defined as the time spent in air from jump take-off to landing, and a process variable, Contraction Time (CT), defined as the duration (</w:t>
      </w:r>
      <w:proofErr w:type="spellStart"/>
      <w:r w:rsidRPr="00CB09EF">
        <w:rPr>
          <w:rFonts w:ascii="Times New Roman" w:hAnsi="Times New Roman"/>
          <w:color w:val="000000" w:themeColor="text1"/>
        </w:rPr>
        <w:t>ms</w:t>
      </w:r>
      <w:proofErr w:type="spellEnd"/>
      <w:r w:rsidRPr="00CB09EF">
        <w:rPr>
          <w:rFonts w:ascii="Times New Roman" w:hAnsi="Times New Roman"/>
          <w:color w:val="000000" w:themeColor="text1"/>
        </w:rPr>
        <w:t>) from jump initiation (start of movement) to take-off, in an attempt to evaluate the athlete’s jumping strategy</w:t>
      </w:r>
      <w:r>
        <w:rPr>
          <w:rFonts w:ascii="Times New Roman" w:hAnsi="Times New Roman"/>
          <w:color w:val="000000" w:themeColor="text1"/>
        </w:rPr>
        <w:t xml:space="preserve"> </w:t>
      </w:r>
      <w:r>
        <w:rPr>
          <w:rFonts w:ascii="Times New Roman" w:hAnsi="Times New Roman"/>
          <w:noProof/>
          <w:color w:val="000000" w:themeColor="text1"/>
        </w:rPr>
        <w:fldChar w:fldCharType="begin"/>
      </w:r>
      <w:r w:rsidR="00A05ADB">
        <w:rPr>
          <w:rFonts w:ascii="Times New Roman" w:hAnsi="Times New Roman"/>
          <w:noProof/>
          <w:color w:val="000000" w:themeColor="text1"/>
        </w:rPr>
        <w:instrText xml:space="preserve"> ADDIN ZOTERO_ITEM CSL_CITATION {"citationID":"elwf1Hdi","properties":{"formattedCitation":"(A. Heishman, Daub, et al., 2020; A. Heishman et al., 2019)","plainCitation":"(A. Heishman, Daub, et al., 2020; A. Heishman et al., 2019)","noteIndex":0},"citationItems":[{"id":70,"uris":["http://zotero.org/users/6327055/items/E8G29XZE"],"itemData":{"id":70,"type":"article-journal","abstract":"The purpose of the present study was to establish the intrasession and intersession reliability of variables obtained from a force plate that was used to quantitate lower extremity inter-limb asymmetry during the bilateral countermovement jump (CMJ). Secondarily, a comparison was performed to determine the inﬂuence of the jump protocol CMJ with or without an arm swing (CMJ AS and CMJ NAS, respectively) on inter-limb asymmetries. Twenty-two collegiate basketball players performed three CMJ AS and three CMJ NAS on dual force platforms during two separate testing sessions. A majority of variables met the acceptable criterion of intersession and intrasession relative reliability (ICC &gt; 0.700), while fewer than half met standards established for absolute reliability (CV &lt; 10%). CMJ protocol appeared to inﬂuence asymmetries; Concentric Impulse-100 ms, Eccentric Braking Rate of Force Development, Eccentric Deceleration, and Force at Zero velocity were signiﬁcantly di</w:instrText>
      </w:r>
      <w:r w:rsidR="00A05ADB">
        <w:rPr>
          <w:rFonts w:ascii="Cambria Math" w:hAnsi="Cambria Math" w:cs="Cambria Math"/>
          <w:noProof/>
          <w:color w:val="000000" w:themeColor="text1"/>
        </w:rPr>
        <w:instrText>↵</w:instrText>
      </w:r>
      <w:r w:rsidR="00A05ADB">
        <w:rPr>
          <w:rFonts w:ascii="Times New Roman" w:hAnsi="Times New Roman"/>
          <w:noProof/>
          <w:color w:val="000000" w:themeColor="text1"/>
        </w:rPr>
        <w:instrText>erent between jumping conditions (CMJAS versus CMJ NAS; p &lt; 0.05). The present data establish the reliability and smallest worthwhile change of inter-limb asymmetries during the CMJ, while also identifying the inﬂuence of CMJ protocol on inter-limb asymmetries, which can be useful to practitioners and clinicians in order to e</w:instrText>
      </w:r>
      <w:r w:rsidR="00A05ADB">
        <w:rPr>
          <w:rFonts w:ascii="Cambria Math" w:hAnsi="Cambria Math" w:cs="Cambria Math"/>
          <w:noProof/>
          <w:color w:val="000000" w:themeColor="text1"/>
        </w:rPr>
        <w:instrText>↵</w:instrText>
      </w:r>
      <w:r w:rsidR="00A05ADB">
        <w:rPr>
          <w:rFonts w:ascii="Times New Roman" w:hAnsi="Times New Roman"/>
          <w:noProof/>
          <w:color w:val="000000" w:themeColor="text1"/>
        </w:rPr>
        <w:instrText xml:space="preserve">ectively monitor changes associated with performance, injury risk, and return-to-play strategies.","container-title":"Sports","DOI":"10.3390/sports7050103","ISSN":"2075-4663","issue":"5","journalAbbreviation":"Sports","language":"en","page":"103","source":"DOI.org (Crossref)","title":"Countermovement jump inter-limb asymmetries in collegiate basketball players","volume":"7","author":[{"family":"Heishman","given":"Aaron"},{"family":"Daub","given":"Bryce"},{"family":"Miller","given":"Ryan"},{"family":"Brown","given":"Brady"},{"family":"Freitas","given":"Eduardo"},{"family":"Bemben","given":"Michael"}],"issued":{"date-parts":[["2019",4,30]]}}},{"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Pr>
          <w:rFonts w:ascii="Times New Roman" w:hAnsi="Times New Roman"/>
          <w:noProof/>
          <w:color w:val="000000" w:themeColor="text1"/>
        </w:rPr>
        <w:fldChar w:fldCharType="separate"/>
      </w:r>
      <w:r w:rsidR="00A05ADB">
        <w:rPr>
          <w:rFonts w:ascii="Times New Roman" w:hAnsi="Times New Roman"/>
          <w:noProof/>
          <w:color w:val="000000" w:themeColor="text1"/>
        </w:rPr>
        <w:t>(A. Heishman, Daub, et al., 2020; A. Heishman et al., 2019)</w:t>
      </w:r>
      <w:r>
        <w:rPr>
          <w:rFonts w:ascii="Times New Roman" w:hAnsi="Times New Roman"/>
          <w:noProof/>
          <w:color w:val="000000" w:themeColor="text1"/>
        </w:rPr>
        <w:fldChar w:fldCharType="end"/>
      </w:r>
      <w:r>
        <w:rPr>
          <w:rFonts w:ascii="Times New Roman" w:hAnsi="Times New Roman"/>
          <w:color w:val="000000" w:themeColor="text1"/>
        </w:rPr>
        <w:t>.</w:t>
      </w:r>
    </w:p>
    <w:p w14:paraId="294CF8D2" w14:textId="7EAE7F3E" w:rsidR="001A1514" w:rsidRPr="00EB0E29" w:rsidRDefault="001A1514" w:rsidP="00EB0E29">
      <w:pPr>
        <w:pStyle w:val="ListParagraph"/>
        <w:numPr>
          <w:ilvl w:val="0"/>
          <w:numId w:val="11"/>
        </w:numPr>
        <w:jc w:val="both"/>
        <w:rPr>
          <w:rFonts w:ascii="Times New Roman" w:hAnsi="Times New Roman"/>
        </w:rPr>
      </w:pPr>
      <w:r w:rsidRPr="001A1514">
        <w:rPr>
          <w:rFonts w:ascii="Times New Roman" w:hAnsi="Times New Roman"/>
          <w:b/>
        </w:rPr>
        <w:t>Force at Zero Velocity</w:t>
      </w:r>
      <w:r w:rsidRPr="001A1514">
        <w:rPr>
          <w:rFonts w:ascii="Times New Roman" w:hAnsi="Times New Roman"/>
        </w:rPr>
        <w:t xml:space="preserve"> </w:t>
      </w:r>
      <w:r w:rsidRPr="001A1514">
        <w:rPr>
          <w:rFonts w:ascii="Times New Roman" w:hAnsi="Times New Roman"/>
          <w:b/>
          <w:bCs/>
        </w:rPr>
        <w:t>[N] (F@0V):</w:t>
      </w:r>
      <w:r w:rsidRPr="001A1514">
        <w:rPr>
          <w:rFonts w:ascii="Times New Roman" w:hAnsi="Times New Roman"/>
        </w:rPr>
        <w:t xml:space="preserve"> Force exerted at concentric onset</w:t>
      </w:r>
      <w:r>
        <w:rPr>
          <w:rFonts w:ascii="Times New Roman" w:hAnsi="Times New Roman"/>
        </w:rPr>
        <w:t xml:space="preserve"> </w:t>
      </w:r>
      <w:r>
        <w:rPr>
          <w:rFonts w:ascii="Times New Roman" w:hAnsi="Times New Roman"/>
        </w:rPr>
        <w:fldChar w:fldCharType="begin"/>
      </w:r>
      <w:r w:rsidR="00546507">
        <w:rPr>
          <w:rFonts w:ascii="Times New Roman" w:hAnsi="Times New Roman"/>
        </w:rPr>
        <w:instrText xml:space="preserve"> ADDIN ZOTERO_ITEM CSL_CITATION {"citationID":"zBzrlHBc","properties":{"formattedCitation":"(A. Heishman, Daub, et al., 2020)","plainCitation":"(A. Heishman, Daub, et al., 2020)","noteIndex":0},"citationItems":[{"id":15,"uris":["http://zotero.org/users/6327055/items/JSD3CII9"],"itemData":{"id":15,"type":"article-journal","abstract":"Heishman,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Pr>
          <w:rFonts w:ascii="Times New Roman" w:hAnsi="Times New Roman"/>
        </w:rPr>
        <w:fldChar w:fldCharType="separate"/>
      </w:r>
      <w:r w:rsidR="00546507">
        <w:rPr>
          <w:rFonts w:ascii="Times New Roman" w:hAnsi="Times New Roman"/>
          <w:noProof/>
        </w:rPr>
        <w:t>(A. Heishman, Daub, et al., 2020)</w:t>
      </w:r>
      <w:r>
        <w:rPr>
          <w:rFonts w:ascii="Times New Roman" w:hAnsi="Times New Roman"/>
        </w:rPr>
        <w:fldChar w:fldCharType="end"/>
      </w:r>
      <w:r>
        <w:rPr>
          <w:rFonts w:ascii="Times New Roman" w:hAnsi="Times New Roman"/>
        </w:rPr>
        <w:t>.</w:t>
      </w:r>
    </w:p>
    <w:p w14:paraId="4E3FF5EE" w14:textId="51CBD7FC" w:rsidR="00EB0E29" w:rsidRDefault="00EB0E29" w:rsidP="00EB0E29">
      <w:pPr>
        <w:pStyle w:val="ListParagraph"/>
        <w:numPr>
          <w:ilvl w:val="0"/>
          <w:numId w:val="11"/>
        </w:numPr>
        <w:jc w:val="both"/>
        <w:rPr>
          <w:rFonts w:ascii="Times New Roman" w:hAnsi="Times New Roman"/>
        </w:rPr>
      </w:pPr>
      <w:r w:rsidRPr="00CA3793">
        <w:rPr>
          <w:rFonts w:ascii="Times New Roman" w:hAnsi="Times New Roman"/>
          <w:b/>
        </w:rPr>
        <w:t>Inertial Measurement Unit</w:t>
      </w:r>
      <w:r w:rsidRPr="00CA3793">
        <w:rPr>
          <w:rFonts w:ascii="Times New Roman" w:hAnsi="Times New Roman"/>
        </w:rPr>
        <w:t xml:space="preserve"> </w:t>
      </w:r>
      <w:r w:rsidRPr="002B34EC">
        <w:rPr>
          <w:rFonts w:ascii="Times New Roman" w:hAnsi="Times New Roman"/>
          <w:b/>
          <w:bCs/>
        </w:rPr>
        <w:t>(IMU):</w:t>
      </w:r>
      <w:r w:rsidRPr="00CA3793">
        <w:rPr>
          <w:rFonts w:ascii="Times New Roman" w:hAnsi="Times New Roman"/>
        </w:rPr>
        <w:t xml:space="preserve"> </w:t>
      </w:r>
      <w:r>
        <w:rPr>
          <w:rFonts w:ascii="Times New Roman" w:hAnsi="Times New Roman"/>
        </w:rPr>
        <w:t>M</w:t>
      </w:r>
      <w:r w:rsidRPr="00CA3793">
        <w:rPr>
          <w:rFonts w:ascii="Times New Roman" w:hAnsi="Times New Roman"/>
        </w:rPr>
        <w:t>icrosensor incorporating an accelerometer, a gyroscope, and a magnetometer used to measure athlete movement and activity</w:t>
      </w:r>
      <w:r>
        <w:rPr>
          <w:rFonts w:ascii="Times New Roman" w:hAnsi="Times New Roman"/>
        </w:rPr>
        <w:t xml:space="preserve"> </w:t>
      </w:r>
      <w:r>
        <w:rPr>
          <w:rFonts w:ascii="Times New Roman" w:hAnsi="Times New Roman"/>
        </w:rPr>
        <w:fldChar w:fldCharType="begin"/>
      </w:r>
      <w:r w:rsidR="00546507">
        <w:rPr>
          <w:rFonts w:ascii="Times New Roman" w:hAnsi="Times New Roman"/>
        </w:rPr>
        <w:instrText xml:space="preserve"> ADDIN ZOTERO_ITEM CSL_CITATION {"citationID":"xNBMtl6y","properties":{"formattedCitation":"(A. Heishman, Miller, et al., 2020; A. Heishman, Peak, et al., 2020)","plainCitation":"(A. Heishman, Miller, et al., 2020; A. Heishman, Peak, et al., 2020)","noteIndex":0},"citationItems":[{"id":523,"uris":["http://zotero.org/users/6327055/items/5S9IURDG"],"itemData":{"id":523,"type":"article-journal","abstract":"Limited research has paralleled concomitant changes in external training load (eTL) and countermovement jump (CMJ) performance. Therefore, this investigation characterized eTL and CMJ performance changes across preseason training in Division 1 male collegiate basketball athletes, while examining the influence of position (Guard vs. Forward/Center) and scholarship status (Scholarship = S vs. Walk-on = WO). During 22 practices, eTL was monitored in 14 male athletes, with weekly CMJs performed to quantify neuromuscular performance (Jump Height [JH], Flight Time:Contraction Time [FT:CT], Reactive Strength Index Modified [RSIMod ]). PlayerLoad per minute was significantly higher during W1 and W2 (5.4 ± 1.3au and 5.3 ± 1.2au, respectively; p &lt; 0.05) compared to subsequent weeks, but no additional differences in eTL parameters across time were observed. Scholarship athletes displayed greater PlayerLoad (S = 777.1 ± 35.6, WO = 530.1 ± 56.20; Inertial Movement Analysis (IMA) IMA_High (S = 70.9 ± 15.2, WO = 41.3 ± 15.2); IMA_Medium (S = 159.9 ± 30.7, WO = 92.7 ± 30.6); and IMA_Low (S = 700.6 ± 105.1, WO = 405 ± 105.0;) (p &lt; 0.05), with no observed differences in eTL by position. Moderate decreases in FT:CT and RSIMod paralleled increased eTL. Significant increases in practice intensity (W1 and W2) did not impact CMJ performance, suggesting athletes could cope with the prescribed training loads. However, moderate perturbations in FT:CT and RSIMod paralleled the weeks with intensified training. Cumulatively, scholarship status appears to influence eTL while player position does not.","container-title":"Medicine &amp; Science in Sports &amp; Exercise","DOI":"10.1249/01.mss.0000560595.64671.b6","ISSN":"1530-0315, 0195-9131","issue":"6S","language":"en","page":"35-35","source":"DOI.org (Crossref)","title":"Monitoring external training loads and neuromuscular performance for division 1 basketball players over the pre-season","title-short":"Monitoring External Training Loads and Neuromuscular Performance For Division I Basketball Players Over the Pre-Season","volume":"51","author":[{"family":"Heishman","given":"Aaron"},{"family":"Miller","given":"Ryan"},{"family":"Freitas","given":"Eduardo"},{"family":"Brown","given":"Brady"},{"family":"Daub","given":"Bryce"},{"family":"Bemben","given":"Michael"}],"issued":{"date-parts":[["2020",2]]}}},{"id":275,"uris":["http://zotero.org/users/6327055/items/Y8Q9W2NY"],"itemData":{"id":275,"type":"article-journal","abstract":"Monitoring external training load (eTL) has become popular for team sport for managing fatigue, optimizing performance, and guiding return-to-play protocols. During indoor sports, eTL can be measured via inertial measurement units (IMU) or indoor positioning systems (IPS). Though each device provides unique information, the relationships between devices has not been examined. Therefore, the purpose of this study was to assess the association of eTL between an IMU and IPS used to monitor eTL in team sport. Retrospective analyses were performed on 13 elite male National Collegiate Athletic Association (NCAA) Division I basketball players (age: 20.2 ± 1.2 years, height: 201.1 ± 7.6 cm, mass: 96.8 ± 8.8 kg) from three practices during the oﬀ-season training phase. A one-way analysis of variance was used to test diﬀerences in eTL across practices. Pearson’s correlation examined the association between the Distance traveled during practice captured by IPS compared to PlayerLoad (PL), PlayerLoad per Minute (PL/Min), 2-Dimensional PlayerLoad (PL2D), 1-Dimensional PlayerLoad Forward (PL1D-FWD), Side (PL1D-SIDE), and Up (PL1D-UP) captured from the IMU. Regression analyses were performed to predict PL from Distance traveled. The eTL characteristics during Practice 1: PL = 420.4 ± 102.9, PL/min = 5.8 ± 1.4, Distance = 1645.9 ± 377.0 m; Practice 2: PL = 472.8 ± 109.5, PL/min = 5.1 ± 1.2, Distance = 1940.0 ± 436.3 m; Practice 3: PL = 295.1 ± 57.8, PL/min = 5.3 ± 1.0, Distance = 1198.2 ± 219.2 m. Signiﬁcant (p ≤ 0.05) diﬀerences were observed in PL, PL2D, PL1D-FWD, PL1D-SIDE, PL1D-UP, and Distance across practices. Signiﬁcant correlations (p ≤ 0.001) existed between Distance and PL parameters (Practice 1: r = 0.799–0.891; Practice 2: r = 0.819–0.972; and Practice 3: 0.761–0.891). Predictive models using Distance traveled accounted for 73.5–89.7% of the variance in PL. Signiﬁcant relationships and predictive capacities exists between systems. Nonetheless, each system also appears to capture unique information that may still be useful to performance practitioners regarding the understanding of eTL.","container-title":"Sports","DOI":"10.3390/sports8030033","ISSN":"2075-4663","issue":"3","journalAbbreviation":"Sports","language":"en","page":"33","source":"DOI.org (Crossref)","title":"Associations between two athlete monitoring systems used to quantify external training loads in basketball players","volume":"8","author":[{"family":"Heishman","given":"Aaron"},{"family":"Peak","given":"Keldon"},{"family":"Miller","given":"Ryan"},{"family":"Brown","given":"Brady"},{"family":"Daub","given":"Bryce"},{"family":"Freitas","given":"Eduardo"},{"family":"Bemben","given":"Michael"}],"issued":{"date-parts":[["2020",3,11]]}}}],"schema":"https://github.com/citation-style-language/schema/raw/master/csl-citation.json"} </w:instrText>
      </w:r>
      <w:r>
        <w:rPr>
          <w:rFonts w:ascii="Times New Roman" w:hAnsi="Times New Roman"/>
        </w:rPr>
        <w:fldChar w:fldCharType="separate"/>
      </w:r>
      <w:r w:rsidR="00D233A9">
        <w:rPr>
          <w:rFonts w:ascii="Times New Roman" w:hAnsi="Times New Roman"/>
          <w:noProof/>
        </w:rPr>
        <w:t>(A. Heishman, Miller, et al., 2020; A. Heishman, Peak, et al., 2020)</w:t>
      </w:r>
      <w:r>
        <w:rPr>
          <w:rFonts w:ascii="Times New Roman" w:hAnsi="Times New Roman"/>
        </w:rPr>
        <w:fldChar w:fldCharType="end"/>
      </w:r>
      <w:r>
        <w:rPr>
          <w:rFonts w:ascii="Times New Roman" w:hAnsi="Times New Roman"/>
        </w:rPr>
        <w:t>.</w:t>
      </w:r>
    </w:p>
    <w:p w14:paraId="2A4851FD" w14:textId="16A4AFC9" w:rsidR="00636C2F" w:rsidRDefault="00636C2F" w:rsidP="00EB0E29">
      <w:pPr>
        <w:pStyle w:val="ListParagraph"/>
        <w:numPr>
          <w:ilvl w:val="0"/>
          <w:numId w:val="11"/>
        </w:numPr>
        <w:jc w:val="both"/>
        <w:rPr>
          <w:rFonts w:ascii="Times New Roman" w:hAnsi="Times New Roman"/>
        </w:rPr>
      </w:pPr>
      <w:r w:rsidRPr="00636C2F">
        <w:rPr>
          <w:rFonts w:ascii="Times New Roman" w:hAnsi="Times New Roman"/>
          <w:b/>
        </w:rPr>
        <w:t>Inertial Movement Analysis™</w:t>
      </w:r>
      <w:r w:rsidRPr="00636C2F">
        <w:rPr>
          <w:rFonts w:ascii="Times New Roman" w:hAnsi="Times New Roman"/>
        </w:rPr>
        <w:t xml:space="preserve"> </w:t>
      </w:r>
      <w:r w:rsidRPr="002B34EC">
        <w:rPr>
          <w:rFonts w:ascii="Times New Roman" w:hAnsi="Times New Roman"/>
          <w:b/>
          <w:bCs/>
        </w:rPr>
        <w:t>(IMA):</w:t>
      </w:r>
      <w:r w:rsidRPr="00636C2F">
        <w:rPr>
          <w:rFonts w:ascii="Times New Roman" w:hAnsi="Times New Roman"/>
        </w:rPr>
        <w:t xml:space="preserve"> instant one-step movement effort; distinct acceleration micro-movement events generated during sudden explosive movement bouts, such as accelerations, decelerations, and change of direction (</w:t>
      </w:r>
      <w:proofErr w:type="spellStart"/>
      <w:r w:rsidRPr="00636C2F">
        <w:rPr>
          <w:rFonts w:ascii="Times New Roman" w:hAnsi="Times New Roman"/>
        </w:rPr>
        <w:t>CoD</w:t>
      </w:r>
      <w:proofErr w:type="spellEnd"/>
      <w:r w:rsidRPr="00636C2F">
        <w:rPr>
          <w:rFonts w:ascii="Times New Roman" w:hAnsi="Times New Roman"/>
        </w:rPr>
        <w:t>) movements and expressed as the number of occurrences (counts)</w:t>
      </w:r>
      <w:r>
        <w:rPr>
          <w:rFonts w:ascii="Times New Roman" w:hAnsi="Times New Roman"/>
        </w:rPr>
        <w:t xml:space="preserve"> </w:t>
      </w:r>
      <w:r>
        <w:rPr>
          <w:rFonts w:ascii="Times New Roman" w:hAnsi="Times New Roman"/>
        </w:rPr>
        <w:fldChar w:fldCharType="begin"/>
      </w:r>
      <w:r w:rsidR="00546507">
        <w:rPr>
          <w:rFonts w:ascii="Times New Roman" w:hAnsi="Times New Roman"/>
        </w:rPr>
        <w:instrText xml:space="preserve"> ADDIN ZOTERO_ITEM CSL_CITATION {"citationID":"AKCJfoAl","properties":{"formattedCitation":"(A. Heishman, Miller, et al., 2020; Holme, 2015)","plainCitation":"(A. Heishman, Miller, et al., 2020; Holme, 2015)","noteIndex":0},"citationItems":[{"id":523,"uris":["http://zotero.org/users/6327055/items/5S9IURDG"],"itemData":{"id":523,"type":"article-journal","abstract":"Limited research has paralleled concomitant changes in external training load (eTL) and countermovement jump (CMJ) performance. Therefore, this investigation characterized eTL and CMJ performance changes across preseason training in Division 1 male collegiate basketball athletes, while examining the influence of position (Guard vs. Forward/Center) and scholarship status (Scholarship = S vs. Walk-on = WO). During 22 practices, eTL was monitored in 14 male athletes, with weekly CMJs performed to quantify neuromuscular performance (Jump Height [JH], Flight Time:Contraction Time [FT:CT], Reactive Strength Index Modified [RSIMod ]). PlayerLoad per minute was significantly higher during W1 and W2 (5.4 ± 1.3au and 5.3 ± 1.2au, respectively; p &lt; 0.05) compared to subsequent weeks, but no additional differences in eTL parameters across time were observed. Scholarship athletes displayed greater PlayerLoad (S = 777.1 ± 35.6, WO = 530.1 ± 56.20; Inertial Movement Analysis (IMA) IMA_High (S = 70.9 ± 15.2, WO = 41.3 ± 15.2); IMA_Medium (S = 159.9 ± 30.7, WO = 92.7 ± 30.6); and IMA_Low (S = 700.6 ± 105.1, WO = 405 ± 105.0;) (p &lt; 0.05), with no observed differences in eTL by position. Moderate decreases in FT:CT and RSIMod paralleled increased eTL. Significant increases in practice intensity (W1 and W2) did not impact CMJ performance, suggesting athletes could cope with the prescribed training loads. However, moderate perturbations in FT:CT and RSIMod paralleled the weeks with intensified training. Cumulatively, scholarship status appears to influence eTL while player position does not.","container-title":"Medicine &amp; Science in Sports &amp; Exercise","DOI":"10.1249/01.mss.0000560595.64671.b6","ISSN":"1530-0315, 0195-9131","issue":"6S","language":"en","page":"35-35","source":"DOI.org (Crossref)","title":"Monitoring external training loads and neuromuscular performance for division 1 basketball players over the pre-season","title-short":"Monitoring External Training Loads and Neuromuscular Performance For Division I Basketball Players Over the Pre-Season","volume":"51","author":[{"family":"Heishman","given":"Aaron"},{"family":"Miller","given":"Ryan"},{"family":"Freitas","given":"Eduardo"},{"family":"Brown","given":"Brady"},{"family":"Daub","given":"Bryce"},{"family":"Bemben","given":"Michael"}],"issued":{"date-parts":[["2020",2]]}}},{"id":286,"uris":["http://zotero.org/users/6327055/items/65YA8HC9"],"itemData":{"id":286,"type":"article-journal","abstract":"....................................................................................................... 3","container-title":"Norwegian School of Sport Sciences, Olso","language":"en","source":"www.semanticscholar.org","title":"Wearable microsensor technology to measure physical activity demands in handball: a reliability study of inertial movement analysis and player load","title-short":"Wearable microsensor technology to measure physical activity demands in handball","URL":"/paper/Wearable-microsensor-technology-to-measure-physical-Holme/80af29628bc86bfaecea9c350efe0524c98cabca","author":[{"family":"Holme","given":"B."}],"accessed":{"date-parts":[["2021",3,28]]},"issued":{"date-parts":[["2015"]]}}}],"schema":"https://github.com/citation-style-language/schema/raw/master/csl-citation.json"} </w:instrText>
      </w:r>
      <w:r>
        <w:rPr>
          <w:rFonts w:ascii="Times New Roman" w:hAnsi="Times New Roman"/>
        </w:rPr>
        <w:fldChar w:fldCharType="separate"/>
      </w:r>
      <w:r>
        <w:rPr>
          <w:rFonts w:ascii="Times New Roman" w:hAnsi="Times New Roman"/>
          <w:noProof/>
        </w:rPr>
        <w:t>(A. Heishman, Miller, et al., 2020; Holme, 2015)</w:t>
      </w:r>
      <w:r>
        <w:rPr>
          <w:rFonts w:ascii="Times New Roman" w:hAnsi="Times New Roman"/>
        </w:rPr>
        <w:fldChar w:fldCharType="end"/>
      </w:r>
      <w:r>
        <w:rPr>
          <w:rFonts w:ascii="Times New Roman" w:hAnsi="Times New Roman"/>
        </w:rPr>
        <w:t>.</w:t>
      </w:r>
    </w:p>
    <w:p w14:paraId="49A3A4BB" w14:textId="1A926A06" w:rsidR="00EB0E29" w:rsidRDefault="00EB0E29" w:rsidP="00EB0E29">
      <w:pPr>
        <w:pStyle w:val="ListParagraph"/>
        <w:numPr>
          <w:ilvl w:val="0"/>
          <w:numId w:val="11"/>
        </w:numPr>
        <w:jc w:val="both"/>
        <w:rPr>
          <w:rFonts w:ascii="Times New Roman" w:hAnsi="Times New Roman"/>
        </w:rPr>
      </w:pPr>
      <w:r w:rsidRPr="00030F79">
        <w:rPr>
          <w:rFonts w:ascii="Times New Roman" w:hAnsi="Times New Roman"/>
          <w:b/>
          <w:bCs/>
        </w:rPr>
        <w:t xml:space="preserve">Internal training load </w:t>
      </w:r>
      <w:r w:rsidRPr="002B34EC">
        <w:rPr>
          <w:rFonts w:ascii="Times New Roman" w:hAnsi="Times New Roman"/>
          <w:b/>
          <w:bCs/>
        </w:rPr>
        <w:t>(</w:t>
      </w:r>
      <w:proofErr w:type="spellStart"/>
      <w:r w:rsidRPr="002B34EC">
        <w:rPr>
          <w:rFonts w:ascii="Times New Roman" w:hAnsi="Times New Roman"/>
          <w:b/>
          <w:bCs/>
        </w:rPr>
        <w:t>iTL</w:t>
      </w:r>
      <w:proofErr w:type="spellEnd"/>
      <w:r w:rsidRPr="002B34EC">
        <w:rPr>
          <w:rFonts w:ascii="Times New Roman" w:hAnsi="Times New Roman"/>
          <w:b/>
          <w:bCs/>
        </w:rPr>
        <w:t>):</w:t>
      </w:r>
      <w:r w:rsidRPr="00030F79">
        <w:rPr>
          <w:rFonts w:ascii="Times New Roman" w:hAnsi="Times New Roman"/>
        </w:rPr>
        <w:t xml:space="preserve"> </w:t>
      </w:r>
      <w:r>
        <w:rPr>
          <w:rFonts w:ascii="Times New Roman" w:hAnsi="Times New Roman"/>
        </w:rPr>
        <w:t>T</w:t>
      </w:r>
      <w:r w:rsidRPr="00030F79">
        <w:rPr>
          <w:rFonts w:ascii="Times New Roman" w:hAnsi="Times New Roman"/>
        </w:rPr>
        <w:t>he relative biological response to a stimuli inflicted on the athlete</w:t>
      </w:r>
      <w:r>
        <w:rPr>
          <w:rFonts w:ascii="Times New Roman" w:hAnsi="Times New Roman"/>
        </w:rPr>
        <w:t xml:space="preserve"> </w:t>
      </w:r>
      <w:r>
        <w:rPr>
          <w:rFonts w:ascii="Times New Roman" w:hAnsi="Times New Roman"/>
          <w:noProof/>
        </w:rPr>
        <w:fldChar w:fldCharType="begin"/>
      </w:r>
      <w:r w:rsidR="00546507">
        <w:rPr>
          <w:rFonts w:ascii="Times New Roman" w:hAnsi="Times New Roman"/>
          <w:noProof/>
        </w:rPr>
        <w:instrText xml:space="preserve"> ADDIN ZOTERO_ITEM CSL_CITATION {"citationID":"06Or1p33","properties":{"formattedCitation":"(Halson, 2014; A. Heishman et al., 2018)","plainCitation":"(Halson, 2014; A. Heishman et al., 2018)","noteIndex":0},"citationItems":[{"id":265,"uris":["http://zotero.org/users/6327055/items/E6RD28YW"],"itemData":{"id":265,"type":"article-journal","container-title":"Sports Medicine","DOI":"10.1007/s40279-014-0253-z","ISSN":"0112-1642, 1179-2035","issue":"S2","journalAbbreviation":"Sports Med","language":"en","page":"139-147","source":"DOI.org (Crossref)","title":"Monitoring training load to understand fatigue in athletes","volume":"44","author":[{"family":"Halson","given":"Shona L."}],"issued":{"date-parts":[["2014",11]]}}},{"id":267,"uris":["http://zotero.org/users/6327055/items/V555YN52"],"itemData":{"id":267,"type":"article-journal","container-title":"Journal of Strength and Conditioning Research","DOI":"10.1519/JSC.0000000000002413","ISSN":"1064-8011","issue":"5","language":"en","page":"1280-1287","source":"DOI.org (Crossref)","title":"Noninvasive assessment of internal and external player load: Implications for optimizing athletic performance","title-short":"Noninvasive Assessment of Internal and External Player Load","volume":"32","author":[{"family":"Heishman","given":"Aaron"},{"family":"Curtis","given":"Michael"},{"family":"Saliba","given":"Ethan"},{"family":"Hornett","given":"Robert"},{"family":"Malin","given":"Steven"},{"family":"Weltman","given":"Arthur"}],"issued":{"date-parts":[["2018",5]]}}}],"schema":"https://github.com/citation-style-language/schema/raw/master/csl-citation.json"} </w:instrText>
      </w:r>
      <w:r>
        <w:rPr>
          <w:rFonts w:ascii="Times New Roman" w:hAnsi="Times New Roman"/>
          <w:noProof/>
        </w:rPr>
        <w:fldChar w:fldCharType="separate"/>
      </w:r>
      <w:r w:rsidR="00546507">
        <w:rPr>
          <w:rFonts w:ascii="Times New Roman" w:hAnsi="Times New Roman"/>
          <w:noProof/>
        </w:rPr>
        <w:t>(Halson, 2014; A. Heishman et al., 2018)</w:t>
      </w:r>
      <w:r>
        <w:rPr>
          <w:rFonts w:ascii="Times New Roman" w:hAnsi="Times New Roman"/>
          <w:noProof/>
        </w:rPr>
        <w:fldChar w:fldCharType="end"/>
      </w:r>
      <w:r>
        <w:rPr>
          <w:rFonts w:ascii="Times New Roman" w:hAnsi="Times New Roman"/>
        </w:rPr>
        <w:t>.</w:t>
      </w:r>
    </w:p>
    <w:p w14:paraId="64C2C9AD" w14:textId="0F7B6198" w:rsidR="001A1514" w:rsidRDefault="001A1514" w:rsidP="00EB0E29">
      <w:pPr>
        <w:pStyle w:val="ListParagraph"/>
        <w:numPr>
          <w:ilvl w:val="0"/>
          <w:numId w:val="11"/>
        </w:numPr>
        <w:jc w:val="both"/>
        <w:rPr>
          <w:rFonts w:ascii="Times New Roman" w:hAnsi="Times New Roman"/>
        </w:rPr>
      </w:pPr>
      <w:r w:rsidRPr="001A1514">
        <w:rPr>
          <w:rFonts w:ascii="Times New Roman" w:hAnsi="Times New Roman"/>
          <w:b/>
        </w:rPr>
        <w:t>Jump Height</w:t>
      </w:r>
      <w:r w:rsidRPr="001A1514">
        <w:rPr>
          <w:rFonts w:ascii="Times New Roman" w:hAnsi="Times New Roman"/>
        </w:rPr>
        <w:t xml:space="preserve"> </w:t>
      </w:r>
      <w:r w:rsidRPr="001A1514">
        <w:rPr>
          <w:rFonts w:ascii="Times New Roman" w:hAnsi="Times New Roman"/>
          <w:b/>
          <w:bCs/>
        </w:rPr>
        <w:t>[cm] (JH):</w:t>
      </w:r>
      <w:r w:rsidRPr="001A1514">
        <w:rPr>
          <w:rFonts w:ascii="Times New Roman" w:hAnsi="Times New Roman"/>
        </w:rPr>
        <w:t xml:space="preserve"> Maximal jump height computed using flight time methodology</w:t>
      </w:r>
      <w:r>
        <w:rPr>
          <w:rFonts w:ascii="Times New Roman" w:hAnsi="Times New Roman"/>
        </w:rPr>
        <w:t xml:space="preserve"> </w:t>
      </w:r>
      <w:r>
        <w:rPr>
          <w:rFonts w:ascii="Times New Roman" w:hAnsi="Times New Roman"/>
        </w:rPr>
        <w:fldChar w:fldCharType="begin"/>
      </w:r>
      <w:r w:rsidR="00A05ADB">
        <w:rPr>
          <w:rFonts w:ascii="Times New Roman" w:hAnsi="Times New Roman"/>
        </w:rPr>
        <w:instrText xml:space="preserve"> ADDIN ZOTERO_ITEM CSL_CITATION {"citationID":"D5P6QQg3","properties":{"formattedCitation":"(A. Heishman, Daub, et al., 2020; A. Heishman et al., 2019)","plainCitation":"(A. Heishman, Daub, et al., 2020; A. Heishman et al., 2019)","noteIndex":0},"citationItems":[{"id":70,"uris":["http://zotero.org/users/6327055/items/E8G29XZE"],"itemData":{"id":70,"type":"article-journal","abstract":"The purpose of the present study was to establish the intrasession and intersession reliability of variables obtained from a force plate that was used to quantitate lower extremity inter-limb asymmetry during the bilateral countermovement jump (CMJ). Secondarily, a comparison was performed to determine the inﬂuence of the jump protocol CMJ with or without an arm swing (CMJ AS and CMJ NAS, respectively) on inter-limb asymmetries. Twenty-two collegiate basketball players performed three CMJ AS and three CMJ NAS on dual force platforms during two separate testing sessions. A majority of variables met the acceptable criterion of intersession and intrasession relative reliability (ICC &gt; 0.700), while fewer than half met standards established for absolute reliability (CV &lt; 10%). CMJ protocol appeared to inﬂuence asymmetries; Concentric Impulse-100 ms, Eccentric Braking Rate of Force Development, Eccentric Deceleration, and Force at Zero velocity were signiﬁcantly di</w:instrText>
      </w:r>
      <w:r w:rsidR="00A05ADB">
        <w:rPr>
          <w:rFonts w:ascii="Cambria Math" w:hAnsi="Cambria Math" w:cs="Cambria Math"/>
        </w:rPr>
        <w:instrText>↵</w:instrText>
      </w:r>
      <w:r w:rsidR="00A05ADB">
        <w:rPr>
          <w:rFonts w:ascii="Times New Roman" w:hAnsi="Times New Roman"/>
        </w:rPr>
        <w:instrText>erent between jumping conditions (CMJAS versus CMJ NAS; p &lt; 0.05). The present data establish the reliability and smallest worthwhile change of inter-limb asymmetries during the CMJ, while also identifying the inﬂuence of CMJ protocol on inter-limb asymmetries, which can be useful to practitioners and clinicians in order to e</w:instrText>
      </w:r>
      <w:r w:rsidR="00A05ADB">
        <w:rPr>
          <w:rFonts w:ascii="Cambria Math" w:hAnsi="Cambria Math" w:cs="Cambria Math"/>
        </w:rPr>
        <w:instrText>↵</w:instrText>
      </w:r>
      <w:r w:rsidR="00A05ADB">
        <w:rPr>
          <w:rFonts w:ascii="Times New Roman" w:hAnsi="Times New Roman"/>
        </w:rPr>
        <w:instrText xml:space="preserve">ectively monitor changes associated with performance, injury risk, and return-to-play strategies.","container-title":"Sports","DOI":"10.3390/sports7050103","ISSN":"2075-4663","issue":"5","journalAbbreviation":"Sports","language":"en","page":"103","source":"DOI.org (Crossref)","title":"Countermovement jump inter-limb asymmetries in collegiate basketball players","volume":"7","author":[{"family":"Heishman","given":"Aaron"},{"family":"Daub","given":"Bryce"},{"family":"Miller","given":"Ryan"},{"family":"Brown","given":"Brady"},{"family":"Freitas","given":"Eduardo"},{"family":"Bemben","given":"Michael"}],"issued":{"date-parts":[["2019",4,30]]}}},{"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Pr>
          <w:rFonts w:ascii="Times New Roman" w:hAnsi="Times New Roman"/>
        </w:rPr>
        <w:fldChar w:fldCharType="separate"/>
      </w:r>
      <w:r w:rsidR="00A05ADB">
        <w:rPr>
          <w:rFonts w:ascii="Times New Roman" w:hAnsi="Times New Roman"/>
          <w:noProof/>
        </w:rPr>
        <w:t>(A. Heishman, Daub, et al., 2020; A. Heishman et al., 2019)</w:t>
      </w:r>
      <w:r>
        <w:rPr>
          <w:rFonts w:ascii="Times New Roman" w:hAnsi="Times New Roman"/>
        </w:rPr>
        <w:fldChar w:fldCharType="end"/>
      </w:r>
      <w:r>
        <w:rPr>
          <w:rFonts w:ascii="Times New Roman" w:hAnsi="Times New Roman"/>
        </w:rPr>
        <w:t xml:space="preserve">. </w:t>
      </w:r>
    </w:p>
    <w:p w14:paraId="1C917B4E" w14:textId="1340CF17" w:rsidR="001A1514" w:rsidRDefault="001A1514" w:rsidP="00EB0E29">
      <w:pPr>
        <w:pStyle w:val="ListParagraph"/>
        <w:numPr>
          <w:ilvl w:val="0"/>
          <w:numId w:val="11"/>
        </w:numPr>
        <w:jc w:val="both"/>
        <w:rPr>
          <w:rFonts w:ascii="Times New Roman" w:hAnsi="Times New Roman"/>
        </w:rPr>
      </w:pPr>
      <w:r w:rsidRPr="001A1514">
        <w:rPr>
          <w:rFonts w:ascii="Times New Roman" w:hAnsi="Times New Roman"/>
          <w:b/>
        </w:rPr>
        <w:t xml:space="preserve">Peak Power </w:t>
      </w:r>
      <w:r w:rsidRPr="001A1514">
        <w:rPr>
          <w:rFonts w:ascii="Times New Roman" w:hAnsi="Times New Roman"/>
          <w:b/>
          <w:bCs/>
        </w:rPr>
        <w:t>[W] (PP):</w:t>
      </w:r>
      <w:r w:rsidRPr="001A1514">
        <w:rPr>
          <w:rFonts w:ascii="Times New Roman" w:hAnsi="Times New Roman"/>
        </w:rPr>
        <w:t xml:space="preserve"> Greatest power achieved</w:t>
      </w:r>
      <w:r>
        <w:rPr>
          <w:rFonts w:ascii="Times New Roman" w:hAnsi="Times New Roman"/>
        </w:rPr>
        <w:t xml:space="preserve"> </w:t>
      </w:r>
      <w:r w:rsidR="00CA43CE">
        <w:rPr>
          <w:rFonts w:ascii="Times New Roman" w:hAnsi="Times New Roman"/>
        </w:rPr>
        <w:fldChar w:fldCharType="begin"/>
      </w:r>
      <w:r w:rsidR="00A05ADB">
        <w:rPr>
          <w:rFonts w:ascii="Times New Roman" w:hAnsi="Times New Roman"/>
        </w:rPr>
        <w:instrText xml:space="preserve"> ADDIN ZOTERO_ITEM CSL_CITATION {"citationID":"s6nQbtPr","properties":{"formattedCitation":"(A. Heishman, Daub, et al., 2020; A. Heishman et al., 2019)","plainCitation":"(A. Heishman, Daub, et al., 2020; A. Heishman et al., 2019)","noteIndex":0},"citationItems":[{"id":70,"uris":["http://zotero.org/users/6327055/items/E8G29XZE"],"itemData":{"id":70,"type":"article-journal","abstract":"The purpose of the present study was to establish the intrasession and intersession reliability of variables obtained from a force plate that was used to quantitate lower extremity inter-limb asymmetry during the bilateral countermovement jump (CMJ). Secondarily, a comparison was performed to determine the inﬂuence of the jump protocol CMJ with or without an arm swing (CMJ AS and CMJ NAS, respectively) on inter-limb asymmetries. Twenty-two collegiate basketball players performed three CMJ AS and three CMJ NAS on dual force platforms during two separate testing sessions. A majority of variables met the acceptable criterion of intersession and intrasession relative reliability (ICC &gt; 0.700), while fewer than half met standards established for absolute reliability (CV &lt; 10%). CMJ protocol appeared to inﬂuence asymmetries; Concentric Impulse-100 ms, Eccentric Braking Rate of Force Development, Eccentric Deceleration, and Force at Zero velocity were signiﬁcantly di</w:instrText>
      </w:r>
      <w:r w:rsidR="00A05ADB">
        <w:rPr>
          <w:rFonts w:ascii="Cambria Math" w:hAnsi="Cambria Math" w:cs="Cambria Math"/>
        </w:rPr>
        <w:instrText>↵</w:instrText>
      </w:r>
      <w:r w:rsidR="00A05ADB">
        <w:rPr>
          <w:rFonts w:ascii="Times New Roman" w:hAnsi="Times New Roman"/>
        </w:rPr>
        <w:instrText>erent between jumping conditions (CMJAS versus CMJ NAS; p &lt; 0.05). The present data establish the reliability and smallest worthwhile change of inter-limb asymmetries during the CMJ, while also identifying the inﬂuence of CMJ protocol on inter-limb asymmetries, which can be useful to practitioners and clinicians in order to e</w:instrText>
      </w:r>
      <w:r w:rsidR="00A05ADB">
        <w:rPr>
          <w:rFonts w:ascii="Cambria Math" w:hAnsi="Cambria Math" w:cs="Cambria Math"/>
        </w:rPr>
        <w:instrText>↵</w:instrText>
      </w:r>
      <w:r w:rsidR="00A05ADB">
        <w:rPr>
          <w:rFonts w:ascii="Times New Roman" w:hAnsi="Times New Roman"/>
        </w:rPr>
        <w:instrText xml:space="preserve">ectively monitor changes associated with performance, injury risk, and return-to-play strategies.","container-title":"Sports","DOI":"10.3390/sports7050103","ISSN":"2075-4663","issue":"5","journalAbbreviation":"Sports","language":"en","page":"103","source":"DOI.org (Crossref)","title":"Countermovement jump inter-limb asymmetries in collegiate basketball players","volume":"7","author":[{"family":"Heishman","given":"Aaron"},{"family":"Daub","given":"Bryce"},{"family":"Miller","given":"Ryan"},{"family":"Brown","given":"Brady"},{"family":"Freitas","given":"Eduardo"},{"family":"Bemben","given":"Michael"}],"issued":{"date-parts":[["2019",4,30]]}}},{"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sidR="00CA43CE">
        <w:rPr>
          <w:rFonts w:ascii="Times New Roman" w:hAnsi="Times New Roman"/>
        </w:rPr>
        <w:fldChar w:fldCharType="separate"/>
      </w:r>
      <w:r w:rsidR="00A05ADB">
        <w:rPr>
          <w:rFonts w:ascii="Times New Roman" w:hAnsi="Times New Roman"/>
          <w:noProof/>
        </w:rPr>
        <w:t>(A. Heishman, Daub, et al., 2020; A. Heishman et al., 2019)</w:t>
      </w:r>
      <w:r w:rsidR="00CA43CE">
        <w:rPr>
          <w:rFonts w:ascii="Times New Roman" w:hAnsi="Times New Roman"/>
        </w:rPr>
        <w:fldChar w:fldCharType="end"/>
      </w:r>
      <w:r w:rsidR="00CA43CE">
        <w:rPr>
          <w:rFonts w:ascii="Times New Roman" w:hAnsi="Times New Roman"/>
        </w:rPr>
        <w:t xml:space="preserve">. </w:t>
      </w:r>
    </w:p>
    <w:p w14:paraId="7803047F" w14:textId="33DF99DC" w:rsidR="00EB0E29" w:rsidRDefault="00EB0E29" w:rsidP="00EB0E29">
      <w:pPr>
        <w:pStyle w:val="ListParagraph"/>
        <w:numPr>
          <w:ilvl w:val="0"/>
          <w:numId w:val="11"/>
        </w:numPr>
        <w:jc w:val="both"/>
        <w:rPr>
          <w:rFonts w:ascii="Times New Roman" w:hAnsi="Times New Roman"/>
        </w:rPr>
      </w:pPr>
      <w:proofErr w:type="spellStart"/>
      <w:r w:rsidRPr="0096233C">
        <w:rPr>
          <w:rFonts w:ascii="Times New Roman" w:hAnsi="Times New Roman"/>
          <w:b/>
          <w:bCs/>
        </w:rPr>
        <w:lastRenderedPageBreak/>
        <w:t>PlayerLoad</w:t>
      </w:r>
      <w:proofErr w:type="spellEnd"/>
      <w:r w:rsidRPr="0096233C">
        <w:rPr>
          <w:rFonts w:ascii="Times New Roman" w:hAnsi="Times New Roman"/>
          <w:b/>
          <w:bCs/>
        </w:rPr>
        <w:t xml:space="preserve">™ </w:t>
      </w:r>
      <w:r w:rsidRPr="002B34EC">
        <w:rPr>
          <w:rFonts w:ascii="Times New Roman" w:hAnsi="Times New Roman"/>
          <w:b/>
          <w:bCs/>
        </w:rPr>
        <w:t>(PL):</w:t>
      </w:r>
      <w:r w:rsidRPr="0096233C">
        <w:rPr>
          <w:rFonts w:ascii="Times New Roman" w:hAnsi="Times New Roman"/>
        </w:rPr>
        <w:t xml:space="preserve"> Known as the square root of the sum of accelerations of the squared instantaneous rate of change in all orthogonal planes and divided by 100 to account for the scaling factor</w:t>
      </w:r>
      <w:r>
        <w:rPr>
          <w:rFonts w:ascii="Times New Roman" w:hAnsi="Times New Roman"/>
        </w:rPr>
        <w:t xml:space="preserve"> </w:t>
      </w:r>
      <w:r>
        <w:rPr>
          <w:rFonts w:ascii="Times New Roman" w:hAnsi="Times New Roman"/>
          <w:noProof/>
        </w:rPr>
        <w:fldChar w:fldCharType="begin"/>
      </w:r>
      <w:r w:rsidR="00546507">
        <w:rPr>
          <w:rFonts w:ascii="Times New Roman" w:hAnsi="Times New Roman"/>
          <w:noProof/>
        </w:rPr>
        <w:instrText xml:space="preserve"> ADDIN ZOTERO_ITEM CSL_CITATION {"citationID":"vzoBrmsW","properties":{"formattedCitation":"(Boyd et al., 2011)","plainCitation":"(Boyd et al., 2011)","noteIndex":0},"citationItems":[{"id":289,"uris":["http://zotero.org/users/6327055/items/YSGCCWBH"],"itemData":{"id":289,"type":"article-journal","abstract":"Purpose: To assess the reliability of triaxial accelerometers as a measure of physical activity in team sports. Methods: Eight accelerometers (MinimaxX 2.0, Catapult, Australia) were attached to a hydraulic universal testing machine (Instron 8501) and oscillated over two protocols (0.5 g and 3.0 g) to assess within- and betweendevice reliability. A static assessment was also conducted. Secondly, 10 players were instrumented with two accelerometers during Australian football matches. The vector magnitude was calculated, expressed as Player load and assessed for reliability using typical error (TE) ± 90% confidence intervals (CI), and expressed as a coefficient of variation (CV%). The smallest worthwhile difference (SWD) in Player load was calculated to determine if the device was capable of detecting differences in physical activity. Results: Laboratory: Within- (Dynamic: CV 0.91 to 1.05%; Static: CV 1.01%) and between-device (Dynamic: CV 1.02 to 1.04%; Static: CV 1.10%) reliability was acceptable across each test. Field: The between-device reliability of accelerometers during Australian football matches was also acceptable (CV 1.9%). The SWD was 5.88%. Conclusions: The reliability of the MinimaxX accelerometer is acceptable both within and between devices under controlled laboratory conditions, and between devices during field testing. MinimaxX accelerometers can be confidently utilized as a reliable tool to measure physical activity in team sports across multiple players and repeated bouts of activity. The noise (CV%) of Player load was lower than the signal (SWD), suggesting that accelerometers can detect changes or differences in physical activity during Australian football.","container-title":"International Journal of Sports Physiology and Performance","DOI":"10.1123/ijspp.6.3.311","ISSN":"1555-0265, 1555-0273","issue":"3","language":"en","page":"311-321","source":"DOI.org (Crossref)","title":"The reliability of minimaxx accelerometers for measuring physical activity in australian football","volume":"6","author":[{"family":"Boyd","given":"Luke J."},{"family":"Ball","given":"Kevin"},{"family":"Aughey","given":"Robert J."}],"issued":{"date-parts":[["2011",9]]}}}],"schema":"https://github.com/citation-style-language/schema/raw/master/csl-citation.json"} </w:instrText>
      </w:r>
      <w:r>
        <w:rPr>
          <w:rFonts w:ascii="Times New Roman" w:hAnsi="Times New Roman"/>
          <w:noProof/>
        </w:rPr>
        <w:fldChar w:fldCharType="separate"/>
      </w:r>
      <w:r>
        <w:rPr>
          <w:rFonts w:ascii="Times New Roman" w:hAnsi="Times New Roman"/>
          <w:noProof/>
        </w:rPr>
        <w:t>(Boyd et al., 2011)</w:t>
      </w:r>
      <w:r>
        <w:rPr>
          <w:rFonts w:ascii="Times New Roman" w:hAnsi="Times New Roman"/>
          <w:noProof/>
        </w:rPr>
        <w:fldChar w:fldCharType="end"/>
      </w:r>
      <w:r>
        <w:rPr>
          <w:rFonts w:ascii="Times New Roman" w:hAnsi="Times New Roman"/>
        </w:rPr>
        <w:t>.</w:t>
      </w:r>
    </w:p>
    <w:p w14:paraId="763FBF9B" w14:textId="62E92AB9" w:rsidR="00D24A2B" w:rsidRPr="00D24A2B" w:rsidRDefault="00D24A2B" w:rsidP="00EB0E29">
      <w:pPr>
        <w:pStyle w:val="ListParagraph"/>
        <w:numPr>
          <w:ilvl w:val="0"/>
          <w:numId w:val="11"/>
        </w:numPr>
        <w:jc w:val="both"/>
        <w:rPr>
          <w:rFonts w:ascii="Times New Roman" w:hAnsi="Times New Roman"/>
        </w:rPr>
      </w:pPr>
      <w:r w:rsidRPr="00D24A2B">
        <w:rPr>
          <w:rFonts w:ascii="Times New Roman" w:hAnsi="Times New Roman"/>
          <w:b/>
        </w:rPr>
        <w:t>PlayerLoad</w:t>
      </w:r>
      <w:r w:rsidRPr="00D24A2B">
        <w:rPr>
          <w:rFonts w:ascii="Times New Roman" w:hAnsi="Times New Roman"/>
          <w:b/>
          <w:vertAlign w:val="superscript"/>
        </w:rPr>
        <w:t>1D-</w:t>
      </w:r>
      <w:r w:rsidRPr="002B34EC">
        <w:rPr>
          <w:rFonts w:ascii="Times New Roman" w:hAnsi="Times New Roman"/>
          <w:b/>
          <w:vertAlign w:val="superscript"/>
        </w:rPr>
        <w:t xml:space="preserve">FWD </w:t>
      </w:r>
      <w:r w:rsidRPr="002B34EC">
        <w:rPr>
          <w:rFonts w:ascii="Times New Roman" w:hAnsi="Times New Roman"/>
          <w:b/>
        </w:rPr>
        <w:t>(PL</w:t>
      </w:r>
      <w:r w:rsidRPr="002B34EC">
        <w:rPr>
          <w:rFonts w:ascii="Times New Roman" w:hAnsi="Times New Roman"/>
          <w:b/>
          <w:vertAlign w:val="superscript"/>
        </w:rPr>
        <w:t>1D-FWD</w:t>
      </w:r>
      <w:r w:rsidRPr="002B34EC">
        <w:rPr>
          <w:rFonts w:ascii="Times New Roman" w:hAnsi="Times New Roman"/>
          <w:b/>
        </w:rPr>
        <w:t>):</w:t>
      </w:r>
      <w:r w:rsidRPr="00D24A2B">
        <w:rPr>
          <w:rFonts w:ascii="Times New Roman" w:hAnsi="Times New Roman"/>
          <w:bCs/>
        </w:rPr>
        <w:t xml:space="preserve"> </w:t>
      </w:r>
      <w:proofErr w:type="spellStart"/>
      <w:r w:rsidRPr="00D24A2B">
        <w:rPr>
          <w:rFonts w:ascii="Times New Roman" w:hAnsi="Times New Roman"/>
          <w:bCs/>
        </w:rPr>
        <w:t>PlayerLoad</w:t>
      </w:r>
      <w:proofErr w:type="spellEnd"/>
      <w:r w:rsidRPr="00D24A2B">
        <w:rPr>
          <w:rFonts w:ascii="Times New Roman" w:hAnsi="Times New Roman"/>
          <w:bCs/>
        </w:rPr>
        <w:t xml:space="preserve"> only accumulated in the anteroposterior plane of motion</w:t>
      </w:r>
      <w:r>
        <w:rPr>
          <w:rFonts w:ascii="Times New Roman" w:hAnsi="Times New Roman"/>
          <w:bCs/>
        </w:rPr>
        <w:t xml:space="preserve"> </w:t>
      </w:r>
      <w:r>
        <w:rPr>
          <w:rFonts w:ascii="Times New Roman" w:hAnsi="Times New Roman"/>
          <w:bCs/>
        </w:rPr>
        <w:fldChar w:fldCharType="begin"/>
      </w:r>
      <w:r w:rsidR="00546507">
        <w:rPr>
          <w:rFonts w:ascii="Times New Roman" w:hAnsi="Times New Roman"/>
          <w:bCs/>
        </w:rPr>
        <w:instrText xml:space="preserve"> ADDIN ZOTERO_ITEM CSL_CITATION {"citationID":"fh9JmfW2","properties":{"formattedCitation":"(A. Heishman, Peak, et al., 2020)","plainCitation":"(A. Heishman, Peak, et al., 2020)","noteIndex":0},"citationItems":[{"id":275,"uris":["http://zotero.org/users/6327055/items/Y8Q9W2NY"],"itemData":{"id":275,"type":"article-journal","abstract":"Monitoring external training load (eTL) has become popular for team sport for managing fatigue, optimizing performance, and guiding return-to-play protocols. During indoor sports, eTL can be measured via inertial measurement units (IMU) or indoor positioning systems (IPS). Though each device provides unique information, the relationships between devices has not been examined. Therefore, the purpose of this study was to assess the association of eTL between an IMU and IPS used to monitor eTL in team sport. Retrospective analyses were performed on 13 elite male National Collegiate Athletic Association (NCAA) Division I basketball players (age: 20.2 ± 1.2 years, height: 201.1 ± 7.6 cm, mass: 96.8 ± 8.8 kg) from three practices during the oﬀ-season training phase. A one-way analysis of variance was used to test diﬀerences in eTL across practices. Pearson’s correlation examined the association between the Distance traveled during practice captured by IPS compared to PlayerLoad (PL), PlayerLoad per Minute (PL/Min), 2-Dimensional PlayerLoad (PL2D), 1-Dimensional PlayerLoad Forward (PL1D-FWD), Side (PL1D-SIDE), and Up (PL1D-UP) captured from the IMU. Regression analyses were performed to predict PL from Distance traveled. The eTL characteristics during Practice 1: PL = 420.4 ± 102.9, PL/min = 5.8 ± 1.4, Distance = 1645.9 ± 377.0 m; Practice 2: PL = 472.8 ± 109.5, PL/min = 5.1 ± 1.2, Distance = 1940.0 ± 436.3 m; Practice 3: PL = 295.1 ± 57.8, PL/min = 5.3 ± 1.0, Distance = 1198.2 ± 219.2 m. Signiﬁcant (p ≤ 0.05) diﬀerences were observed in PL, PL2D, PL1D-FWD, PL1D-SIDE, PL1D-UP, and Distance across practices. Signiﬁcant correlations (p ≤ 0.001) existed between Distance and PL parameters (Practice 1: r = 0.799–0.891; Practice 2: r = 0.819–0.972; and Practice 3: 0.761–0.891). Predictive models using Distance traveled accounted for 73.5–89.7% of the variance in PL. Signiﬁcant relationships and predictive capacities exists between systems. Nonetheless, each system also appears to capture unique information that may still be useful to performance practitioners regarding the understanding of eTL.","container-title":"Sports","DOI":"10.3390/sports8030033","ISSN":"2075-4663","issue":"3","journalAbbreviation":"Sports","language":"en","page":"33","source":"DOI.org (Crossref)","title":"Associations between two athlete monitoring systems used to quantify external training loads in basketball players","volume":"8","author":[{"family":"Heishman","given":"Aaron"},{"family":"Peak","given":"Keldon"},{"family":"Miller","given":"Ryan"},{"family":"Brown","given":"Brady"},{"family":"Daub","given":"Bryce"},{"family":"Freitas","given":"Eduardo"},{"family":"Bemben","given":"Michael"}],"issued":{"date-parts":[["2020",3,11]]}}}],"schema":"https://github.com/citation-style-language/schema/raw/master/csl-citation.json"} </w:instrText>
      </w:r>
      <w:r>
        <w:rPr>
          <w:rFonts w:ascii="Times New Roman" w:hAnsi="Times New Roman"/>
          <w:bCs/>
        </w:rPr>
        <w:fldChar w:fldCharType="separate"/>
      </w:r>
      <w:r w:rsidR="00D233A9">
        <w:rPr>
          <w:rFonts w:ascii="Times New Roman" w:hAnsi="Times New Roman"/>
          <w:bCs/>
          <w:noProof/>
        </w:rPr>
        <w:t>(A. Heishman, Peak, et al., 2020)</w:t>
      </w:r>
      <w:r>
        <w:rPr>
          <w:rFonts w:ascii="Times New Roman" w:hAnsi="Times New Roman"/>
          <w:bCs/>
        </w:rPr>
        <w:fldChar w:fldCharType="end"/>
      </w:r>
      <w:r>
        <w:rPr>
          <w:rFonts w:ascii="Times New Roman" w:hAnsi="Times New Roman"/>
          <w:bCs/>
        </w:rPr>
        <w:t>.</w:t>
      </w:r>
    </w:p>
    <w:p w14:paraId="356F508C" w14:textId="2E968E9B" w:rsidR="00D24A2B" w:rsidRPr="00D24A2B" w:rsidRDefault="00D24A2B" w:rsidP="00EB0E29">
      <w:pPr>
        <w:pStyle w:val="ListParagraph"/>
        <w:numPr>
          <w:ilvl w:val="0"/>
          <w:numId w:val="11"/>
        </w:numPr>
        <w:jc w:val="both"/>
        <w:rPr>
          <w:rFonts w:ascii="Times New Roman" w:hAnsi="Times New Roman"/>
        </w:rPr>
      </w:pPr>
      <w:r w:rsidRPr="002B34EC">
        <w:rPr>
          <w:rFonts w:ascii="Times New Roman" w:hAnsi="Times New Roman"/>
          <w:b/>
        </w:rPr>
        <w:t>PlayerLoad</w:t>
      </w:r>
      <w:r w:rsidRPr="002B34EC">
        <w:rPr>
          <w:rFonts w:ascii="Times New Roman" w:hAnsi="Times New Roman"/>
          <w:b/>
          <w:vertAlign w:val="superscript"/>
        </w:rPr>
        <w:t xml:space="preserve">1D-SIDE </w:t>
      </w:r>
      <w:r w:rsidRPr="002B34EC">
        <w:rPr>
          <w:rFonts w:ascii="Times New Roman" w:hAnsi="Times New Roman"/>
          <w:b/>
        </w:rPr>
        <w:t>(PL</w:t>
      </w:r>
      <w:r w:rsidRPr="002B34EC">
        <w:rPr>
          <w:rFonts w:ascii="Times New Roman" w:hAnsi="Times New Roman"/>
          <w:b/>
          <w:vertAlign w:val="superscript"/>
        </w:rPr>
        <w:t>1D-SIDE</w:t>
      </w:r>
      <w:r w:rsidRPr="002B34EC">
        <w:rPr>
          <w:rFonts w:ascii="Times New Roman" w:hAnsi="Times New Roman"/>
          <w:b/>
        </w:rPr>
        <w:t>):</w:t>
      </w:r>
      <w:r w:rsidRPr="00D24A2B">
        <w:rPr>
          <w:rFonts w:ascii="Times New Roman" w:hAnsi="Times New Roman"/>
          <w:bCs/>
        </w:rPr>
        <w:t xml:space="preserve"> </w:t>
      </w:r>
      <w:proofErr w:type="spellStart"/>
      <w:r w:rsidRPr="00D24A2B">
        <w:rPr>
          <w:rFonts w:ascii="Times New Roman" w:hAnsi="Times New Roman"/>
          <w:bCs/>
        </w:rPr>
        <w:t>PlayerLoad</w:t>
      </w:r>
      <w:proofErr w:type="spellEnd"/>
      <w:r w:rsidRPr="00D24A2B">
        <w:rPr>
          <w:rFonts w:ascii="Times New Roman" w:hAnsi="Times New Roman"/>
          <w:bCs/>
        </w:rPr>
        <w:t xml:space="preserve"> only accumulated in the mediolateral plane of motion</w:t>
      </w:r>
      <w:r>
        <w:rPr>
          <w:rFonts w:ascii="Times New Roman" w:hAnsi="Times New Roman"/>
          <w:bCs/>
        </w:rPr>
        <w:t xml:space="preserve"> </w:t>
      </w:r>
      <w:r>
        <w:rPr>
          <w:rFonts w:ascii="Times New Roman" w:hAnsi="Times New Roman"/>
          <w:bCs/>
        </w:rPr>
        <w:fldChar w:fldCharType="begin"/>
      </w:r>
      <w:r w:rsidR="00546507">
        <w:rPr>
          <w:rFonts w:ascii="Times New Roman" w:hAnsi="Times New Roman"/>
          <w:bCs/>
        </w:rPr>
        <w:instrText xml:space="preserve"> ADDIN ZOTERO_ITEM CSL_CITATION {"citationID":"VbUlN0r7","properties":{"formattedCitation":"(A. Heishman, Peak, et al., 2020)","plainCitation":"(A. Heishman, Peak, et al., 2020)","noteIndex":0},"citationItems":[{"id":275,"uris":["http://zotero.org/users/6327055/items/Y8Q9W2NY"],"itemData":{"id":275,"type":"article-journal","abstract":"Monitoring external training load (eTL) has become popular for team sport for managing fatigue, optimizing performance, and guiding return-to-play protocols. During indoor sports, eTL can be measured via inertial measurement units (IMU) or indoor positioning systems (IPS). Though each device provides unique information, the relationships between devices has not been examined. Therefore, the purpose of this study was to assess the association of eTL between an IMU and IPS used to monitor eTL in team sport. Retrospective analyses were performed on 13 elite male National Collegiate Athletic Association (NCAA) Division I basketball players (age: 20.2 ± 1.2 years, height: 201.1 ± 7.6 cm, mass: 96.8 ± 8.8 kg) from three practices during the oﬀ-season training phase. A one-way analysis of variance was used to test diﬀerences in eTL across practices. Pearson’s correlation examined the association between the Distance traveled during practice captured by IPS compared to PlayerLoad (PL), PlayerLoad per Minute (PL/Min), 2-Dimensional PlayerLoad (PL2D), 1-Dimensional PlayerLoad Forward (PL1D-FWD), Side (PL1D-SIDE), and Up (PL1D-UP) captured from the IMU. Regression analyses were performed to predict PL from Distance traveled. The eTL characteristics during Practice 1: PL = 420.4 ± 102.9, PL/min = 5.8 ± 1.4, Distance = 1645.9 ± 377.0 m; Practice 2: PL = 472.8 ± 109.5, PL/min = 5.1 ± 1.2, Distance = 1940.0 ± 436.3 m; Practice 3: PL = 295.1 ± 57.8, PL/min = 5.3 ± 1.0, Distance = 1198.2 ± 219.2 m. Signiﬁcant (p ≤ 0.05) diﬀerences were observed in PL, PL2D, PL1D-FWD, PL1D-SIDE, PL1D-UP, and Distance across practices. Signiﬁcant correlations (p ≤ 0.001) existed between Distance and PL parameters (Practice 1: r = 0.799–0.891; Practice 2: r = 0.819–0.972; and Practice 3: 0.761–0.891). Predictive models using Distance traveled accounted for 73.5–89.7% of the variance in PL. Signiﬁcant relationships and predictive capacities exists between systems. Nonetheless, each system also appears to capture unique information that may still be useful to performance practitioners regarding the understanding of eTL.","container-title":"Sports","DOI":"10.3390/sports8030033","ISSN":"2075-4663","issue":"3","journalAbbreviation":"Sports","language":"en","page":"33","source":"DOI.org (Crossref)","title":"Associations between two athlete monitoring systems used to quantify external training loads in basketball players","volume":"8","author":[{"family":"Heishman","given":"Aaron"},{"family":"Peak","given":"Keldon"},{"family":"Miller","given":"Ryan"},{"family":"Brown","given":"Brady"},{"family":"Daub","given":"Bryce"},{"family":"Freitas","given":"Eduardo"},{"family":"Bemben","given":"Michael"}],"issued":{"date-parts":[["2020",3,11]]}}}],"schema":"https://github.com/citation-style-language/schema/raw/master/csl-citation.json"} </w:instrText>
      </w:r>
      <w:r>
        <w:rPr>
          <w:rFonts w:ascii="Times New Roman" w:hAnsi="Times New Roman"/>
          <w:bCs/>
        </w:rPr>
        <w:fldChar w:fldCharType="separate"/>
      </w:r>
      <w:r w:rsidR="00D233A9">
        <w:rPr>
          <w:rFonts w:ascii="Times New Roman" w:hAnsi="Times New Roman"/>
          <w:bCs/>
          <w:noProof/>
        </w:rPr>
        <w:t>(A. Heishman, Peak, et al., 2020)</w:t>
      </w:r>
      <w:r>
        <w:rPr>
          <w:rFonts w:ascii="Times New Roman" w:hAnsi="Times New Roman"/>
          <w:bCs/>
        </w:rPr>
        <w:fldChar w:fldCharType="end"/>
      </w:r>
      <w:r>
        <w:rPr>
          <w:rFonts w:ascii="Times New Roman" w:hAnsi="Times New Roman"/>
          <w:bCs/>
        </w:rPr>
        <w:t>.</w:t>
      </w:r>
    </w:p>
    <w:p w14:paraId="6F37D341" w14:textId="012518BA" w:rsidR="00D24A2B" w:rsidRPr="00C610E1" w:rsidRDefault="00D24A2B" w:rsidP="00EB0E29">
      <w:pPr>
        <w:pStyle w:val="ListParagraph"/>
        <w:numPr>
          <w:ilvl w:val="0"/>
          <w:numId w:val="11"/>
        </w:numPr>
        <w:jc w:val="both"/>
        <w:rPr>
          <w:rFonts w:ascii="Times New Roman" w:hAnsi="Times New Roman"/>
        </w:rPr>
      </w:pPr>
      <w:r w:rsidRPr="002B34EC">
        <w:rPr>
          <w:rFonts w:ascii="Times New Roman" w:hAnsi="Times New Roman"/>
          <w:b/>
        </w:rPr>
        <w:t>PlayerLoad</w:t>
      </w:r>
      <w:r w:rsidRPr="002B34EC">
        <w:rPr>
          <w:rFonts w:ascii="Times New Roman" w:hAnsi="Times New Roman"/>
          <w:b/>
          <w:vertAlign w:val="superscript"/>
        </w:rPr>
        <w:t xml:space="preserve">1D-UP </w:t>
      </w:r>
      <w:r w:rsidRPr="002B34EC">
        <w:rPr>
          <w:rFonts w:ascii="Times New Roman" w:hAnsi="Times New Roman"/>
          <w:b/>
        </w:rPr>
        <w:t>(PL</w:t>
      </w:r>
      <w:r w:rsidRPr="002B34EC">
        <w:rPr>
          <w:rFonts w:ascii="Times New Roman" w:hAnsi="Times New Roman"/>
          <w:b/>
          <w:vertAlign w:val="superscript"/>
        </w:rPr>
        <w:t>1D-UP</w:t>
      </w:r>
      <w:r w:rsidRPr="002B34EC">
        <w:rPr>
          <w:rFonts w:ascii="Times New Roman" w:hAnsi="Times New Roman"/>
          <w:b/>
        </w:rPr>
        <w:t>)</w:t>
      </w:r>
      <w:r w:rsidRPr="00D24A2B">
        <w:rPr>
          <w:rFonts w:ascii="Times New Roman" w:hAnsi="Times New Roman"/>
          <w:bCs/>
        </w:rPr>
        <w:t xml:space="preserve">: </w:t>
      </w:r>
      <w:proofErr w:type="spellStart"/>
      <w:r w:rsidRPr="00D24A2B">
        <w:rPr>
          <w:rFonts w:ascii="Times New Roman" w:hAnsi="Times New Roman"/>
          <w:bCs/>
        </w:rPr>
        <w:t>PlayerLoad</w:t>
      </w:r>
      <w:proofErr w:type="spellEnd"/>
      <w:r w:rsidRPr="00D24A2B">
        <w:rPr>
          <w:rFonts w:ascii="Times New Roman" w:hAnsi="Times New Roman"/>
          <w:bCs/>
        </w:rPr>
        <w:t xml:space="preserve"> only accumulated in the vertical plane of motion</w:t>
      </w:r>
      <w:r>
        <w:rPr>
          <w:rFonts w:ascii="Times New Roman" w:hAnsi="Times New Roman"/>
          <w:bCs/>
        </w:rPr>
        <w:t xml:space="preserve"> </w:t>
      </w:r>
      <w:r>
        <w:rPr>
          <w:rFonts w:ascii="Times New Roman" w:hAnsi="Times New Roman"/>
          <w:bCs/>
        </w:rPr>
        <w:fldChar w:fldCharType="begin"/>
      </w:r>
      <w:r w:rsidR="00546507">
        <w:rPr>
          <w:rFonts w:ascii="Times New Roman" w:hAnsi="Times New Roman"/>
          <w:bCs/>
        </w:rPr>
        <w:instrText xml:space="preserve"> ADDIN ZOTERO_ITEM CSL_CITATION {"citationID":"CAderpOa","properties":{"formattedCitation":"(A. Heishman, Peak, et al., 2020)","plainCitation":"(A. Heishman, Peak, et al., 2020)","noteIndex":0},"citationItems":[{"id":275,"uris":["http://zotero.org/users/6327055/items/Y8Q9W2NY"],"itemData":{"id":275,"type":"article-journal","abstract":"Monitoring external training load (eTL) has become popular for team sport for managing fatigue, optimizing performance, and guiding return-to-play protocols. During indoor sports, eTL can be measured via inertial measurement units (IMU) or indoor positioning systems (IPS). Though each device provides unique information, the relationships between devices has not been examined. Therefore, the purpose of this study was to assess the association of eTL between an IMU and IPS used to monitor eTL in team sport. Retrospective analyses were performed on 13 elite male National Collegiate Athletic Association (NCAA) Division I basketball players (age: 20.2 ± 1.2 years, height: 201.1 ± 7.6 cm, mass: 96.8 ± 8.8 kg) from three practices during the oﬀ-season training phase. A one-way analysis of variance was used to test diﬀerences in eTL across practices. Pearson’s correlation examined the association between the Distance traveled during practice captured by IPS compared to PlayerLoad (PL), PlayerLoad per Minute (PL/Min), 2-Dimensional PlayerLoad (PL2D), 1-Dimensional PlayerLoad Forward (PL1D-FWD), Side (PL1D-SIDE), and Up (PL1D-UP) captured from the IMU. Regression analyses were performed to predict PL from Distance traveled. The eTL characteristics during Practice 1: PL = 420.4 ± 102.9, PL/min = 5.8 ± 1.4, Distance = 1645.9 ± 377.0 m; Practice 2: PL = 472.8 ± 109.5, PL/min = 5.1 ± 1.2, Distance = 1940.0 ± 436.3 m; Practice 3: PL = 295.1 ± 57.8, PL/min = 5.3 ± 1.0, Distance = 1198.2 ± 219.2 m. Signiﬁcant (p ≤ 0.05) diﬀerences were observed in PL, PL2D, PL1D-FWD, PL1D-SIDE, PL1D-UP, and Distance across practices. Signiﬁcant correlations (p ≤ 0.001) existed between Distance and PL parameters (Practice 1: r = 0.799–0.891; Practice 2: r = 0.819–0.972; and Practice 3: 0.761–0.891). Predictive models using Distance traveled accounted for 73.5–89.7% of the variance in PL. Signiﬁcant relationships and predictive capacities exists between systems. Nonetheless, each system also appears to capture unique information that may still be useful to performance practitioners regarding the understanding of eTL.","container-title":"Sports","DOI":"10.3390/sports8030033","ISSN":"2075-4663","issue":"3","journalAbbreviation":"Sports","language":"en","page":"33","source":"DOI.org (Crossref)","title":"Associations between two athlete monitoring systems used to quantify external training loads in basketball players","volume":"8","author":[{"family":"Heishman","given":"Aaron"},{"family":"Peak","given":"Keldon"},{"family":"Miller","given":"Ryan"},{"family":"Brown","given":"Brady"},{"family":"Daub","given":"Bryce"},{"family":"Freitas","given":"Eduardo"},{"family":"Bemben","given":"Michael"}],"issued":{"date-parts":[["2020",3,11]]}}}],"schema":"https://github.com/citation-style-language/schema/raw/master/csl-citation.json"} </w:instrText>
      </w:r>
      <w:r>
        <w:rPr>
          <w:rFonts w:ascii="Times New Roman" w:hAnsi="Times New Roman"/>
          <w:bCs/>
        </w:rPr>
        <w:fldChar w:fldCharType="separate"/>
      </w:r>
      <w:r w:rsidR="00D233A9">
        <w:rPr>
          <w:rFonts w:ascii="Times New Roman" w:hAnsi="Times New Roman"/>
          <w:bCs/>
          <w:noProof/>
        </w:rPr>
        <w:t>(A. Heishman, Peak, et al., 2020)</w:t>
      </w:r>
      <w:r>
        <w:rPr>
          <w:rFonts w:ascii="Times New Roman" w:hAnsi="Times New Roman"/>
          <w:bCs/>
        </w:rPr>
        <w:fldChar w:fldCharType="end"/>
      </w:r>
      <w:r>
        <w:rPr>
          <w:rFonts w:ascii="Times New Roman" w:hAnsi="Times New Roman"/>
          <w:bCs/>
        </w:rPr>
        <w:t>.</w:t>
      </w:r>
    </w:p>
    <w:p w14:paraId="30C4FD3B" w14:textId="0B643983" w:rsidR="00C610E1" w:rsidRPr="00D8239D" w:rsidRDefault="00C610E1" w:rsidP="00EB0E29">
      <w:pPr>
        <w:pStyle w:val="ListParagraph"/>
        <w:numPr>
          <w:ilvl w:val="0"/>
          <w:numId w:val="11"/>
        </w:numPr>
        <w:jc w:val="both"/>
        <w:rPr>
          <w:rFonts w:ascii="Times New Roman" w:hAnsi="Times New Roman"/>
        </w:rPr>
      </w:pPr>
      <w:r w:rsidRPr="002B34EC">
        <w:rPr>
          <w:rFonts w:ascii="Times New Roman" w:hAnsi="Times New Roman"/>
          <w:b/>
        </w:rPr>
        <w:t>PlayerLoad</w:t>
      </w:r>
      <w:r w:rsidRPr="002B34EC">
        <w:rPr>
          <w:rFonts w:ascii="Times New Roman" w:hAnsi="Times New Roman"/>
          <w:b/>
          <w:vertAlign w:val="superscript"/>
        </w:rPr>
        <w:t xml:space="preserve">2D </w:t>
      </w:r>
      <w:r w:rsidRPr="002B34EC">
        <w:rPr>
          <w:rFonts w:ascii="Times New Roman" w:hAnsi="Times New Roman"/>
          <w:b/>
        </w:rPr>
        <w:t>(PL</w:t>
      </w:r>
      <w:r w:rsidRPr="002B34EC">
        <w:rPr>
          <w:rFonts w:ascii="Times New Roman" w:hAnsi="Times New Roman"/>
          <w:b/>
          <w:vertAlign w:val="superscript"/>
        </w:rPr>
        <w:t>2D</w:t>
      </w:r>
      <w:r w:rsidRPr="002B34EC">
        <w:rPr>
          <w:rFonts w:ascii="Times New Roman" w:hAnsi="Times New Roman"/>
          <w:b/>
        </w:rPr>
        <w:t>):</w:t>
      </w:r>
      <w:r w:rsidRPr="00C610E1">
        <w:rPr>
          <w:rFonts w:ascii="Times New Roman" w:hAnsi="Times New Roman"/>
        </w:rPr>
        <w:t xml:space="preserve"> a formula variation of  </w:t>
      </w:r>
      <w:proofErr w:type="spellStart"/>
      <w:r w:rsidRPr="00C610E1">
        <w:rPr>
          <w:rFonts w:ascii="Times New Roman" w:hAnsi="Times New Roman"/>
        </w:rPr>
        <w:t>PlayerLoad</w:t>
      </w:r>
      <w:proofErr w:type="spellEnd"/>
      <w:r w:rsidRPr="00C610E1">
        <w:rPr>
          <w:rFonts w:ascii="Times New Roman" w:hAnsi="Times New Roman"/>
        </w:rPr>
        <w:t>™ which omits the vertical vector and only including the two dimensions of mediolateral and anteroposterior vectors and is expressed in arbitrary units (au)</w:t>
      </w:r>
      <w:r>
        <w:rPr>
          <w:rFonts w:ascii="Times New Roman" w:hAnsi="Times New Roman"/>
        </w:rPr>
        <w:t xml:space="preserve"> </w:t>
      </w:r>
      <w:r>
        <w:rPr>
          <w:rFonts w:ascii="Times New Roman" w:hAnsi="Times New Roman"/>
        </w:rPr>
        <w:fldChar w:fldCharType="begin"/>
      </w:r>
      <w:r w:rsidR="00546507">
        <w:rPr>
          <w:rFonts w:ascii="Times New Roman" w:hAnsi="Times New Roman"/>
        </w:rPr>
        <w:instrText xml:space="preserve"> ADDIN ZOTERO_ITEM CSL_CITATION {"citationID":"uUGeGPIK","properties":{"formattedCitation":"(A. Heishman, Miller, et al., 2020; A. Heishman, Peak, et al., 2020)","plainCitation":"(A. Heishman, Miller, et al., 2020; A. Heishman, Peak, et al., 2020)","noteIndex":0},"citationItems":[{"id":523,"uris":["http://zotero.org/users/6327055/items/5S9IURDG"],"itemData":{"id":523,"type":"article-journal","abstract":"Limited research has paralleled concomitant changes in external training load (eTL) and countermovement jump (CMJ) performance. Therefore, this investigation characterized eTL and CMJ performance changes across preseason training in Division 1 male collegiate basketball athletes, while examining the influence of position (Guard vs. Forward/Center) and scholarship status (Scholarship = S vs. Walk-on = WO). During 22 practices, eTL was monitored in 14 male athletes, with weekly CMJs performed to quantify neuromuscular performance (Jump Height [JH], Flight Time:Contraction Time [FT:CT], Reactive Strength Index Modified [RSIMod ]). PlayerLoad per minute was significantly higher during W1 and W2 (5.4 ± 1.3au and 5.3 ± 1.2au, respectively; p &lt; 0.05) compared to subsequent weeks, but no additional differences in eTL parameters across time were observed. Scholarship athletes displayed greater PlayerLoad (S = 777.1 ± 35.6, WO = 530.1 ± 56.20; Inertial Movement Analysis (IMA) IMA_High (S = 70.9 ± 15.2, WO = 41.3 ± 15.2); IMA_Medium (S = 159.9 ± 30.7, WO = 92.7 ± 30.6); and IMA_Low (S = 700.6 ± 105.1, WO = 405 ± 105.0;) (p &lt; 0.05), with no observed differences in eTL by position. Moderate decreases in FT:CT and RSIMod paralleled increased eTL. Significant increases in practice intensity (W1 and W2) did not impact CMJ performance, suggesting athletes could cope with the prescribed training loads. However, moderate perturbations in FT:CT and RSIMod paralleled the weeks with intensified training. Cumulatively, scholarship status appears to influence eTL while player position does not.","container-title":"Medicine &amp; Science in Sports &amp; Exercise","DOI":"10.1249/01.mss.0000560595.64671.b6","ISSN":"1530-0315, 0195-9131","issue":"6S","language":"en","page":"35-35","source":"DOI.org (Crossref)","title":"Monitoring external training loads and neuromuscular performance for division 1 basketball players over the pre-season","title-short":"Monitoring External Training Loads and Neuromuscular Performance For Division I Basketball Players Over the Pre-Season","volume":"51","author":[{"family":"Heishman","given":"Aaron"},{"family":"Miller","given":"Ryan"},{"family":"Freitas","given":"Eduardo"},{"family":"Brown","given":"Brady"},{"family":"Daub","given":"Bryce"},{"family":"Bemben","given":"Michael"}],"issued":{"date-parts":[["2020",2]]}}},{"id":275,"uris":["http://zotero.org/users/6327055/items/Y8Q9W2NY"],"itemData":{"id":275,"type":"article-journal","abstract":"Monitoring external training load (eTL) has become popular for team sport for managing fatigue, optimizing performance, and guiding return-to-play protocols. During indoor sports, eTL can be measured via inertial measurement units (IMU) or indoor positioning systems (IPS). Though each device provides unique information, the relationships between devices has not been examined. Therefore, the purpose of this study was to assess the association of eTL between an IMU and IPS used to monitor eTL in team sport. Retrospective analyses were performed on 13 elite male National Collegiate Athletic Association (NCAA) Division I basketball players (age: 20.2 ± 1.2 years, height: 201.1 ± 7.6 cm, mass: 96.8 ± 8.8 kg) from three practices during the oﬀ-season training phase. A one-way analysis of variance was used to test diﬀerences in eTL across practices. Pearson’s correlation examined the association between the Distance traveled during practice captured by IPS compared to PlayerLoad (PL), PlayerLoad per Minute (PL/Min), 2-Dimensional PlayerLoad (PL2D), 1-Dimensional PlayerLoad Forward (PL1D-FWD), Side (PL1D-SIDE), and Up (PL1D-UP) captured from the IMU. Regression analyses were performed to predict PL from Distance traveled. The eTL characteristics during Practice 1: PL = 420.4 ± 102.9, PL/min = 5.8 ± 1.4, Distance = 1645.9 ± 377.0 m; Practice 2: PL = 472.8 ± 109.5, PL/min = 5.1 ± 1.2, Distance = 1940.0 ± 436.3 m; Practice 3: PL = 295.1 ± 57.8, PL/min = 5.3 ± 1.0, Distance = 1198.2 ± 219.2 m. Signiﬁcant (p ≤ 0.05) diﬀerences were observed in PL, PL2D, PL1D-FWD, PL1D-SIDE, PL1D-UP, and Distance across practices. Signiﬁcant correlations (p ≤ 0.001) existed between Distance and PL parameters (Practice 1: r = 0.799–0.891; Practice 2: r = 0.819–0.972; and Practice 3: 0.761–0.891). Predictive models using Distance traveled accounted for 73.5–89.7% of the variance in PL. Signiﬁcant relationships and predictive capacities exists between systems. Nonetheless, each system also appears to capture unique information that may still be useful to performance practitioners regarding the understanding of eTL.","container-title":"Sports","DOI":"10.3390/sports8030033","ISSN":"2075-4663","issue":"3","journalAbbreviation":"Sports","language":"en","page":"33","source":"DOI.org (Crossref)","title":"Associations between two athlete monitoring systems used to quantify external training loads in basketball players","volume":"8","author":[{"family":"Heishman","given":"Aaron"},{"family":"Peak","given":"Keldon"},{"family":"Miller","given":"Ryan"},{"family":"Brown","given":"Brady"},{"family":"Daub","given":"Bryce"},{"family":"Freitas","given":"Eduardo"},{"family":"Bemben","given":"Michael"}],"issued":{"date-parts":[["2020",3,11]]}}}],"schema":"https://github.com/citation-style-language/schema/raw/master/csl-citation.json"} </w:instrText>
      </w:r>
      <w:r>
        <w:rPr>
          <w:rFonts w:ascii="Times New Roman" w:hAnsi="Times New Roman"/>
        </w:rPr>
        <w:fldChar w:fldCharType="separate"/>
      </w:r>
      <w:r>
        <w:rPr>
          <w:rFonts w:ascii="Times New Roman" w:hAnsi="Times New Roman"/>
          <w:noProof/>
        </w:rPr>
        <w:t>(A. Heishman, Miller, et al., 2020; A. Heishman, Peak, et al., 2020)</w:t>
      </w:r>
      <w:r>
        <w:rPr>
          <w:rFonts w:ascii="Times New Roman" w:hAnsi="Times New Roman"/>
        </w:rPr>
        <w:fldChar w:fldCharType="end"/>
      </w:r>
      <w:r>
        <w:rPr>
          <w:rFonts w:ascii="Times New Roman" w:hAnsi="Times New Roman"/>
        </w:rPr>
        <w:t>.</w:t>
      </w:r>
    </w:p>
    <w:p w14:paraId="63D58010" w14:textId="41189E0B" w:rsidR="00D8239D" w:rsidRDefault="00D8239D" w:rsidP="00EB0E29">
      <w:pPr>
        <w:pStyle w:val="ListParagraph"/>
        <w:numPr>
          <w:ilvl w:val="0"/>
          <w:numId w:val="11"/>
        </w:numPr>
        <w:jc w:val="both"/>
        <w:rPr>
          <w:rFonts w:ascii="Times New Roman" w:hAnsi="Times New Roman"/>
        </w:rPr>
      </w:pPr>
      <w:r w:rsidRPr="00D8239D">
        <w:rPr>
          <w:rFonts w:ascii="Times New Roman" w:hAnsi="Times New Roman"/>
          <w:b/>
        </w:rPr>
        <w:t xml:space="preserve">Rating of Perceived Exertion </w:t>
      </w:r>
      <w:r w:rsidRPr="002B34EC">
        <w:rPr>
          <w:rFonts w:ascii="Times New Roman" w:hAnsi="Times New Roman"/>
          <w:b/>
          <w:bCs/>
        </w:rPr>
        <w:t>(RPE):</w:t>
      </w:r>
      <w:r w:rsidRPr="00D8239D">
        <w:rPr>
          <w:rFonts w:ascii="Times New Roman" w:hAnsi="Times New Roman"/>
        </w:rPr>
        <w:t xml:space="preserve"> Athlete’s perception of the training session intensity, on a scale of 1 to 10</w:t>
      </w:r>
      <w:r>
        <w:rPr>
          <w:rFonts w:ascii="Times New Roman" w:hAnsi="Times New Roman"/>
        </w:rPr>
        <w:t xml:space="preserve"> </w:t>
      </w:r>
      <w:r w:rsidR="00D87C70">
        <w:rPr>
          <w:rFonts w:ascii="Times New Roman" w:hAnsi="Times New Roman"/>
        </w:rPr>
        <w:fldChar w:fldCharType="begin"/>
      </w:r>
      <w:r w:rsidR="00546507">
        <w:rPr>
          <w:rFonts w:ascii="Times New Roman" w:hAnsi="Times New Roman"/>
        </w:rPr>
        <w:instrText xml:space="preserve"> ADDIN ZOTERO_ITEM CSL_CITATION {"citationID":"xtvMyibZ","properties":{"formattedCitation":"(Foster et al., 2001)","plainCitation":"(Foster et al., 2001)","noteIndex":0},"citationItems":[{"id":483,"uris":["http://zotero.org/users/6327055/items/7L5RW8G7"],"itemData":{"id":483,"type":"article-journal","container-title":"Journal of Strength and Conditioning Research","DOI":"10.1519/00124278-200102000-00019","ISSN":"1064-8011","issue":"1","journalAbbreviation":"Journal of Strength and Conditioning Research","language":"en","page":"109-115","source":"DOI.org (Crossref)","title":"A new approach to monitoring exercise training:","title-short":"A New Approach to Monitoring Exercise Training","volume":"15","author":[{"family":"Foster","given":"Carl"},{"family":"Florhaug","given":"Jessica A."},{"family":"Franklin","given":"Jodi"},{"family":"Gottschall","given":"Lori"},{"family":"Hrovatin","given":"Lauri A."},{"family":"Parker","given":"Suzanne"},{"family":"Doleshal","given":"Pamela"},{"family":"Dodge","given":"Christopher"}],"issued":{"date-parts":[["2001",2]]}}}],"schema":"https://github.com/citation-style-language/schema/raw/master/csl-citation.json"} </w:instrText>
      </w:r>
      <w:r w:rsidR="00D87C70">
        <w:rPr>
          <w:rFonts w:ascii="Times New Roman" w:hAnsi="Times New Roman"/>
        </w:rPr>
        <w:fldChar w:fldCharType="separate"/>
      </w:r>
      <w:r w:rsidR="00D87C70">
        <w:rPr>
          <w:rFonts w:ascii="Times New Roman" w:hAnsi="Times New Roman"/>
          <w:noProof/>
        </w:rPr>
        <w:t>(Foster et al., 2001)</w:t>
      </w:r>
      <w:r w:rsidR="00D87C70">
        <w:rPr>
          <w:rFonts w:ascii="Times New Roman" w:hAnsi="Times New Roman"/>
        </w:rPr>
        <w:fldChar w:fldCharType="end"/>
      </w:r>
      <w:r w:rsidR="00D87C70">
        <w:rPr>
          <w:rFonts w:ascii="Times New Roman" w:hAnsi="Times New Roman"/>
        </w:rPr>
        <w:t>.</w:t>
      </w:r>
    </w:p>
    <w:p w14:paraId="7C647C70" w14:textId="0D898AE8" w:rsidR="004650C6" w:rsidRDefault="004650C6" w:rsidP="00EB0E29">
      <w:pPr>
        <w:pStyle w:val="ListParagraph"/>
        <w:numPr>
          <w:ilvl w:val="0"/>
          <w:numId w:val="11"/>
        </w:numPr>
        <w:jc w:val="both"/>
        <w:rPr>
          <w:rFonts w:ascii="Times New Roman" w:hAnsi="Times New Roman"/>
        </w:rPr>
      </w:pPr>
      <w:r w:rsidRPr="004650C6">
        <w:rPr>
          <w:rFonts w:ascii="Times New Roman" w:hAnsi="Times New Roman"/>
          <w:b/>
        </w:rPr>
        <w:t>Reactive Strength Index Modified</w:t>
      </w:r>
      <w:r w:rsidRPr="004650C6">
        <w:rPr>
          <w:rFonts w:ascii="Times New Roman" w:hAnsi="Times New Roman"/>
        </w:rPr>
        <w:t xml:space="preserve"> </w:t>
      </w:r>
      <w:r w:rsidRPr="004650C6">
        <w:rPr>
          <w:rFonts w:ascii="Times New Roman" w:hAnsi="Times New Roman"/>
          <w:b/>
          <w:bCs/>
        </w:rPr>
        <w:t>[m•s</w:t>
      </w:r>
      <w:r w:rsidRPr="004650C6">
        <w:rPr>
          <w:rFonts w:ascii="Times New Roman" w:hAnsi="Times New Roman"/>
          <w:b/>
          <w:bCs/>
          <w:vertAlign w:val="superscript"/>
        </w:rPr>
        <w:t>-1</w:t>
      </w:r>
      <w:r w:rsidRPr="004650C6">
        <w:rPr>
          <w:rFonts w:ascii="Times New Roman" w:hAnsi="Times New Roman"/>
          <w:b/>
          <w:bCs/>
        </w:rPr>
        <w:t>] (</w:t>
      </w:r>
      <w:proofErr w:type="spellStart"/>
      <w:r w:rsidRPr="004650C6">
        <w:rPr>
          <w:rFonts w:ascii="Times New Roman" w:hAnsi="Times New Roman"/>
          <w:b/>
          <w:bCs/>
        </w:rPr>
        <w:t>RSI</w:t>
      </w:r>
      <w:r w:rsidRPr="004650C6">
        <w:rPr>
          <w:rFonts w:ascii="Times New Roman" w:hAnsi="Times New Roman"/>
          <w:b/>
          <w:bCs/>
          <w:vertAlign w:val="subscript"/>
        </w:rPr>
        <w:t>mod</w:t>
      </w:r>
      <w:proofErr w:type="spellEnd"/>
      <w:r w:rsidRPr="004650C6">
        <w:rPr>
          <w:rFonts w:ascii="Times New Roman" w:hAnsi="Times New Roman"/>
          <w:b/>
          <w:bCs/>
        </w:rPr>
        <w:t>):</w:t>
      </w:r>
      <w:r w:rsidRPr="004650C6">
        <w:rPr>
          <w:rFonts w:ascii="Times New Roman" w:hAnsi="Times New Roman"/>
        </w:rPr>
        <w:t xml:space="preserve"> Jump height (calculated from flight time) divided by contraction time</w:t>
      </w:r>
      <w:r>
        <w:rPr>
          <w:rFonts w:ascii="Times New Roman" w:hAnsi="Times New Roman"/>
        </w:rPr>
        <w:t xml:space="preserve"> </w:t>
      </w:r>
      <w:r>
        <w:rPr>
          <w:rFonts w:ascii="Times New Roman" w:hAnsi="Times New Roman"/>
        </w:rPr>
        <w:fldChar w:fldCharType="begin"/>
      </w:r>
      <w:r w:rsidR="00A05ADB">
        <w:rPr>
          <w:rFonts w:ascii="Times New Roman" w:hAnsi="Times New Roman"/>
        </w:rPr>
        <w:instrText xml:space="preserve"> ADDIN ZOTERO_ITEM CSL_CITATION {"citationID":"FhmzautO","properties":{"formattedCitation":"(A. Heishman, Daub, et al., 2020; A. Heishman et al., 2019)","plainCitation":"(A. Heishman, Daub, et al., 2020; A. Heishman et al., 2019)","noteIndex":0},"citationItems":[{"id":70,"uris":["http://zotero.org/users/6327055/items/E8G29XZE"],"itemData":{"id":70,"type":"article-journal","abstract":"The purpose of the present study was to establish the intrasession and intersession reliability of variables obtained from a force plate that was used to quantitate lower extremity inter-limb asymmetry during the bilateral countermovement jump (CMJ). Secondarily, a comparison was performed to determine the inﬂuence of the jump protocol CMJ with or without an arm swing (CMJ AS and CMJ NAS, respectively) on inter-limb asymmetries. Twenty-two collegiate basketball players performed three CMJ AS and three CMJ NAS on dual force platforms during two separate testing sessions. A majority of variables met the acceptable criterion of intersession and intrasession relative reliability (ICC &gt; 0.700), while fewer than half met standards established for absolute reliability (CV &lt; 10%). CMJ protocol appeared to inﬂuence asymmetries; Concentric Impulse-100 ms, Eccentric Braking Rate of Force Development, Eccentric Deceleration, and Force at Zero velocity were signiﬁcantly di</w:instrText>
      </w:r>
      <w:r w:rsidR="00A05ADB">
        <w:rPr>
          <w:rFonts w:ascii="Cambria Math" w:hAnsi="Cambria Math" w:cs="Cambria Math"/>
        </w:rPr>
        <w:instrText>↵</w:instrText>
      </w:r>
      <w:r w:rsidR="00A05ADB">
        <w:rPr>
          <w:rFonts w:ascii="Times New Roman" w:hAnsi="Times New Roman"/>
        </w:rPr>
        <w:instrText>erent between jumping conditions (CMJAS versus CMJ NAS; p &lt; 0.05). The present data establish the reliability and smallest worthwhile change of inter-limb asymmetries during the CMJ, while also identifying the inﬂuence of CMJ protocol on inter-limb asymmetries, which can be useful to practitioners and clinicians in order to e</w:instrText>
      </w:r>
      <w:r w:rsidR="00A05ADB">
        <w:rPr>
          <w:rFonts w:ascii="Cambria Math" w:hAnsi="Cambria Math" w:cs="Cambria Math"/>
        </w:rPr>
        <w:instrText>↵</w:instrText>
      </w:r>
      <w:r w:rsidR="00A05ADB">
        <w:rPr>
          <w:rFonts w:ascii="Times New Roman" w:hAnsi="Times New Roman"/>
        </w:rPr>
        <w:instrText xml:space="preserve">ectively monitor changes associated with performance, injury risk, and return-to-play strategies.","container-title":"Sports","DOI":"10.3390/sports7050103","ISSN":"2075-4663","issue":"5","journalAbbreviation":"Sports","language":"en","page":"103","source":"DOI.org (Crossref)","title":"Countermovement jump inter-limb asymmetries in collegiate basketball players","volume":"7","author":[{"family":"Heishman","given":"Aaron"},{"family":"Daub","given":"Bryce"},{"family":"Miller","given":"Ryan"},{"family":"Brown","given":"Brady"},{"family":"Freitas","given":"Eduardo"},{"family":"Bemben","given":"Michael"}],"issued":{"date-parts":[["2019",4,30]]}}},{"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Pr>
          <w:rFonts w:ascii="Times New Roman" w:hAnsi="Times New Roman"/>
        </w:rPr>
        <w:fldChar w:fldCharType="separate"/>
      </w:r>
      <w:r w:rsidR="00A05ADB">
        <w:rPr>
          <w:rFonts w:ascii="Times New Roman" w:hAnsi="Times New Roman"/>
          <w:noProof/>
        </w:rPr>
        <w:t>(A. Heishman, Daub, et al., 2020; A. Heishman et al., 2019)</w:t>
      </w:r>
      <w:r>
        <w:rPr>
          <w:rFonts w:ascii="Times New Roman" w:hAnsi="Times New Roman"/>
        </w:rPr>
        <w:fldChar w:fldCharType="end"/>
      </w:r>
      <w:r>
        <w:rPr>
          <w:rFonts w:ascii="Times New Roman" w:hAnsi="Times New Roman"/>
        </w:rPr>
        <w:t>.</w:t>
      </w:r>
    </w:p>
    <w:p w14:paraId="7276493B" w14:textId="0CF53A16" w:rsidR="00D87C70" w:rsidRPr="00EB0E29" w:rsidRDefault="00D87C70" w:rsidP="00EB0E29">
      <w:pPr>
        <w:pStyle w:val="ListParagraph"/>
        <w:numPr>
          <w:ilvl w:val="0"/>
          <w:numId w:val="11"/>
        </w:numPr>
        <w:jc w:val="both"/>
        <w:rPr>
          <w:rFonts w:ascii="Times New Roman" w:hAnsi="Times New Roman"/>
        </w:rPr>
      </w:pPr>
      <w:r w:rsidRPr="00D87C70">
        <w:rPr>
          <w:rFonts w:ascii="Times New Roman" w:hAnsi="Times New Roman"/>
          <w:b/>
        </w:rPr>
        <w:t xml:space="preserve">Session Rating of Perceived Exertion </w:t>
      </w:r>
      <w:r w:rsidRPr="002B34EC">
        <w:rPr>
          <w:rFonts w:ascii="Times New Roman" w:hAnsi="Times New Roman"/>
          <w:b/>
          <w:bCs/>
        </w:rPr>
        <w:t>(</w:t>
      </w:r>
      <w:proofErr w:type="spellStart"/>
      <w:r w:rsidRPr="002B34EC">
        <w:rPr>
          <w:rFonts w:ascii="Times New Roman" w:hAnsi="Times New Roman"/>
          <w:b/>
          <w:bCs/>
        </w:rPr>
        <w:t>sRPE</w:t>
      </w:r>
      <w:proofErr w:type="spellEnd"/>
      <w:r w:rsidRPr="002B34EC">
        <w:rPr>
          <w:rFonts w:ascii="Times New Roman" w:hAnsi="Times New Roman"/>
          <w:b/>
          <w:bCs/>
        </w:rPr>
        <w:t>):</w:t>
      </w:r>
      <w:r w:rsidRPr="00D87C70">
        <w:rPr>
          <w:rFonts w:ascii="Times New Roman" w:hAnsi="Times New Roman"/>
        </w:rPr>
        <w:t xml:space="preserve"> The athlete’s perception of the training session intensity (scale 1-10), multiplied by the duration of the</w:t>
      </w:r>
      <w:r>
        <w:rPr>
          <w:rFonts w:ascii="Times New Roman" w:hAnsi="Times New Roman"/>
        </w:rPr>
        <w:t xml:space="preserve"> session. </w:t>
      </w:r>
    </w:p>
    <w:p w14:paraId="2A680F4B" w14:textId="53FB9666" w:rsidR="002E62FE" w:rsidRDefault="00C82A3C" w:rsidP="007C6DA0">
      <w:pPr>
        <w:pStyle w:val="ListParagraph"/>
        <w:numPr>
          <w:ilvl w:val="0"/>
          <w:numId w:val="11"/>
        </w:numPr>
        <w:jc w:val="both"/>
        <w:rPr>
          <w:rFonts w:ascii="Times New Roman" w:hAnsi="Times New Roman"/>
        </w:rPr>
      </w:pPr>
      <w:r w:rsidRPr="00C82A3C">
        <w:rPr>
          <w:rFonts w:ascii="Times New Roman" w:hAnsi="Times New Roman"/>
          <w:b/>
        </w:rPr>
        <w:t>Testosterone</w:t>
      </w:r>
      <w:r w:rsidR="00F4549E">
        <w:rPr>
          <w:rFonts w:ascii="Times New Roman" w:hAnsi="Times New Roman"/>
          <w:b/>
        </w:rPr>
        <w:t xml:space="preserve"> (T)</w:t>
      </w:r>
      <w:r w:rsidRPr="00C82A3C">
        <w:rPr>
          <w:rFonts w:ascii="Times New Roman" w:hAnsi="Times New Roman"/>
          <w:b/>
        </w:rPr>
        <w:t xml:space="preserve">: </w:t>
      </w:r>
      <w:r w:rsidR="00E20BF0">
        <w:rPr>
          <w:rFonts w:ascii="Times New Roman" w:hAnsi="Times New Roman"/>
        </w:rPr>
        <w:t>A</w:t>
      </w:r>
      <w:r w:rsidRPr="00C82A3C">
        <w:rPr>
          <w:rFonts w:ascii="Times New Roman" w:hAnsi="Times New Roman"/>
        </w:rPr>
        <w:t xml:space="preserve"> steroid hormone in the androgen family</w:t>
      </w:r>
      <w:r w:rsidR="006F44C3">
        <w:rPr>
          <w:rFonts w:ascii="Times New Roman" w:hAnsi="Times New Roman"/>
        </w:rPr>
        <w:t xml:space="preserve"> that represents the state of anabolism and is</w:t>
      </w:r>
      <w:r w:rsidRPr="00C82A3C">
        <w:rPr>
          <w:rFonts w:ascii="Times New Roman" w:hAnsi="Times New Roman"/>
        </w:rPr>
        <w:t xml:space="preserve"> associated with increases in protein synthesis and decreases in protein degradation</w:t>
      </w:r>
      <w:r w:rsidR="006F44C3">
        <w:rPr>
          <w:rFonts w:ascii="Times New Roman" w:hAnsi="Times New Roman"/>
        </w:rPr>
        <w:t xml:space="preserve"> </w:t>
      </w:r>
      <w:r w:rsidR="006E711E">
        <w:rPr>
          <w:rFonts w:ascii="Times New Roman" w:hAnsi="Times New Roman"/>
          <w:noProof/>
        </w:rPr>
        <w:fldChar w:fldCharType="begin"/>
      </w:r>
      <w:r w:rsidR="00546507">
        <w:rPr>
          <w:rFonts w:ascii="Times New Roman" w:hAnsi="Times New Roman"/>
          <w:noProof/>
        </w:rPr>
        <w:instrText xml:space="preserve"> ADDIN ZOTERO_ITEM CSL_CITATION {"citationID":"m8X6IkIs","properties":{"formattedCitation":"(Kraemer &amp; Ratamess, 2005)","plainCitation":"(Kraemer &amp; Ratamess, 2005)","noteIndex":0},"citationItems":[{"id":129,"uris":["http://zotero.org/users/6327055/items/SPBDA3V8"],"itemData":{"id":129,"type":"article-journal","container-title":"Sports Medicine","DOI":"10.2165/00007256-200535040-00004","ISSN":"0112-1642","issue":"4","journalAbbreviation":"Sports Medicine","language":"en","page":"339-361","source":"DOI.org (Crossref)","title":"Hormonal responses and adaptations to resistance exercise and training:","title-short":"Hormonal Responses and Adaptations to Resistance Exercise and Training","volume":"35","author":[{"family":"Kraemer","given":"William J"},{"family":"Ratamess","given":"Nicholas A"}],"issued":{"date-parts":[["2005"]]}}}],"schema":"https://github.com/citation-style-language/schema/raw/master/csl-citation.json"} </w:instrText>
      </w:r>
      <w:r w:rsidR="006E711E">
        <w:rPr>
          <w:rFonts w:ascii="Times New Roman" w:hAnsi="Times New Roman"/>
          <w:noProof/>
        </w:rPr>
        <w:fldChar w:fldCharType="separate"/>
      </w:r>
      <w:r w:rsidR="006E711E">
        <w:rPr>
          <w:rFonts w:ascii="Times New Roman" w:hAnsi="Times New Roman"/>
          <w:noProof/>
        </w:rPr>
        <w:t>(Kraemer &amp; Ratamess, 2005)</w:t>
      </w:r>
      <w:r w:rsidR="006E711E">
        <w:rPr>
          <w:rFonts w:ascii="Times New Roman" w:hAnsi="Times New Roman"/>
          <w:noProof/>
        </w:rPr>
        <w:fldChar w:fldCharType="end"/>
      </w:r>
      <w:r w:rsidR="006F44C3">
        <w:rPr>
          <w:rFonts w:ascii="Times New Roman" w:hAnsi="Times New Roman"/>
        </w:rPr>
        <w:t>.</w:t>
      </w:r>
    </w:p>
    <w:p w14:paraId="0D956AE9" w14:textId="25F84467" w:rsidR="001307A2" w:rsidRPr="00B274DE" w:rsidRDefault="006F44C3" w:rsidP="001307A2">
      <w:pPr>
        <w:pStyle w:val="ListParagraph"/>
        <w:numPr>
          <w:ilvl w:val="0"/>
          <w:numId w:val="11"/>
        </w:numPr>
        <w:jc w:val="both"/>
        <w:rPr>
          <w:rFonts w:ascii="Times New Roman" w:hAnsi="Times New Roman"/>
        </w:rPr>
      </w:pPr>
      <w:proofErr w:type="spellStart"/>
      <w:r>
        <w:rPr>
          <w:rFonts w:ascii="Times New Roman" w:hAnsi="Times New Roman"/>
          <w:b/>
        </w:rPr>
        <w:lastRenderedPageBreak/>
        <w:t>Testosterone:Cortisol</w:t>
      </w:r>
      <w:proofErr w:type="spellEnd"/>
      <w:r>
        <w:rPr>
          <w:rFonts w:ascii="Times New Roman" w:hAnsi="Times New Roman"/>
          <w:b/>
        </w:rPr>
        <w:t xml:space="preserve"> (T:C) Ratio: </w:t>
      </w:r>
      <w:r w:rsidR="00E20BF0">
        <w:rPr>
          <w:rFonts w:ascii="Times New Roman" w:hAnsi="Times New Roman"/>
          <w:bCs/>
        </w:rPr>
        <w:t>T</w:t>
      </w:r>
      <w:r>
        <w:rPr>
          <w:rFonts w:ascii="Times New Roman" w:hAnsi="Times New Roman"/>
          <w:bCs/>
        </w:rPr>
        <w:t xml:space="preserve">he </w:t>
      </w:r>
      <w:r w:rsidR="00AD7730">
        <w:rPr>
          <w:rFonts w:ascii="Times New Roman" w:hAnsi="Times New Roman"/>
          <w:bCs/>
        </w:rPr>
        <w:t>processes</w:t>
      </w:r>
      <w:r>
        <w:rPr>
          <w:rFonts w:ascii="Times New Roman" w:hAnsi="Times New Roman"/>
          <w:bCs/>
        </w:rPr>
        <w:t xml:space="preserve"> of anabolism and catabolism which </w:t>
      </w:r>
      <w:r w:rsidR="009E177D">
        <w:rPr>
          <w:rFonts w:ascii="Times New Roman" w:hAnsi="Times New Roman"/>
          <w:bCs/>
        </w:rPr>
        <w:t>reflect</w:t>
      </w:r>
      <w:r>
        <w:rPr>
          <w:rFonts w:ascii="Times New Roman" w:hAnsi="Times New Roman"/>
          <w:bCs/>
        </w:rPr>
        <w:t xml:space="preserve"> metabolism </w:t>
      </w:r>
      <w:r w:rsidR="006E711E">
        <w:rPr>
          <w:rFonts w:ascii="Times New Roman" w:hAnsi="Times New Roman"/>
          <w:bCs/>
          <w:noProof/>
        </w:rPr>
        <w:fldChar w:fldCharType="begin"/>
      </w:r>
      <w:r w:rsidR="00546507">
        <w:rPr>
          <w:rFonts w:ascii="Times New Roman" w:hAnsi="Times New Roman"/>
          <w:bCs/>
          <w:noProof/>
        </w:rPr>
        <w:instrText xml:space="preserve"> ADDIN ZOTERO_ITEM CSL_CITATION {"citationID":"RSi2wBYM","properties":{"formattedCitation":"(Kraemer &amp; Ratamess, 2005)","plainCitation":"(Kraemer &amp; Ratamess, 2005)","noteIndex":0},"citationItems":[{"id":129,"uris":["http://zotero.org/users/6327055/items/SPBDA3V8"],"itemData":{"id":129,"type":"article-journal","container-title":"Sports Medicine","DOI":"10.2165/00007256-200535040-00004","ISSN":"0112-1642","issue":"4","journalAbbreviation":"Sports Medicine","language":"en","page":"339-361","source":"DOI.org (Crossref)","title":"Hormonal responses and adaptations to resistance exercise and training:","title-short":"Hormonal Responses and Adaptations to Resistance Exercise and Training","volume":"35","author":[{"family":"Kraemer","given":"William J"},{"family":"Ratamess","given":"Nicholas A"}],"issued":{"date-parts":[["2005"]]}}}],"schema":"https://github.com/citation-style-language/schema/raw/master/csl-citation.json"} </w:instrText>
      </w:r>
      <w:r w:rsidR="006E711E">
        <w:rPr>
          <w:rFonts w:ascii="Times New Roman" w:hAnsi="Times New Roman"/>
          <w:bCs/>
          <w:noProof/>
        </w:rPr>
        <w:fldChar w:fldCharType="separate"/>
      </w:r>
      <w:r w:rsidR="006E711E">
        <w:rPr>
          <w:rFonts w:ascii="Times New Roman" w:hAnsi="Times New Roman"/>
          <w:bCs/>
          <w:noProof/>
        </w:rPr>
        <w:t>(Kraemer &amp; Ratamess, 2005)</w:t>
      </w:r>
      <w:r w:rsidR="006E711E">
        <w:rPr>
          <w:rFonts w:ascii="Times New Roman" w:hAnsi="Times New Roman"/>
          <w:bCs/>
          <w:noProof/>
        </w:rPr>
        <w:fldChar w:fldCharType="end"/>
      </w:r>
      <w:r>
        <w:rPr>
          <w:rFonts w:ascii="Times New Roman" w:hAnsi="Times New Roman"/>
          <w:bCs/>
        </w:rPr>
        <w:t>.</w:t>
      </w:r>
    </w:p>
    <w:p w14:paraId="79B2D597" w14:textId="6FF639CE" w:rsidR="001307A2" w:rsidRPr="00085819" w:rsidRDefault="001307A2" w:rsidP="00F829B9">
      <w:pPr>
        <w:pStyle w:val="Heading2"/>
      </w:pPr>
      <w:bookmarkStart w:id="25" w:name="_Toc99267604"/>
      <w:r w:rsidRPr="00085819">
        <w:t>List of Abbreviations</w:t>
      </w:r>
      <w:bookmarkEnd w:id="25"/>
    </w:p>
    <w:p w14:paraId="0FCD7BA3" w14:textId="18C7985D" w:rsidR="0060645A" w:rsidRDefault="0060645A" w:rsidP="001307A2">
      <w:pPr>
        <w:spacing w:line="480" w:lineRule="auto"/>
        <w:rPr>
          <w:rFonts w:ascii="Times New Roman" w:hAnsi="Times New Roman"/>
          <w:lang w:bidi="en-US"/>
        </w:rPr>
      </w:pPr>
      <w:r>
        <w:rPr>
          <w:rFonts w:ascii="Times New Roman" w:hAnsi="Times New Roman"/>
          <w:lang w:bidi="en-US"/>
        </w:rPr>
        <w:t>C = Cortisol</w:t>
      </w:r>
    </w:p>
    <w:p w14:paraId="089556D2" w14:textId="1A8C34AC" w:rsidR="001307A2" w:rsidRDefault="001307A2" w:rsidP="001307A2">
      <w:pPr>
        <w:spacing w:line="480" w:lineRule="auto"/>
        <w:rPr>
          <w:rFonts w:ascii="Times New Roman" w:hAnsi="Times New Roman"/>
          <w:lang w:bidi="en-US"/>
        </w:rPr>
      </w:pPr>
      <w:r>
        <w:rPr>
          <w:rFonts w:ascii="Times New Roman" w:hAnsi="Times New Roman"/>
          <w:lang w:bidi="en-US"/>
        </w:rPr>
        <w:t>Conc = Concentric</w:t>
      </w:r>
    </w:p>
    <w:p w14:paraId="64D6F215" w14:textId="62C05BF9" w:rsidR="001307A2" w:rsidRPr="001307A2" w:rsidRDefault="001307A2" w:rsidP="001307A2">
      <w:pPr>
        <w:spacing w:line="480" w:lineRule="auto"/>
        <w:rPr>
          <w:rFonts w:ascii="Times New Roman" w:hAnsi="Times New Roman"/>
          <w:lang w:bidi="en-US"/>
        </w:rPr>
      </w:pPr>
      <w:r w:rsidRPr="001307A2">
        <w:rPr>
          <w:rFonts w:ascii="Times New Roman" w:hAnsi="Times New Roman"/>
          <w:lang w:bidi="en-US"/>
        </w:rPr>
        <w:t xml:space="preserve">CT = Contraction Time </w:t>
      </w:r>
    </w:p>
    <w:p w14:paraId="2511EA5E" w14:textId="77777777" w:rsidR="001307A2" w:rsidRPr="001307A2" w:rsidRDefault="001307A2" w:rsidP="001307A2">
      <w:pPr>
        <w:spacing w:line="480" w:lineRule="auto"/>
        <w:rPr>
          <w:rFonts w:ascii="Times New Roman" w:hAnsi="Times New Roman"/>
          <w:lang w:bidi="en-US"/>
        </w:rPr>
      </w:pPr>
      <w:r w:rsidRPr="001307A2">
        <w:rPr>
          <w:rFonts w:ascii="Times New Roman" w:hAnsi="Times New Roman"/>
          <w:lang w:bidi="en-US"/>
        </w:rPr>
        <w:t>CMJ = Countermovement Jump</w:t>
      </w:r>
    </w:p>
    <w:p w14:paraId="3317539A" w14:textId="77777777" w:rsidR="001307A2" w:rsidRPr="001307A2" w:rsidRDefault="001307A2" w:rsidP="001307A2">
      <w:pPr>
        <w:spacing w:line="480" w:lineRule="auto"/>
        <w:rPr>
          <w:rFonts w:ascii="Times New Roman" w:hAnsi="Times New Roman"/>
          <w:lang w:bidi="en-US"/>
        </w:rPr>
      </w:pPr>
      <w:proofErr w:type="spellStart"/>
      <w:r w:rsidRPr="001307A2">
        <w:rPr>
          <w:rFonts w:ascii="Times New Roman" w:hAnsi="Times New Roman"/>
          <w:lang w:bidi="en-US"/>
        </w:rPr>
        <w:t>Ecc</w:t>
      </w:r>
      <w:proofErr w:type="spellEnd"/>
      <w:r w:rsidRPr="001307A2">
        <w:rPr>
          <w:rFonts w:ascii="Times New Roman" w:hAnsi="Times New Roman"/>
          <w:lang w:bidi="en-US"/>
        </w:rPr>
        <w:t xml:space="preserve"> = Eccentric</w:t>
      </w:r>
    </w:p>
    <w:p w14:paraId="20EEFDEF" w14:textId="77777777" w:rsidR="001307A2" w:rsidRPr="001307A2" w:rsidRDefault="001307A2" w:rsidP="001307A2">
      <w:pPr>
        <w:spacing w:line="480" w:lineRule="auto"/>
        <w:rPr>
          <w:rFonts w:ascii="Times New Roman" w:hAnsi="Times New Roman"/>
          <w:lang w:bidi="en-US"/>
        </w:rPr>
      </w:pPr>
      <w:proofErr w:type="spellStart"/>
      <w:r w:rsidRPr="001307A2">
        <w:rPr>
          <w:rFonts w:ascii="Times New Roman" w:hAnsi="Times New Roman"/>
          <w:lang w:bidi="en-US"/>
        </w:rPr>
        <w:t>eTL</w:t>
      </w:r>
      <w:proofErr w:type="spellEnd"/>
      <w:r w:rsidRPr="001307A2">
        <w:rPr>
          <w:rFonts w:ascii="Times New Roman" w:hAnsi="Times New Roman"/>
          <w:lang w:bidi="en-US"/>
        </w:rPr>
        <w:t xml:space="preserve"> = External Training Load</w:t>
      </w:r>
    </w:p>
    <w:p w14:paraId="0B907C24" w14:textId="77777777" w:rsidR="001307A2" w:rsidRPr="001307A2" w:rsidRDefault="001307A2" w:rsidP="001307A2">
      <w:pPr>
        <w:spacing w:line="480" w:lineRule="auto"/>
        <w:rPr>
          <w:rFonts w:ascii="Times New Roman" w:hAnsi="Times New Roman"/>
          <w:lang w:bidi="en-US"/>
        </w:rPr>
      </w:pPr>
      <w:r w:rsidRPr="001307A2">
        <w:rPr>
          <w:rFonts w:ascii="Times New Roman" w:hAnsi="Times New Roman"/>
          <w:lang w:bidi="en-US"/>
        </w:rPr>
        <w:t xml:space="preserve">FT = Flight Time </w:t>
      </w:r>
    </w:p>
    <w:p w14:paraId="40F71B0A" w14:textId="77777777" w:rsidR="001307A2" w:rsidRPr="001307A2" w:rsidRDefault="001307A2" w:rsidP="001307A2">
      <w:pPr>
        <w:spacing w:line="480" w:lineRule="auto"/>
        <w:rPr>
          <w:rFonts w:ascii="Times New Roman" w:hAnsi="Times New Roman"/>
          <w:lang w:bidi="en-US"/>
        </w:rPr>
      </w:pPr>
      <w:r w:rsidRPr="001307A2">
        <w:rPr>
          <w:rFonts w:ascii="Times New Roman" w:hAnsi="Times New Roman"/>
          <w:lang w:bidi="en-US"/>
        </w:rPr>
        <w:t xml:space="preserve">FT:CT = Flight </w:t>
      </w:r>
      <w:proofErr w:type="spellStart"/>
      <w:r w:rsidRPr="001307A2">
        <w:rPr>
          <w:rFonts w:ascii="Times New Roman" w:hAnsi="Times New Roman"/>
          <w:lang w:bidi="en-US"/>
        </w:rPr>
        <w:t>Time:Contraction</w:t>
      </w:r>
      <w:proofErr w:type="spellEnd"/>
      <w:r w:rsidRPr="001307A2">
        <w:rPr>
          <w:rFonts w:ascii="Times New Roman" w:hAnsi="Times New Roman"/>
          <w:lang w:bidi="en-US"/>
        </w:rPr>
        <w:t xml:space="preserve"> Time Ratio</w:t>
      </w:r>
    </w:p>
    <w:p w14:paraId="2518C472" w14:textId="77777777" w:rsidR="00BD7C98" w:rsidRPr="00BD7C98" w:rsidRDefault="00BD7C98" w:rsidP="00BD7C98">
      <w:pPr>
        <w:spacing w:line="480" w:lineRule="auto"/>
        <w:rPr>
          <w:rFonts w:ascii="Times New Roman" w:hAnsi="Times New Roman"/>
          <w:lang w:bidi="en-US"/>
        </w:rPr>
      </w:pPr>
      <w:r w:rsidRPr="00BD7C98">
        <w:rPr>
          <w:rFonts w:ascii="Times New Roman" w:hAnsi="Times New Roman"/>
          <w:lang w:bidi="en-US"/>
        </w:rPr>
        <w:t>IMA = Inertial Movement Analysis™</w:t>
      </w:r>
    </w:p>
    <w:p w14:paraId="4235135E" w14:textId="77777777" w:rsidR="00BD7C98" w:rsidRPr="00BD7C98" w:rsidRDefault="00BD7C98" w:rsidP="00BD7C98">
      <w:pPr>
        <w:spacing w:line="480" w:lineRule="auto"/>
        <w:rPr>
          <w:rFonts w:ascii="Times New Roman" w:hAnsi="Times New Roman"/>
          <w:lang w:bidi="en-US"/>
        </w:rPr>
      </w:pPr>
      <w:r w:rsidRPr="00BD7C98">
        <w:rPr>
          <w:rFonts w:ascii="Times New Roman" w:hAnsi="Times New Roman"/>
          <w:lang w:bidi="en-US"/>
        </w:rPr>
        <w:t>IMU = Inertial Measurement Unit</w:t>
      </w:r>
    </w:p>
    <w:p w14:paraId="0D02453D" w14:textId="77777777" w:rsidR="00C610E1" w:rsidRDefault="00BD7C98" w:rsidP="00BD7C98">
      <w:pPr>
        <w:spacing w:line="480" w:lineRule="auto"/>
        <w:rPr>
          <w:rFonts w:ascii="Times New Roman" w:hAnsi="Times New Roman"/>
        </w:rPr>
      </w:pPr>
      <w:proofErr w:type="spellStart"/>
      <w:r w:rsidRPr="00BD7C98">
        <w:rPr>
          <w:rFonts w:ascii="Times New Roman" w:hAnsi="Times New Roman"/>
          <w:lang w:bidi="en-US"/>
        </w:rPr>
        <w:t>iTL</w:t>
      </w:r>
      <w:proofErr w:type="spellEnd"/>
      <w:r w:rsidRPr="00BD7C98">
        <w:rPr>
          <w:rFonts w:ascii="Times New Roman" w:hAnsi="Times New Roman"/>
          <w:lang w:bidi="en-US"/>
        </w:rPr>
        <w:t xml:space="preserve"> = Internal Training Load</w:t>
      </w:r>
      <w:r w:rsidRPr="00BD7C98">
        <w:rPr>
          <w:rFonts w:ascii="Times New Roman" w:hAnsi="Times New Roman"/>
        </w:rPr>
        <w:t xml:space="preserve"> </w:t>
      </w:r>
    </w:p>
    <w:p w14:paraId="76946EE3" w14:textId="77777777" w:rsidR="00C610E1" w:rsidRPr="00C610E1" w:rsidRDefault="00C610E1" w:rsidP="00C610E1">
      <w:pPr>
        <w:spacing w:line="480" w:lineRule="auto"/>
        <w:rPr>
          <w:rFonts w:ascii="Times New Roman" w:hAnsi="Times New Roman"/>
          <w:lang w:bidi="en-US"/>
        </w:rPr>
      </w:pPr>
      <w:r w:rsidRPr="00C610E1">
        <w:rPr>
          <w:rFonts w:ascii="Times New Roman" w:hAnsi="Times New Roman"/>
          <w:lang w:bidi="en-US"/>
        </w:rPr>
        <w:t xml:space="preserve">JH = Jump Height </w:t>
      </w:r>
    </w:p>
    <w:p w14:paraId="5484303E" w14:textId="77777777" w:rsidR="00C610E1" w:rsidRPr="00C610E1" w:rsidRDefault="00C610E1" w:rsidP="00C610E1">
      <w:pPr>
        <w:spacing w:line="480" w:lineRule="auto"/>
        <w:rPr>
          <w:rFonts w:ascii="Times New Roman" w:hAnsi="Times New Roman"/>
          <w:lang w:bidi="en-US"/>
        </w:rPr>
      </w:pPr>
      <w:r w:rsidRPr="00C610E1">
        <w:rPr>
          <w:rFonts w:ascii="Times New Roman" w:hAnsi="Times New Roman"/>
          <w:lang w:bidi="en-US"/>
        </w:rPr>
        <w:t xml:space="preserve">PL = </w:t>
      </w:r>
      <w:proofErr w:type="spellStart"/>
      <w:r w:rsidRPr="00C610E1">
        <w:rPr>
          <w:rFonts w:ascii="Times New Roman" w:hAnsi="Times New Roman"/>
          <w:lang w:bidi="en-US"/>
        </w:rPr>
        <w:t>PlayerLoad</w:t>
      </w:r>
      <w:proofErr w:type="spellEnd"/>
      <w:r w:rsidRPr="00C610E1">
        <w:rPr>
          <w:rFonts w:ascii="Times New Roman" w:hAnsi="Times New Roman"/>
          <w:lang w:bidi="en-US"/>
        </w:rPr>
        <w:t>™</w:t>
      </w:r>
    </w:p>
    <w:p w14:paraId="6E3B8DB1" w14:textId="77777777" w:rsidR="00C610E1" w:rsidRPr="00C610E1" w:rsidRDefault="00C610E1" w:rsidP="00C610E1">
      <w:pPr>
        <w:spacing w:line="480" w:lineRule="auto"/>
        <w:rPr>
          <w:rFonts w:ascii="Times New Roman" w:hAnsi="Times New Roman"/>
          <w:lang w:bidi="en-US"/>
        </w:rPr>
      </w:pPr>
      <w:r w:rsidRPr="00C610E1">
        <w:rPr>
          <w:rFonts w:ascii="Times New Roman" w:hAnsi="Times New Roman"/>
          <w:lang w:bidi="en-US"/>
        </w:rPr>
        <w:t>PL</w:t>
      </w:r>
      <w:r w:rsidRPr="00C610E1">
        <w:rPr>
          <w:rFonts w:ascii="Times New Roman" w:hAnsi="Times New Roman"/>
          <w:vertAlign w:val="superscript"/>
          <w:lang w:bidi="en-US"/>
        </w:rPr>
        <w:t xml:space="preserve">1D-FWD </w:t>
      </w:r>
      <w:r w:rsidRPr="00C610E1">
        <w:rPr>
          <w:rFonts w:ascii="Times New Roman" w:hAnsi="Times New Roman"/>
          <w:lang w:bidi="en-US"/>
        </w:rPr>
        <w:t>= PlayerLoad</w:t>
      </w:r>
      <w:r w:rsidRPr="00C610E1">
        <w:rPr>
          <w:rFonts w:ascii="Times New Roman" w:hAnsi="Times New Roman"/>
          <w:vertAlign w:val="superscript"/>
          <w:lang w:bidi="en-US"/>
        </w:rPr>
        <w:t xml:space="preserve">1D-FWD </w:t>
      </w:r>
    </w:p>
    <w:p w14:paraId="7DB7B0F7" w14:textId="77777777" w:rsidR="00C610E1" w:rsidRPr="00C610E1" w:rsidRDefault="00C610E1" w:rsidP="00C610E1">
      <w:pPr>
        <w:spacing w:line="480" w:lineRule="auto"/>
        <w:rPr>
          <w:rFonts w:ascii="Times New Roman" w:hAnsi="Times New Roman"/>
          <w:lang w:bidi="en-US"/>
        </w:rPr>
      </w:pPr>
      <w:r w:rsidRPr="00C610E1">
        <w:rPr>
          <w:rFonts w:ascii="Times New Roman" w:hAnsi="Times New Roman"/>
          <w:lang w:bidi="en-US"/>
        </w:rPr>
        <w:t>PL</w:t>
      </w:r>
      <w:r w:rsidRPr="00C610E1">
        <w:rPr>
          <w:rFonts w:ascii="Times New Roman" w:hAnsi="Times New Roman"/>
          <w:vertAlign w:val="superscript"/>
          <w:lang w:bidi="en-US"/>
        </w:rPr>
        <w:t xml:space="preserve">1D-SIDE </w:t>
      </w:r>
      <w:r w:rsidRPr="00C610E1">
        <w:rPr>
          <w:rFonts w:ascii="Times New Roman" w:hAnsi="Times New Roman"/>
          <w:lang w:bidi="en-US"/>
        </w:rPr>
        <w:t>= PlayerLoad</w:t>
      </w:r>
      <w:r w:rsidRPr="00C610E1">
        <w:rPr>
          <w:rFonts w:ascii="Times New Roman" w:hAnsi="Times New Roman"/>
          <w:vertAlign w:val="superscript"/>
          <w:lang w:bidi="en-US"/>
        </w:rPr>
        <w:t xml:space="preserve">1D-SIDE </w:t>
      </w:r>
    </w:p>
    <w:p w14:paraId="0B0CE2B4" w14:textId="77777777" w:rsidR="00C610E1" w:rsidRPr="00C610E1" w:rsidRDefault="00C610E1" w:rsidP="00C610E1">
      <w:pPr>
        <w:spacing w:line="480" w:lineRule="auto"/>
        <w:rPr>
          <w:rFonts w:ascii="Times New Roman" w:hAnsi="Times New Roman"/>
          <w:lang w:bidi="en-US"/>
        </w:rPr>
      </w:pPr>
      <w:r w:rsidRPr="00C610E1">
        <w:rPr>
          <w:rFonts w:ascii="Times New Roman" w:hAnsi="Times New Roman"/>
          <w:lang w:bidi="en-US"/>
        </w:rPr>
        <w:t>PL</w:t>
      </w:r>
      <w:r w:rsidRPr="00C610E1">
        <w:rPr>
          <w:rFonts w:ascii="Times New Roman" w:hAnsi="Times New Roman"/>
          <w:vertAlign w:val="superscript"/>
          <w:lang w:bidi="en-US"/>
        </w:rPr>
        <w:t xml:space="preserve">1D-UP </w:t>
      </w:r>
      <w:r w:rsidRPr="00C610E1">
        <w:rPr>
          <w:rFonts w:ascii="Times New Roman" w:hAnsi="Times New Roman"/>
          <w:lang w:bidi="en-US"/>
        </w:rPr>
        <w:t>= PlayerLoad</w:t>
      </w:r>
      <w:r w:rsidRPr="00C610E1">
        <w:rPr>
          <w:rFonts w:ascii="Times New Roman" w:hAnsi="Times New Roman"/>
          <w:vertAlign w:val="superscript"/>
          <w:lang w:bidi="en-US"/>
        </w:rPr>
        <w:t xml:space="preserve">1D-UP </w:t>
      </w:r>
    </w:p>
    <w:p w14:paraId="54C7C35B" w14:textId="77777777" w:rsidR="000D2A23" w:rsidRDefault="00C610E1" w:rsidP="00C610E1">
      <w:pPr>
        <w:spacing w:line="480" w:lineRule="auto"/>
        <w:rPr>
          <w:rFonts w:ascii="Times New Roman" w:hAnsi="Times New Roman"/>
          <w:lang w:bidi="en-US"/>
        </w:rPr>
      </w:pPr>
      <w:r w:rsidRPr="00C610E1">
        <w:rPr>
          <w:rFonts w:ascii="Times New Roman" w:hAnsi="Times New Roman"/>
          <w:lang w:bidi="en-US"/>
        </w:rPr>
        <w:t>PL</w:t>
      </w:r>
      <w:r w:rsidRPr="00C610E1">
        <w:rPr>
          <w:rFonts w:ascii="Times New Roman" w:hAnsi="Times New Roman"/>
          <w:vertAlign w:val="superscript"/>
          <w:lang w:bidi="en-US"/>
        </w:rPr>
        <w:t>2D</w:t>
      </w:r>
      <w:r w:rsidRPr="00C610E1">
        <w:rPr>
          <w:rFonts w:ascii="Times New Roman" w:hAnsi="Times New Roman"/>
          <w:lang w:bidi="en-US"/>
        </w:rPr>
        <w:t xml:space="preserve"> = PlayerLoad</w:t>
      </w:r>
      <w:r w:rsidRPr="00C610E1">
        <w:rPr>
          <w:rFonts w:ascii="Times New Roman" w:hAnsi="Times New Roman"/>
          <w:vertAlign w:val="superscript"/>
          <w:lang w:bidi="en-US"/>
        </w:rPr>
        <w:t>2D</w:t>
      </w:r>
      <w:r w:rsidRPr="00C610E1">
        <w:rPr>
          <w:rFonts w:ascii="Times New Roman" w:hAnsi="Times New Roman"/>
          <w:lang w:bidi="en-US"/>
        </w:rPr>
        <w:t xml:space="preserve"> </w:t>
      </w:r>
    </w:p>
    <w:p w14:paraId="6593D463" w14:textId="77777777" w:rsidR="000D2A23" w:rsidRPr="000D2A23" w:rsidRDefault="000D2A23" w:rsidP="000D2A23">
      <w:pPr>
        <w:spacing w:line="480" w:lineRule="auto"/>
        <w:rPr>
          <w:rFonts w:ascii="Times New Roman" w:hAnsi="Times New Roman"/>
          <w:lang w:bidi="en-US"/>
        </w:rPr>
      </w:pPr>
      <w:r w:rsidRPr="000D2A23">
        <w:rPr>
          <w:rFonts w:ascii="Times New Roman" w:hAnsi="Times New Roman"/>
          <w:lang w:bidi="en-US"/>
        </w:rPr>
        <w:t xml:space="preserve">RPE = Rating of Perceived Exertion </w:t>
      </w:r>
    </w:p>
    <w:p w14:paraId="7347D7B1" w14:textId="77777777" w:rsidR="000D2A23" w:rsidRPr="000D2A23" w:rsidRDefault="000D2A23" w:rsidP="000D2A23">
      <w:pPr>
        <w:spacing w:line="480" w:lineRule="auto"/>
        <w:rPr>
          <w:rFonts w:ascii="Times New Roman" w:hAnsi="Times New Roman"/>
          <w:lang w:bidi="en-US"/>
        </w:rPr>
      </w:pPr>
      <w:proofErr w:type="spellStart"/>
      <w:r w:rsidRPr="000D2A23">
        <w:rPr>
          <w:rFonts w:ascii="Times New Roman" w:hAnsi="Times New Roman"/>
          <w:lang w:bidi="en-US"/>
        </w:rPr>
        <w:t>RSI</w:t>
      </w:r>
      <w:r w:rsidRPr="000D2A23">
        <w:rPr>
          <w:rFonts w:ascii="Times New Roman" w:hAnsi="Times New Roman"/>
          <w:vertAlign w:val="subscript"/>
          <w:lang w:bidi="en-US"/>
        </w:rPr>
        <w:t>Mod</w:t>
      </w:r>
      <w:proofErr w:type="spellEnd"/>
      <w:r w:rsidRPr="000D2A23">
        <w:rPr>
          <w:rFonts w:ascii="Times New Roman" w:hAnsi="Times New Roman"/>
          <w:lang w:bidi="en-US"/>
        </w:rPr>
        <w:t xml:space="preserve"> = Reactive Strength Index-Modified </w:t>
      </w:r>
    </w:p>
    <w:p w14:paraId="36796AFA" w14:textId="77777777" w:rsidR="000D2A23" w:rsidRPr="000D2A23" w:rsidRDefault="000D2A23" w:rsidP="000D2A23">
      <w:pPr>
        <w:spacing w:line="480" w:lineRule="auto"/>
        <w:rPr>
          <w:rFonts w:ascii="Times New Roman" w:hAnsi="Times New Roman"/>
          <w:lang w:bidi="en-US"/>
        </w:rPr>
      </w:pPr>
      <w:proofErr w:type="spellStart"/>
      <w:r w:rsidRPr="000D2A23">
        <w:rPr>
          <w:rFonts w:ascii="Times New Roman" w:hAnsi="Times New Roman"/>
          <w:lang w:bidi="en-US"/>
        </w:rPr>
        <w:t>sRPE</w:t>
      </w:r>
      <w:proofErr w:type="spellEnd"/>
      <w:r w:rsidRPr="000D2A23">
        <w:rPr>
          <w:rFonts w:ascii="Times New Roman" w:hAnsi="Times New Roman"/>
          <w:lang w:bidi="en-US"/>
        </w:rPr>
        <w:t xml:space="preserve"> = Session Rating of Perceived Exertion</w:t>
      </w:r>
    </w:p>
    <w:p w14:paraId="2450F80F" w14:textId="3AAFBA59" w:rsidR="0060645A" w:rsidRDefault="0060645A" w:rsidP="00C610E1">
      <w:pPr>
        <w:spacing w:line="480" w:lineRule="auto"/>
        <w:rPr>
          <w:rFonts w:ascii="Times New Roman" w:hAnsi="Times New Roman"/>
          <w:lang w:bidi="en-US"/>
        </w:rPr>
      </w:pPr>
      <w:r>
        <w:rPr>
          <w:rFonts w:ascii="Times New Roman" w:hAnsi="Times New Roman"/>
          <w:lang w:bidi="en-US"/>
        </w:rPr>
        <w:lastRenderedPageBreak/>
        <w:t>T = Testosterone</w:t>
      </w:r>
    </w:p>
    <w:p w14:paraId="65D4F04E" w14:textId="3C2CF8C8" w:rsidR="003F3D08" w:rsidRPr="001307A2" w:rsidRDefault="000D2A23" w:rsidP="00C610E1">
      <w:pPr>
        <w:spacing w:line="480" w:lineRule="auto"/>
        <w:rPr>
          <w:rFonts w:ascii="Times New Roman" w:hAnsi="Times New Roman"/>
          <w:lang w:bidi="en-US"/>
        </w:rPr>
      </w:pPr>
      <w:r w:rsidRPr="000D2A23">
        <w:rPr>
          <w:rFonts w:ascii="Times New Roman" w:hAnsi="Times New Roman"/>
          <w:lang w:bidi="en-US"/>
        </w:rPr>
        <w:t xml:space="preserve">T:C = </w:t>
      </w:r>
      <w:proofErr w:type="spellStart"/>
      <w:r w:rsidRPr="000D2A23">
        <w:rPr>
          <w:rFonts w:ascii="Times New Roman" w:hAnsi="Times New Roman"/>
          <w:lang w:bidi="en-US"/>
        </w:rPr>
        <w:t>Testosterone:Cortisol</w:t>
      </w:r>
      <w:proofErr w:type="spellEnd"/>
      <w:r w:rsidRPr="000D2A23">
        <w:rPr>
          <w:rFonts w:ascii="Times New Roman" w:hAnsi="Times New Roman"/>
          <w:lang w:bidi="en-US"/>
        </w:rPr>
        <w:t xml:space="preserve"> Ratio</w:t>
      </w:r>
      <w:r w:rsidR="003F3D08" w:rsidRPr="001307A2">
        <w:rPr>
          <w:rFonts w:ascii="Times New Roman" w:hAnsi="Times New Roman"/>
        </w:rPr>
        <w:br w:type="page"/>
      </w:r>
    </w:p>
    <w:p w14:paraId="3513BBD3" w14:textId="0CBA636B" w:rsidR="003F3D08" w:rsidRPr="00CE2317" w:rsidRDefault="003F3D08" w:rsidP="00C10902">
      <w:pPr>
        <w:pStyle w:val="Heading1"/>
        <w:spacing w:line="480" w:lineRule="auto"/>
        <w:jc w:val="center"/>
        <w:rPr>
          <w:rFonts w:ascii="Times New Roman" w:hAnsi="Times New Roman" w:cs="Times New Roman"/>
          <w:b/>
          <w:bCs/>
          <w:color w:val="000000" w:themeColor="text1"/>
          <w:sz w:val="24"/>
          <w:szCs w:val="24"/>
        </w:rPr>
      </w:pPr>
      <w:bookmarkStart w:id="26" w:name="_Toc99267605"/>
      <w:r w:rsidRPr="00CE2317">
        <w:rPr>
          <w:rFonts w:ascii="Times New Roman" w:hAnsi="Times New Roman" w:cs="Times New Roman"/>
          <w:b/>
          <w:bCs/>
          <w:color w:val="000000" w:themeColor="text1"/>
          <w:sz w:val="24"/>
          <w:szCs w:val="24"/>
        </w:rPr>
        <w:lastRenderedPageBreak/>
        <w:t>C</w:t>
      </w:r>
      <w:r w:rsidR="00917AEB" w:rsidRPr="00CE2317">
        <w:rPr>
          <w:rFonts w:ascii="Times New Roman" w:hAnsi="Times New Roman" w:cs="Times New Roman"/>
          <w:b/>
          <w:bCs/>
          <w:color w:val="000000" w:themeColor="text1"/>
          <w:sz w:val="24"/>
          <w:szCs w:val="24"/>
        </w:rPr>
        <w:t>hapter</w:t>
      </w:r>
      <w:r w:rsidRPr="00CE2317">
        <w:rPr>
          <w:rFonts w:ascii="Times New Roman" w:hAnsi="Times New Roman" w:cs="Times New Roman"/>
          <w:b/>
          <w:bCs/>
          <w:color w:val="000000" w:themeColor="text1"/>
          <w:sz w:val="24"/>
          <w:szCs w:val="24"/>
        </w:rPr>
        <w:t xml:space="preserve"> II: R</w:t>
      </w:r>
      <w:r w:rsidR="00917AEB" w:rsidRPr="00CE2317">
        <w:rPr>
          <w:rFonts w:ascii="Times New Roman" w:hAnsi="Times New Roman" w:cs="Times New Roman"/>
          <w:b/>
          <w:bCs/>
          <w:color w:val="000000" w:themeColor="text1"/>
          <w:sz w:val="24"/>
          <w:szCs w:val="24"/>
        </w:rPr>
        <w:t>eview of Literature</w:t>
      </w:r>
      <w:bookmarkEnd w:id="26"/>
    </w:p>
    <w:p w14:paraId="51195F2C" w14:textId="2A5D4059" w:rsidR="003F3D08" w:rsidRDefault="003F3D08" w:rsidP="003F3D08">
      <w:pPr>
        <w:spacing w:line="480" w:lineRule="auto"/>
        <w:jc w:val="both"/>
        <w:rPr>
          <w:rFonts w:ascii="Times New Roman" w:hAnsi="Times New Roman" w:cs="Times New Roman"/>
        </w:rPr>
      </w:pPr>
      <w:r>
        <w:rPr>
          <w:rFonts w:ascii="Times New Roman" w:hAnsi="Times New Roman" w:cs="Times New Roman"/>
        </w:rPr>
        <w:tab/>
      </w:r>
      <w:r w:rsidRPr="00146792">
        <w:rPr>
          <w:rFonts w:ascii="Times New Roman" w:hAnsi="Times New Roman" w:cs="Times New Roman"/>
        </w:rPr>
        <w:t xml:space="preserve">The purpose </w:t>
      </w:r>
      <w:r>
        <w:rPr>
          <w:rFonts w:ascii="Times New Roman" w:hAnsi="Times New Roman" w:cs="Times New Roman"/>
        </w:rPr>
        <w:t>of th</w:t>
      </w:r>
      <w:r w:rsidR="00DF3FCD">
        <w:rPr>
          <w:rFonts w:ascii="Times New Roman" w:hAnsi="Times New Roman" w:cs="Times New Roman"/>
        </w:rPr>
        <w:t>is retrospective</w:t>
      </w:r>
      <w:r>
        <w:rPr>
          <w:rFonts w:ascii="Times New Roman" w:hAnsi="Times New Roman" w:cs="Times New Roman"/>
        </w:rPr>
        <w:t xml:space="preserve"> investigation </w:t>
      </w:r>
      <w:r w:rsidR="00DF3FCD">
        <w:rPr>
          <w:rFonts w:ascii="Times New Roman" w:hAnsi="Times New Roman" w:cs="Times New Roman"/>
        </w:rPr>
        <w:t>was</w:t>
      </w:r>
      <w:r w:rsidRPr="00146792">
        <w:rPr>
          <w:rFonts w:ascii="Times New Roman" w:hAnsi="Times New Roman" w:cs="Times New Roman"/>
        </w:rPr>
        <w:t xml:space="preserve"> to evaluate changes in endocrine responses across the preseason, which w</w:t>
      </w:r>
      <w:r w:rsidR="00DF3FCD">
        <w:rPr>
          <w:rFonts w:ascii="Times New Roman" w:hAnsi="Times New Roman" w:cs="Times New Roman"/>
        </w:rPr>
        <w:t>as</w:t>
      </w:r>
      <w:r w:rsidRPr="00146792">
        <w:rPr>
          <w:rFonts w:ascii="Times New Roman" w:hAnsi="Times New Roman" w:cs="Times New Roman"/>
        </w:rPr>
        <w:t xml:space="preserve"> investigated by understand</w:t>
      </w:r>
      <w:r>
        <w:rPr>
          <w:rFonts w:ascii="Times New Roman" w:hAnsi="Times New Roman" w:cs="Times New Roman"/>
        </w:rPr>
        <w:t>ing</w:t>
      </w:r>
      <w:r w:rsidRPr="00146792">
        <w:rPr>
          <w:rFonts w:ascii="Times New Roman" w:hAnsi="Times New Roman" w:cs="Times New Roman"/>
        </w:rPr>
        <w:t xml:space="preserve"> changes in the acute endocrine </w:t>
      </w:r>
      <w:r>
        <w:rPr>
          <w:rFonts w:ascii="Times New Roman" w:hAnsi="Times New Roman" w:cs="Times New Roman"/>
        </w:rPr>
        <w:t xml:space="preserve">adaptive </w:t>
      </w:r>
      <w:r w:rsidRPr="00146792">
        <w:rPr>
          <w:rFonts w:ascii="Times New Roman" w:hAnsi="Times New Roman" w:cs="Times New Roman"/>
        </w:rPr>
        <w:t>response to a bout of sport specific basketball practice, as well as changes in resting levels across the preseason</w:t>
      </w:r>
      <w:r>
        <w:rPr>
          <w:rFonts w:ascii="Times New Roman" w:hAnsi="Times New Roman" w:cs="Times New Roman"/>
        </w:rPr>
        <w:t xml:space="preserve">. The compendium of this literature review investigates previous research on </w:t>
      </w:r>
      <w:r w:rsidR="004B5FEA">
        <w:rPr>
          <w:rFonts w:ascii="Times New Roman" w:hAnsi="Times New Roman" w:cs="Times New Roman"/>
        </w:rPr>
        <w:t xml:space="preserve">the importance in balancing the imposed stressors on elite athletes and their recovery. This may be enhanced through monitoring external and internal training loads to the imposed demands. Being able to monitor </w:t>
      </w:r>
      <w:r>
        <w:rPr>
          <w:rFonts w:ascii="Times New Roman" w:hAnsi="Times New Roman" w:cs="Times New Roman"/>
        </w:rPr>
        <w:t>endocrine responses and neuromuscular performance</w:t>
      </w:r>
      <w:r w:rsidR="004B5FEA">
        <w:rPr>
          <w:rFonts w:ascii="Times New Roman" w:hAnsi="Times New Roman" w:cs="Times New Roman"/>
        </w:rPr>
        <w:t xml:space="preserve"> in conjunction may be able to help provide insight into the metabolic states and potential fatigue the athletes are experiencing</w:t>
      </w:r>
      <w:r>
        <w:rPr>
          <w:rFonts w:ascii="Times New Roman" w:hAnsi="Times New Roman" w:cs="Times New Roman"/>
        </w:rPr>
        <w:t xml:space="preserve">. The search was performed through search engines such as </w:t>
      </w:r>
      <w:proofErr w:type="spellStart"/>
      <w:r>
        <w:rPr>
          <w:rFonts w:ascii="Times New Roman" w:hAnsi="Times New Roman" w:cs="Times New Roman"/>
        </w:rPr>
        <w:t>SportDiscus</w:t>
      </w:r>
      <w:proofErr w:type="spellEnd"/>
      <w:r>
        <w:rPr>
          <w:rFonts w:ascii="Times New Roman" w:hAnsi="Times New Roman" w:cs="Times New Roman"/>
        </w:rPr>
        <w:t xml:space="preserve">, PubMed, Medline (EBSCO), and Google Scholar. Some keywords or phrases entered were “endocrine response”, “neuromuscular performance”, and “training load”. </w:t>
      </w:r>
    </w:p>
    <w:p w14:paraId="55650CCD" w14:textId="0908531D" w:rsidR="003F3D08" w:rsidRPr="00FC08AB" w:rsidRDefault="003F3D08" w:rsidP="00F829B9">
      <w:pPr>
        <w:pStyle w:val="Heading2"/>
      </w:pPr>
      <w:bookmarkStart w:id="27" w:name="_Toc99267606"/>
      <w:r w:rsidRPr="00FC08AB">
        <w:t>Training Strain vs Recovery Continuum</w:t>
      </w:r>
      <w:bookmarkEnd w:id="27"/>
    </w:p>
    <w:p w14:paraId="20A8EAF1" w14:textId="306CA770" w:rsidR="003F3D08" w:rsidRPr="00FA6ECE" w:rsidRDefault="003F3D08" w:rsidP="003F3D08">
      <w:pPr>
        <w:spacing w:line="480" w:lineRule="auto"/>
        <w:jc w:val="both"/>
        <w:rPr>
          <w:rFonts w:ascii="Times New Roman" w:hAnsi="Times New Roman" w:cs="Times New Roman"/>
        </w:rPr>
      </w:pPr>
      <w:r>
        <w:rPr>
          <w:rFonts w:ascii="Times New Roman" w:hAnsi="Times New Roman" w:cs="Times New Roman"/>
        </w:rPr>
        <w:tab/>
        <w:t xml:space="preserve">The balance between imposing demands of athletes in order to optimize the generation of positive adaptations and resist states of fatigue or in extreme cases, overtraining is vital to the health, well-being, and performance of athletes. </w:t>
      </w:r>
      <w:r w:rsidR="004C70DB">
        <w:rPr>
          <w:rFonts w:ascii="Times New Roman" w:hAnsi="Times New Roman" w:cs="Times New Roman"/>
        </w:rPr>
        <w:t xml:space="preserve">A stimulus resulting in a certain degree of fatigue is a necessity to bring about adaptations to drive enhancements within performance </w:t>
      </w:r>
      <w:r w:rsidR="004C70DB">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{"citationID":"wCyGkwlq","properties":{"formattedCitation":"(Noakes, 2000)","plainCitation":"(Noakes, 2000)","noteIndex":0},"citationItems":[{"id":529,"uris":["http://zotero.org/users/6327055/items/UF487NY2"],"itemData":{"id":529,"type":"article-journal","container-title":"Scandinavian Journal of Medicine &amp; Science in Sports","DOI":"10.1034/j.1600-0838.2000.010003123.x","ISSN":"09057188","issue":"3","language":"en","page":"123-145","source":"DOI.org (Crossref)","title":"Physiological models to understand exercise fatigue and the adaptations that predict or enhance athletic performance: physiological models to study exercise","title-short":"Physiological models to understand exercise fatigue and the adaptations that predict or enhance athletic performance","volume":"10","author":[{"family":"Noakes","given":"T. D."}],"issued":{"date-parts":[["2000",6]]}}}],"schema":"https://github.com/citation-style-language/schema/raw/master/csl-citation.json"} </w:instrText>
      </w:r>
      <w:r w:rsidR="004C70DB">
        <w:rPr>
          <w:rFonts w:ascii="Times New Roman" w:hAnsi="Times New Roman" w:cs="Times New Roman"/>
        </w:rPr>
        <w:fldChar w:fldCharType="separate"/>
      </w:r>
      <w:r w:rsidR="004C70DB">
        <w:rPr>
          <w:rFonts w:ascii="Times New Roman" w:hAnsi="Times New Roman" w:cs="Times New Roman"/>
          <w:noProof/>
        </w:rPr>
        <w:t>(Noakes, 2000)</w:t>
      </w:r>
      <w:r w:rsidR="004C70DB">
        <w:rPr>
          <w:rFonts w:ascii="Times New Roman" w:hAnsi="Times New Roman" w:cs="Times New Roman"/>
        </w:rPr>
        <w:fldChar w:fldCharType="end"/>
      </w:r>
      <w:r w:rsidR="004C70DB">
        <w:rPr>
          <w:rFonts w:ascii="Times New Roman" w:hAnsi="Times New Roman" w:cs="Times New Roman"/>
        </w:rPr>
        <w:t xml:space="preserve">. </w:t>
      </w:r>
      <w:r>
        <w:rPr>
          <w:rFonts w:ascii="Times New Roman" w:hAnsi="Times New Roman" w:cs="Times New Roman"/>
        </w:rPr>
        <w:t xml:space="preserve">This is in line with the General Adaptation Syndrome (GAS) model. The GAS model is the common reference of adaptive responses to training stimuli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{"citationID":"VWCDAnMl","properties":{"formattedCitation":"(Selye, 1950)","plainCitation":"(Selye, 1950)","noteIndex":0},"citationItems":[{"id":157,"uris":["http://zotero.org/users/6327055/items/NWAJ48HD"],"itemData":{"id":157,"type":"article-journal","container-title":"British Medical Journal","language":"en","page":"1383-1392","source":"Zotero","title":"Stress and the general adaptation syndrome","author":[{"family":"Selye","given":"Hans"}],"issued":{"date-parts":[["1950",6,17]]}}}],"schema":"https://github.com/citation-style-language/schema/raw/master/csl-citation.json"} </w:instrText>
      </w:r>
      <w:r w:rsidR="006E711E">
        <w:rPr>
          <w:rFonts w:ascii="Times New Roman" w:hAnsi="Times New Roman" w:cs="Times New Roman"/>
          <w:noProof/>
        </w:rPr>
        <w:fldChar w:fldCharType="separate"/>
      </w:r>
      <w:r w:rsidR="006E711E">
        <w:rPr>
          <w:rFonts w:ascii="Times New Roman" w:hAnsi="Times New Roman" w:cs="Times New Roman"/>
          <w:noProof/>
        </w:rPr>
        <w:t>(Selye, 1950)</w:t>
      </w:r>
      <w:r w:rsidR="006E711E">
        <w:rPr>
          <w:rFonts w:ascii="Times New Roman" w:hAnsi="Times New Roman" w:cs="Times New Roman"/>
          <w:noProof/>
        </w:rPr>
        <w:fldChar w:fldCharType="end"/>
      </w:r>
      <w:r>
        <w:rPr>
          <w:rFonts w:ascii="Times New Roman" w:hAnsi="Times New Roman" w:cs="Times New Roman"/>
        </w:rPr>
        <w:t xml:space="preserve">. The model follows a systemic three phase response starting with the alarm reaction stage elicited by a stimulus from stress or a nocuous agent, typically characterized by a training stimulus in sports, resulting in diminishments of physiological status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{"citationID":"pqJWA2AQ","properties":{"formattedCitation":"(Cunanan et al., 2018; Selye, 1936)","plainCitation":"(Cunanan et al., 2018; Selye, 1936)","noteIndex":0},"citationItems":[{"id":151,"uris":["http://zotero.org/users/6327055/items/5AIFVNJK"],"itemData":{"id":151,"type":"article-journal","container-title":"Sports Medicine","DOI":"10.1007/s40279-017-0855-3","ISSN":"0112-1642, 1179-2035","issue":"4","journalAbbreviation":"Sports Med","language":"en","page":"787-797","source":"DOI.org (Crossref)","title":"The general adaptation syndrome: a foundation for the concept of periodization","title-short":"The General Adaptation Syndrome","volume":"48","author":[{"family":"Cunanan","given":"Aaron J."},{"family":"DeWeese","given":"Brad H."},{"family":"Wagle","given":"John P."},{"family":"Carroll","given":"Kevin M."},{"family":"Sausaman","given":"Robert"},{"family":"Hornsby","given":"W. Guy"},{"family":"Haff","given":"G. Gregory"},{"family":"Triplett","given":"N. Travis"},{"family":"Pierce","given":"Kyle C."},{"family":"Stone","given":"Michael H."}],"issued":{"date-parts":[["2018",4]]}}},{"id":409,"uris":["http://zotero.org/users/6327055/items/2RTG5QF3"],"itemData":{"id":409,"type":"article-journal","abstract":"EXPERIMENTS on rats show that if the organism is severely damaged by acute non-specific nocuous agents such as exposure to cold, surgical injury, production of spinal shock (transcision of the cord), excessive muscular exercise, or intoxications with sublethal doses of diverse drugs (adrenaline, atropine, morphine, formaldehyde, etc.), a typical syndrome appears, the symptoms of which are independent of the nature of the damaging agent or the pharmacological type of the drug employed, and represent rather a response to damage as such.","container-title":"Nature","DOI":"10.1038/138032a0","ISSN":"1476-4687","issue":"3479","language":"en","note":"number: 3479\npublisher: Nature Publishing Group","page":"32-32","source":"www.nature.com","title":"A syndrome produced by diverse nocuous agents","volume":"138","author":[{"family":"Selye","given":"Hans"}],"issued":{"date-parts":[["1936",7]]}}}],"schema":"https://github.com/citation-style-language/schema/raw/master/csl-citation.json"} </w:instrText>
      </w:r>
      <w:r w:rsidR="006E711E">
        <w:rPr>
          <w:rFonts w:ascii="Times New Roman" w:hAnsi="Times New Roman" w:cs="Times New Roman"/>
          <w:noProof/>
        </w:rPr>
        <w:fldChar w:fldCharType="separate"/>
      </w:r>
      <w:r w:rsidR="006E711E">
        <w:rPr>
          <w:rFonts w:ascii="Times New Roman" w:hAnsi="Times New Roman" w:cs="Times New Roman"/>
          <w:noProof/>
        </w:rPr>
        <w:t>(Cunanan et al., 2018; Selye, 1936)</w:t>
      </w:r>
      <w:r w:rsidR="006E711E">
        <w:rPr>
          <w:rFonts w:ascii="Times New Roman" w:hAnsi="Times New Roman" w:cs="Times New Roman"/>
          <w:noProof/>
        </w:rPr>
        <w:fldChar w:fldCharType="end"/>
      </w:r>
      <w:r>
        <w:rPr>
          <w:rFonts w:ascii="Times New Roman" w:hAnsi="Times New Roman" w:cs="Times New Roman"/>
        </w:rPr>
        <w:t xml:space="preserve">. Following, the resistance stage will be represented by the body attempting to restore resting levels while </w:t>
      </w:r>
      <w:r>
        <w:rPr>
          <w:rFonts w:ascii="Times New Roman" w:hAnsi="Times New Roman" w:cs="Times New Roman"/>
        </w:rPr>
        <w:lastRenderedPageBreak/>
        <w:t xml:space="preserve">producing positive adaptations to avoid suppression in homeostasis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{"citationID":"UAi19Sg6","properties":{"formattedCitation":"(Selye, 1937, 1950)","plainCitation":"(Selye, 1937, 1950)","noteIndex":0},"citationItems":[{"id":413,"uris":["http://zotero.org/users/6327055/items/H97NWILA"],"itemData":{"id":413,"type":"article-journal","container-title":"Endocrinology","DOI":"10.1210/endo-21-2-169","ISSN":"0013-7227, 1945-7170","issue":"2","journalAbbreviation":"Endocrinology","language":"en","page":"169-188","source":"DOI.org (Crossref)","title":"Studies on adaptation","volume":"21","author":[{"family":"Selye","given":"Hans"}],"issued":{"date-parts":[["1937",3]]}}},{"id":157,"uris":["http://zotero.org/users/6327055/items/NWAJ48HD"],"itemData":{"id":157,"type":"article-journal","container-title":"British Medical Journal","language":"en","page":"1383-1392","source":"Zotero","title":"Stress and the general adaptation syndrome","author":[{"family":"Selye","given":"Hans"}],"issued":{"date-parts":[["1950",6,17]]}}}],"schema":"https://github.com/citation-style-language/schema/raw/master/csl-citation.json"} </w:instrText>
      </w:r>
      <w:r w:rsidR="006E711E">
        <w:rPr>
          <w:rFonts w:ascii="Times New Roman" w:hAnsi="Times New Roman" w:cs="Times New Roman"/>
          <w:noProof/>
        </w:rPr>
        <w:fldChar w:fldCharType="separate"/>
      </w:r>
      <w:r w:rsidR="006E711E">
        <w:rPr>
          <w:rFonts w:ascii="Times New Roman" w:hAnsi="Times New Roman" w:cs="Times New Roman"/>
          <w:noProof/>
        </w:rPr>
        <w:t>(Selye, 1937, 1950)</w:t>
      </w:r>
      <w:r w:rsidR="006E711E">
        <w:rPr>
          <w:rFonts w:ascii="Times New Roman" w:hAnsi="Times New Roman" w:cs="Times New Roman"/>
          <w:noProof/>
        </w:rPr>
        <w:fldChar w:fldCharType="end"/>
      </w:r>
      <w:r>
        <w:rPr>
          <w:rFonts w:ascii="Times New Roman" w:hAnsi="Times New Roman" w:cs="Times New Roman"/>
        </w:rPr>
        <w:t xml:space="preserve">. Furthermore, enhancements within the physiological status is known as supercompensation, which can lead to additional positive adaptations and performances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{"citationID":"shVdvqiy","properties":{"formattedCitation":"(Cunanan et al., 2018; Selye, 1950)","plainCitation":"(Cunanan et al., 2018; Selye, 1950)","noteIndex":0},"citationItems":[{"id":151,"uris":["http://zotero.org/users/6327055/items/5AIFVNJK"],"itemData":{"id":151,"type":"article-journal","container-title":"Sports Medicine","DOI":"10.1007/s40279-017-0855-3","ISSN":"0112-1642, 1179-2035","issue":"4","journalAbbreviation":"Sports Med","language":"en","page":"787-797","source":"DOI.org (Crossref)","title":"The general adaptation syndrome: a foundation for the concept of periodization","title-short":"The General Adaptation Syndrome","volume":"48","author":[{"family":"Cunanan","given":"Aaron J."},{"family":"DeWeese","given":"Brad H."},{"family":"Wagle","given":"John P."},{"family":"Carroll","given":"Kevin M."},{"family":"Sausaman","given":"Robert"},{"family":"Hornsby","given":"W. Guy"},{"family":"Haff","given":"G. Gregory"},{"family":"Triplett","given":"N. Travis"},{"family":"Pierce","given":"Kyle C."},{"family":"Stone","given":"Michael H."}],"issued":{"date-parts":[["2018",4]]}}},{"id":157,"uris":["http://zotero.org/users/6327055/items/NWAJ48HD"],"itemData":{"id":157,"type":"article-journal","container-title":"British Medical Journal","language":"en","page":"1383-1392","source":"Zotero","title":"Stress and the general adaptation syndrome","author":[{"family":"Selye","given":"Hans"}],"issued":{"date-parts":[["1950",6,17]]}}}],"schema":"https://github.com/citation-style-language/schema/raw/master/csl-citation.json"} </w:instrText>
      </w:r>
      <w:r w:rsidR="006E711E">
        <w:rPr>
          <w:rFonts w:ascii="Times New Roman" w:hAnsi="Times New Roman" w:cs="Times New Roman"/>
          <w:noProof/>
        </w:rPr>
        <w:fldChar w:fldCharType="separate"/>
      </w:r>
      <w:r w:rsidR="006E711E">
        <w:rPr>
          <w:rFonts w:ascii="Times New Roman" w:hAnsi="Times New Roman" w:cs="Times New Roman"/>
          <w:noProof/>
        </w:rPr>
        <w:t>(Cunanan et al., 2018; Selye, 1950)</w:t>
      </w:r>
      <w:r w:rsidR="006E711E">
        <w:rPr>
          <w:rFonts w:ascii="Times New Roman" w:hAnsi="Times New Roman" w:cs="Times New Roman"/>
          <w:noProof/>
        </w:rPr>
        <w:fldChar w:fldCharType="end"/>
      </w:r>
      <w:r>
        <w:rPr>
          <w:rFonts w:ascii="Times New Roman" w:hAnsi="Times New Roman" w:cs="Times New Roman"/>
        </w:rPr>
        <w:t xml:space="preserve">. Unfortunately, if the stress or nocuous agents imposed is too great to handle then the resistance stage will be unable to keep the physiological status from diminishing leading to the stage of exhaustion instead of supercompensation and maladaptation to potentially occur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{"citationID":"WpYM8MJk","properties":{"formattedCitation":"(Cunanan et al., 2018; Nimmo &amp; Ekblom, 2007; Selye, 1936)","plainCitation":"(Cunanan et al., 2018; Nimmo &amp; Ekblom, 2007; Selye, 1936)","noteIndex":0},"citationItems":[{"id":151,"uris":["http://zotero.org/users/6327055/items/5AIFVNJK"],"itemData":{"id":151,"type":"article-journal","container-title":"Sports Medicine","DOI":"10.1007/s40279-017-0855-3","ISSN":"0112-1642, 1179-2035","issue":"4","journalAbbreviation":"Sports Med","language":"en","page":"787-797","source":"DOI.org (Crossref)","title":"The general adaptation syndrome: a foundation for the concept of periodization","title-short":"The General Adaptation Syndrome","volume":"48","author":[{"family":"Cunanan","given":"Aaron J."},{"family":"DeWeese","given":"Brad H."},{"family":"Wagle","given":"John P."},{"family":"Carroll","given":"Kevin M."},{"family":"Sausaman","given":"Robert"},{"family":"Hornsby","given":"W. Guy"},{"family":"Haff","given":"G. Gregory"},{"family":"Triplett","given":"N. Travis"},{"family":"Pierce","given":"Kyle C."},{"family":"Stone","given":"Michael H."}],"issued":{"date-parts":[["2018",4]]}}},{"id":521,"uris":["http://zotero.org/users/6327055/items/XL54QTT7"],"itemData":{"id":521,"type":"article-journal","abstract":"Adequate nutrition before, during, and after training and competition is a key element to maintaining health. During both sprint and endurance exercise, the availability of glycogen is fundamental to performance and any deﬁcit will lead to early fatigue. In addition, strategies to offset the negative effects of the products of metabolism are presented. Although nutritional strategies can attenuate the immunosuppressive effects of exercise, there remains a period of susceptibility to infection after a hard exercise session and when this is repeated without sufﬁcient recovery an athlete can enter a period of ‘‘overtraining’’ during which performance deteriorates. The aetiology and identiﬁcation of this state is not clear and some current ideas are discussed. Finally, gastrointestinal problems during running can negate any training beneﬁts and we propose some suggestions to reduce this problem.","container-title":"Journal of Sports Sciences","DOI":"10.1080/02640410701607379","ISSN":"0264-0414, 1466-447X","issue":"S1","journalAbbreviation":"Journal of Sports Sciences","language":"en","page":"S93-S102","source":"DOI.org (Crossref)","title":"Fatigue and illness in athletes","volume":"25","author":[{"family":"Nimmo","given":"M. A."},{"family":"Ekblom","given":"B."}],"issued":{"date-parts":[["2007",12]]}}},{"id":409,"uris":["http://zotero.org/users/6327055/items/2RTG5QF3"],"itemData":{"id":409,"type":"article-journal","abstract":"EXPERIMENTS on rats show that if the organism is severely damaged by acute non-specific nocuous agents such as exposure to cold, surgical injury, production of spinal shock (transcision of the cord), excessive muscular exercise, or intoxications with sublethal doses of diverse drugs (adrenaline, atropine, morphine, formaldehyde, etc.), a typical syndrome appears, the symptoms of which are independent of the nature of the damaging agent or the pharmacological type of the drug employed, and represent rather a response to damage as such.","container-title":"Nature","DOI":"10.1038/138032a0","ISSN":"1476-4687","issue":"3479","language":"en","note":"number: 3479\npublisher: Nature Publishing Group","page":"32-32","source":"www.nature.com","title":"A syndrome produced by diverse nocuous agents","volume":"138","author":[{"family":"Selye","given":"Hans"}],"issued":{"date-parts":[["1936",7]]}}}],"schema":"https://github.com/citation-style-language/schema/raw/master/csl-citation.json"} </w:instrText>
      </w:r>
      <w:r w:rsidR="006E711E">
        <w:rPr>
          <w:rFonts w:ascii="Times New Roman" w:hAnsi="Times New Roman" w:cs="Times New Roman"/>
          <w:noProof/>
        </w:rPr>
        <w:fldChar w:fldCharType="separate"/>
      </w:r>
      <w:r w:rsidR="00A13522">
        <w:rPr>
          <w:rFonts w:ascii="Times New Roman" w:hAnsi="Times New Roman" w:cs="Times New Roman"/>
          <w:noProof/>
        </w:rPr>
        <w:t>(Cunanan et al., 2018; Nimmo &amp; Ekblom, 2007; Selye, 1936)</w:t>
      </w:r>
      <w:r w:rsidR="006E711E">
        <w:rPr>
          <w:rFonts w:ascii="Times New Roman" w:hAnsi="Times New Roman" w:cs="Times New Roman"/>
          <w:noProof/>
        </w:rPr>
        <w:fldChar w:fldCharType="end"/>
      </w:r>
      <w:r>
        <w:rPr>
          <w:rFonts w:ascii="Times New Roman" w:hAnsi="Times New Roman" w:cs="Times New Roman"/>
        </w:rPr>
        <w:t xml:space="preserve">. Being able to monitor the components of training as well as the responses </w:t>
      </w:r>
      <w:r w:rsidR="003E2301">
        <w:rPr>
          <w:rFonts w:ascii="Times New Roman" w:hAnsi="Times New Roman" w:cs="Times New Roman"/>
        </w:rPr>
        <w:t xml:space="preserve">to training stimuli </w:t>
      </w:r>
      <w:r>
        <w:rPr>
          <w:rFonts w:ascii="Times New Roman" w:hAnsi="Times New Roman" w:cs="Times New Roman"/>
        </w:rPr>
        <w:t xml:space="preserve">could be useful in determining their position within the </w:t>
      </w:r>
      <w:r w:rsidR="00357D17">
        <w:rPr>
          <w:rFonts w:ascii="Times New Roman" w:hAnsi="Times New Roman" w:cs="Times New Roman"/>
        </w:rPr>
        <w:t>adaptation-recovery continuum</w:t>
      </w:r>
      <w:r>
        <w:rPr>
          <w:rFonts w:ascii="Times New Roman" w:hAnsi="Times New Roman" w:cs="Times New Roman"/>
        </w:rPr>
        <w:t xml:space="preserve">. This can be done through management of training loads in conjunction with </w:t>
      </w:r>
      <w:r w:rsidR="000F20EA">
        <w:rPr>
          <w:rFonts w:ascii="Times New Roman" w:hAnsi="Times New Roman" w:cs="Times New Roman"/>
        </w:rPr>
        <w:t xml:space="preserve">assessing </w:t>
      </w:r>
      <w:r>
        <w:rPr>
          <w:rFonts w:ascii="Times New Roman" w:hAnsi="Times New Roman" w:cs="Times New Roman"/>
        </w:rPr>
        <w:t xml:space="preserve">changes in endocrine biomarkers. </w:t>
      </w:r>
    </w:p>
    <w:p w14:paraId="0B49EA8F" w14:textId="2819CBAC" w:rsidR="003F3D08" w:rsidRPr="00C10902" w:rsidRDefault="003F3D08" w:rsidP="00F829B9">
      <w:pPr>
        <w:pStyle w:val="Heading2"/>
      </w:pPr>
      <w:bookmarkStart w:id="28" w:name="_Toc99267607"/>
      <w:r w:rsidRPr="00C10902">
        <w:t>Monitoring Athlete Training Loads</w:t>
      </w:r>
      <w:bookmarkEnd w:id="28"/>
    </w:p>
    <w:p w14:paraId="2DB81C9C" w14:textId="73231E8B" w:rsidR="003F3D08" w:rsidRPr="00AA4518" w:rsidRDefault="003F3D08" w:rsidP="003F3D08">
      <w:pPr>
        <w:spacing w:line="48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The incorporation of athlete monitoring tools are becoming increasingly popular in team sports in the effort to quantify the amount of workload accumulated. The ability to track the biomechanical and physiological stress imposed through the training sessions can help to manage or inform the potential risks of injury or states trending towards overtraining. Therefore, being able to quantify the imposed demands and the responses can help to relay information of the athlete’s dose-response to the session. </w:t>
      </w:r>
      <w:r w:rsidR="009059E1">
        <w:rPr>
          <w:rFonts w:ascii="Times New Roman" w:hAnsi="Times New Roman" w:cs="Times New Roman"/>
        </w:rPr>
        <w:t>Additionally, l</w:t>
      </w:r>
      <w:r>
        <w:rPr>
          <w:rFonts w:ascii="Times New Roman" w:hAnsi="Times New Roman" w:cs="Times New Roman"/>
        </w:rPr>
        <w:t xml:space="preserve">ongitudinal interpretation of the data can help determine whether there are positive or negative adaptations occurring relating to the effectiveness of the training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{"citationID":"WUiZpMl2","properties":{"formattedCitation":"(Akubat et al., 2014)","plainCitation":"(Akubat et al., 2014)","noteIndex":0},"citationItems":[{"id":281,"uris":["http://zotero.org/users/6327055/items/YQK9ZAFR"],"itemData":{"id":281,"type":"article-journal","abstract":"Purpose:\n              This study aimed to assess the relationships of fitness in soccer players with a novel integration of internal and external training load (TL).\n            \n            \n              Design:\n              \n                Ten amateur soccer players performed a lactate threshold (LT) test followed by a soccer simulation (Ball-Sport Endurance and Sprint Test [BEAST90\n                mod\n                ]).\n              \n            \n            \n              Methods:\n              \n                The results from the LT test were used to determine velocity at lactate threshold (vLT), velocity at onset of blood lactate accumulation (vOBLA), maximal oxygen uptake (VO\n                2max\n                ), and the heart rate–blood lactate profile for calculation of internal TL (individualized training impulse, or iTRIMP). The total distance (TD) and high intensity distance (HID) covered during the BEAST90\n                mod\n                were measured using GPS technology that allowed measurement of performance and external TL. The internal TL was divided by the external TL to form TD:iTRIMP and HID:iTRIMP ratios. Correlation analyses assessed the relationships between fitness measures and the ratios to performance in the BEAST90\n                mod\n                .\n              \n            \n            \n              Results:\n              \n                vLT, vOBLA, and VO\n                2max\n                showed no significant relationship to TD or HID. HID:iTRIMP significantly correlated with vOBLA (\n                r\n                = .65,\n                P\n                = .04; large), and TD:iTRIMP showed a significant correlation with vLT (\n                r\n                = .69,\n                P\n                = .03; large).\n              \n            \n            \n              Conclusions:\n              The results suggest that the integrated use of ratios may help in the assessment of fitness, as performance alone showed no significant relationships with fitness.","container-title":"International Journal of Sports Physiology and Performance","DOI":"10.1123/ijspp.2012-0347","ISSN":"1555-0265, 1555-0273","issue":"3","language":"en","page":"457-462","source":"DOI.org (Crossref)","title":"Integrating the internal and external training loads in soccer","volume":"9","author":[{"family":"Akubat","given":"Ibrahim"},{"family":"Barrett","given":"Steve"},{"family":"Abt","given":"Grant"}],"issued":{"date-parts":[["2014",5]]}}}],"schema":"https://github.com/citation-style-language/schema/raw/master/csl-citation.json"} </w:instrText>
      </w:r>
      <w:r w:rsidR="006E711E">
        <w:rPr>
          <w:rFonts w:ascii="Times New Roman" w:hAnsi="Times New Roman" w:cs="Times New Roman"/>
          <w:noProof/>
        </w:rPr>
        <w:fldChar w:fldCharType="separate"/>
      </w:r>
      <w:r w:rsidR="006E711E">
        <w:rPr>
          <w:rFonts w:ascii="Times New Roman" w:hAnsi="Times New Roman" w:cs="Times New Roman"/>
          <w:noProof/>
        </w:rPr>
        <w:t>(Akubat et al., 2014)</w:t>
      </w:r>
      <w:r w:rsidR="006E711E">
        <w:rPr>
          <w:rFonts w:ascii="Times New Roman" w:hAnsi="Times New Roman" w:cs="Times New Roman"/>
          <w:noProof/>
        </w:rPr>
        <w:fldChar w:fldCharType="end"/>
      </w:r>
      <w:r>
        <w:rPr>
          <w:rFonts w:ascii="Times New Roman" w:hAnsi="Times New Roman" w:cs="Times New Roman"/>
        </w:rPr>
        <w:t xml:space="preserve">. </w:t>
      </w:r>
      <w:r w:rsidR="009059E1">
        <w:rPr>
          <w:rFonts w:ascii="Times New Roman" w:hAnsi="Times New Roman" w:cs="Times New Roman"/>
        </w:rPr>
        <w:t xml:space="preserve">However, due to the nature of </w:t>
      </w:r>
      <w:r w:rsidR="009F7A08">
        <w:rPr>
          <w:rFonts w:ascii="Times New Roman" w:hAnsi="Times New Roman" w:cs="Times New Roman"/>
        </w:rPr>
        <w:t xml:space="preserve">basketball </w:t>
      </w:r>
      <w:r w:rsidR="009059E1">
        <w:rPr>
          <w:rFonts w:ascii="Times New Roman" w:hAnsi="Times New Roman" w:cs="Times New Roman"/>
        </w:rPr>
        <w:t xml:space="preserve">team sport play being reactive and </w:t>
      </w:r>
      <w:r w:rsidR="009F7A08">
        <w:rPr>
          <w:rFonts w:ascii="Times New Roman" w:hAnsi="Times New Roman" w:cs="Times New Roman"/>
        </w:rPr>
        <w:t xml:space="preserve">intermittent, quantifying training loads during training sessions is challenging. </w:t>
      </w:r>
    </w:p>
    <w:p w14:paraId="0B2E4A0B" w14:textId="0B710F64" w:rsidR="003F3D08" w:rsidRPr="00FC08AB" w:rsidRDefault="003F3D08" w:rsidP="00FC08AB">
      <w:pPr>
        <w:pStyle w:val="Heading3"/>
        <w:spacing w:line="480" w:lineRule="auto"/>
        <w:rPr>
          <w:rFonts w:ascii="Times New Roman" w:hAnsi="Times New Roman" w:cs="Times New Roman"/>
          <w:b/>
          <w:bCs/>
          <w:i/>
          <w:iCs/>
          <w:color w:val="000000" w:themeColor="text1"/>
        </w:rPr>
      </w:pPr>
      <w:bookmarkStart w:id="29" w:name="_Toc99267608"/>
      <w:r w:rsidRPr="00FC08AB">
        <w:rPr>
          <w:rFonts w:ascii="Times New Roman" w:hAnsi="Times New Roman" w:cs="Times New Roman"/>
          <w:b/>
          <w:bCs/>
          <w:i/>
          <w:iCs/>
          <w:color w:val="000000" w:themeColor="text1"/>
        </w:rPr>
        <w:t>External Training Load</w:t>
      </w:r>
      <w:bookmarkEnd w:id="29"/>
    </w:p>
    <w:p w14:paraId="09DB3269" w14:textId="19EB46E5" w:rsidR="003F3D08" w:rsidRDefault="003F3D08" w:rsidP="003F3D08">
      <w:pPr>
        <w:spacing w:line="480" w:lineRule="auto"/>
        <w:jc w:val="both"/>
        <w:rPr>
          <w:rFonts w:ascii="Times New Roman" w:hAnsi="Times New Roman" w:cs="Times New Roman"/>
        </w:rPr>
      </w:pPr>
      <w:r>
        <w:rPr>
          <w:rFonts w:ascii="Times New Roman" w:hAnsi="Times New Roman" w:cs="Times New Roman"/>
          <w:b/>
          <w:bCs/>
          <w:i/>
          <w:iCs/>
        </w:rPr>
        <w:tab/>
      </w:r>
      <w:r>
        <w:rPr>
          <w:rFonts w:ascii="Times New Roman" w:hAnsi="Times New Roman" w:cs="Times New Roman"/>
        </w:rPr>
        <w:t>External training load (</w:t>
      </w:r>
      <w:proofErr w:type="spellStart"/>
      <w:r>
        <w:rPr>
          <w:rFonts w:ascii="Times New Roman" w:hAnsi="Times New Roman" w:cs="Times New Roman"/>
        </w:rPr>
        <w:t>eTL</w:t>
      </w:r>
      <w:proofErr w:type="spellEnd"/>
      <w:r>
        <w:rPr>
          <w:rFonts w:ascii="Times New Roman" w:hAnsi="Times New Roman" w:cs="Times New Roman"/>
        </w:rPr>
        <w:t xml:space="preserve">) is referred to as the quantification of </w:t>
      </w:r>
      <w:r w:rsidR="000D6F3E">
        <w:rPr>
          <w:rFonts w:ascii="Times New Roman" w:hAnsi="Times New Roman" w:cs="Times New Roman"/>
        </w:rPr>
        <w:t xml:space="preserve">the </w:t>
      </w:r>
      <w:r>
        <w:rPr>
          <w:rFonts w:ascii="Times New Roman" w:hAnsi="Times New Roman" w:cs="Times New Roman"/>
        </w:rPr>
        <w:t xml:space="preserve">work completed by the athlete through their coordination of mechanics and locomotion as mechanical stress and is </w:t>
      </w:r>
      <w:r>
        <w:rPr>
          <w:rFonts w:ascii="Times New Roman" w:hAnsi="Times New Roman" w:cs="Times New Roman"/>
        </w:rPr>
        <w:lastRenderedPageBreak/>
        <w:t>measured independent of the internal responses</w:t>
      </w:r>
      <w:r w:rsidR="000D6F3E">
        <w:rPr>
          <w:rFonts w:ascii="Times New Roman" w:hAnsi="Times New Roman" w:cs="Times New Roman"/>
        </w:rPr>
        <w:t xml:space="preserve"> to express the quantity of training completed</w:t>
      </w:r>
      <w:r>
        <w:rPr>
          <w:rFonts w:ascii="Times New Roman" w:hAnsi="Times New Roman" w:cs="Times New Roman"/>
        </w:rPr>
        <w:t xml:space="preserve">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{"citationID":"ZNLHOQ8X","properties":{"formattedCitation":"(Halson, 2014; A. Heishman et al., 2018; A. Heishman, Peak, et al., 2020)","plainCitation":"(Halson, 2014; A. Heishman et al., 2018; A. Heishman, Peak, et al., 2020)","noteIndex":0},"citationItems":[{"id":265,"uris":["http://zotero.org/users/6327055/items/E6RD28YW"],"itemData":{"id":265,"type":"article-journal","container-title":"Sports Medicine","DOI":"10.1007/s40279-014-0253-z","ISSN":"0112-1642, 1179-2035","issue":"S2","journalAbbreviation":"Sports Med","language":"en","page":"139-147","source":"DOI.org (Crossref)","title":"Monitoring training load to understand fatigue in athletes","volume":"44","author":[{"family":"Halson","given":"Shona L."}],"issued":{"date-parts":[["2014",11]]}}},{"id":275,"uris":["http://zotero.org/users/6327055/items/Y8Q9W2NY"],"itemData":{"id":275,"type":"article-journal","abstract":"Monitoring external training load (eTL) has become popular for team sport for managing fatigue, optimizing performance, and guiding return-to-play protocols. During indoor sports, eTL can be measured via inertial measurement units (IMU) or indoor positioning systems (IPS). Though each device provides unique information, the relationships between devices has not been examined. Therefore, the purpose of this study was to assess the association of eTL between an IMU and IPS used to monitor eTL in team sport. Retrospective analyses were performed on 13 elite male National Collegiate Athletic Association (NCAA) Division I basketball players (age: 20.2 ± 1.2 years, height: 201.1 ± 7.6 cm, mass: 96.8 ± 8.8 kg) from three practices during the oﬀ-season training phase. A one-way analysis of variance was used to test diﬀerences in eTL across practices. Pearson’s correlation examined the association between the Distance traveled during practice captured by IPS compared to PlayerLoad (PL), PlayerLoad per Minute (PL/Min), 2-Dimensional PlayerLoad (PL2D), 1-Dimensional PlayerLoad Forward (PL1D-FWD), Side (PL1D-SIDE), and Up (PL1D-UP) captured from the IMU. Regression analyses were performed to predict PL from Distance traveled. The eTL characteristics during Practice 1: PL = 420.4 ± 102.9, PL/min = 5.8 ± 1.4, Distance = 1645.9 ± 377.0 m; Practice 2: PL = 472.8 ± 109.5, PL/min = 5.1 ± 1.2, Distance = 1940.0 ± 436.3 m; Practice 3: PL = 295.1 ± 57.8, PL/min = 5.3 ± 1.0, Distance = 1198.2 ± 219.2 m. Signiﬁcant (p ≤ 0.05) diﬀerences were observed in PL, PL2D, PL1D-FWD, PL1D-SIDE, PL1D-UP, and Distance across practices. Signiﬁcant correlations (p ≤ 0.001) existed between Distance and PL parameters (Practice 1: r = 0.799–0.891; Practice 2: r = 0.819–0.972; and Practice 3: 0.761–0.891). Predictive models using Distance traveled accounted for 73.5–89.7% of the variance in PL. Signiﬁcant relationships and predictive capacities exists between systems. Nonetheless, each system also appears to capture unique information that may still be useful to performance practitioners regarding the understanding of eTL.","container-title":"Sports","DOI":"10.3390/sports8030033","ISSN":"2075-4663","issue":"3","journalAbbreviation":"Sports","language":"en","page":"33","source":"DOI.org (Crossref)","title":"Associations between two athlete monitoring systems used to quantify external training loads in basketball players","volume":"8","author":[{"family":"Heishman","given":"Aaron"},{"family":"Peak","given":"Keldon"},{"family":"Miller","given":"Ryan"},{"family":"Brown","given":"Brady"},{"family":"Daub","given":"Bryce"},{"family":"Freitas","given":"Eduardo"},{"family":"Bemben","given":"Michael"}],"issued":{"date-parts":[["2020",3,11]]}}},{"id":267,"uris":["http://zotero.org/users/6327055/items/V555YN52"],"itemData":{"id":267,"type":"article-journal","container-title":"Journal of Strength and Conditioning Research","DOI":"10.1519/JSC.0000000000002413","ISSN":"1064-8011","issue":"5","language":"en","page":"1280-1287","source":"DOI.org (Crossref)","title":"Noninvasive assessment of internal and external player load: Implications for optimizing athletic performance","title-short":"Noninvasive Assessment of Internal and External Player Load","volume":"32","author":[{"family":"Heishman","given":"Aaron"},{"family":"Curtis","given":"Michael"},{"family":"Saliba","given":"Ethan"},{"family":"Hornett","given":"Robert"},{"family":"Malin","given":"Steven"},{"family":"Weltman","given":"Arthur"}],"issued":{"date-parts":[["2018",5]]}}}],"schema":"https://github.com/citation-style-language/schema/raw/master/csl-citation.json"} </w:instrText>
      </w:r>
      <w:r w:rsidR="006E711E">
        <w:rPr>
          <w:rFonts w:ascii="Times New Roman" w:hAnsi="Times New Roman" w:cs="Times New Roman"/>
          <w:noProof/>
        </w:rPr>
        <w:fldChar w:fldCharType="separate"/>
      </w:r>
      <w:r w:rsidR="00546507">
        <w:rPr>
          <w:rFonts w:ascii="Times New Roman" w:hAnsi="Times New Roman" w:cs="Times New Roman"/>
          <w:noProof/>
        </w:rPr>
        <w:t>(Halson, 2014; A. Heishman et al., 2018; A. Heishman, Peak, et al., 2020)</w:t>
      </w:r>
      <w:r w:rsidR="006E711E">
        <w:rPr>
          <w:rFonts w:ascii="Times New Roman" w:hAnsi="Times New Roman" w:cs="Times New Roman"/>
          <w:noProof/>
        </w:rPr>
        <w:fldChar w:fldCharType="end"/>
      </w:r>
      <w:r>
        <w:rPr>
          <w:rFonts w:ascii="Times New Roman" w:hAnsi="Times New Roman" w:cs="Times New Roman"/>
        </w:rPr>
        <w:t>. This quantification provides the ability to examine dose-response relationships and allow for the manipulation and planning of training loads to elicit a desired response</w:t>
      </w:r>
      <w:r w:rsidR="00357D17">
        <w:rPr>
          <w:rFonts w:ascii="Times New Roman" w:hAnsi="Times New Roman" w:cs="Times New Roman"/>
        </w:rPr>
        <w:t>, as well as potentially</w:t>
      </w:r>
      <w:r>
        <w:rPr>
          <w:rFonts w:ascii="Times New Roman" w:hAnsi="Times New Roman" w:cs="Times New Roman"/>
        </w:rPr>
        <w:t xml:space="preserve"> reduce the risks of injury, illness,</w:t>
      </w:r>
      <w:r w:rsidR="00357D17">
        <w:rPr>
          <w:rFonts w:ascii="Times New Roman" w:hAnsi="Times New Roman" w:cs="Times New Roman"/>
        </w:rPr>
        <w:t xml:space="preserve"> and</w:t>
      </w:r>
      <w:r>
        <w:rPr>
          <w:rFonts w:ascii="Times New Roman" w:hAnsi="Times New Roman" w:cs="Times New Roman"/>
        </w:rPr>
        <w:t xml:space="preserve"> non-functional overreaching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{"citationID":"ARS9iz7p","properties":{"formattedCitation":"(Halson, 2014; A. Heishman et al., 2018)","plainCitation":"(Halson, 2014; A. Heishman et al., 2018)","noteIndex":0},"citationItems":[{"id":265,"uris":["http://zotero.org/users/6327055/items/E6RD28YW"],"itemData":{"id":265,"type":"article-journal","container-title":"Sports Medicine","DOI":"10.1007/s40279-014-0253-z","ISSN":"0112-1642, 1179-2035","issue":"S2","journalAbbreviation":"Sports Med","language":"en","page":"139-147","source":"DOI.org (Crossref)","title":"Monitoring training load to understand fatigue in athletes","volume":"44","author":[{"family":"Halson","given":"Shona L."}],"issued":{"date-parts":[["2014",11]]}}},{"id":267,"uris":["http://zotero.org/users/6327055/items/V555YN52"],"itemData":{"id":267,"type":"article-journal","container-title":"Journal of Strength and Conditioning Research","DOI":"10.1519/JSC.0000000000002413","ISSN":"1064-8011","issue":"5","language":"en","page":"1280-1287","source":"DOI.org (Crossref)","title":"Noninvasive assessment of internal and external player load: Implications for optimizing athletic performance","title-short":"Noninvasive Assessment of Internal and External Player Load","volume":"32","author":[{"family":"Heishman","given":"Aaron"},{"family":"Curtis","given":"Michael"},{"family":"Saliba","given":"Ethan"},{"family":"Hornett","given":"Robert"},{"family":"Malin","given":"Steven"},{"family":"Weltman","given":"Arthur"}],"issued":{"date-parts":[["2018",5]]}}}],"schema":"https://github.com/citation-style-language/schema/raw/master/csl-citation.json"} </w:instrText>
      </w:r>
      <w:r w:rsidR="006E711E">
        <w:rPr>
          <w:rFonts w:ascii="Times New Roman" w:hAnsi="Times New Roman" w:cs="Times New Roman"/>
          <w:noProof/>
        </w:rPr>
        <w:fldChar w:fldCharType="separate"/>
      </w:r>
      <w:r w:rsidR="00546507">
        <w:rPr>
          <w:rFonts w:ascii="Times New Roman" w:hAnsi="Times New Roman" w:cs="Times New Roman"/>
          <w:noProof/>
        </w:rPr>
        <w:t>(Halson, 2014; A. Heishman et al., 2018)</w:t>
      </w:r>
      <w:r w:rsidR="006E711E">
        <w:rPr>
          <w:rFonts w:ascii="Times New Roman" w:hAnsi="Times New Roman" w:cs="Times New Roman"/>
          <w:noProof/>
        </w:rPr>
        <w:fldChar w:fldCharType="end"/>
      </w:r>
      <w:r>
        <w:rPr>
          <w:rFonts w:ascii="Times New Roman" w:hAnsi="Times New Roman" w:cs="Times New Roman"/>
        </w:rPr>
        <w:t xml:space="preserve">. </w:t>
      </w:r>
    </w:p>
    <w:p w14:paraId="39299247" w14:textId="7AB8189F" w:rsidR="003F3D08" w:rsidRDefault="003F3D08" w:rsidP="003F3D08">
      <w:pPr>
        <w:spacing w:line="480" w:lineRule="auto"/>
        <w:jc w:val="both"/>
        <w:rPr>
          <w:rFonts w:ascii="Times New Roman" w:hAnsi="Times New Roman" w:cs="Times New Roman"/>
        </w:rPr>
      </w:pPr>
      <w:r>
        <w:rPr>
          <w:rFonts w:ascii="Times New Roman" w:hAnsi="Times New Roman" w:cs="Times New Roman"/>
        </w:rPr>
        <w:tab/>
        <w:t xml:space="preserve">A number of different methods and technologies exist for monitoring </w:t>
      </w:r>
      <w:proofErr w:type="spellStart"/>
      <w:r>
        <w:rPr>
          <w:rFonts w:ascii="Times New Roman" w:hAnsi="Times New Roman" w:cs="Times New Roman"/>
        </w:rPr>
        <w:t>eTL</w:t>
      </w:r>
      <w:proofErr w:type="spellEnd"/>
      <w:r w:rsidR="00357D17">
        <w:rPr>
          <w:rFonts w:ascii="Times New Roman" w:hAnsi="Times New Roman" w:cs="Times New Roman"/>
        </w:rPr>
        <w:t xml:space="preserve">, but contemporary analyses </w:t>
      </w:r>
      <w:r>
        <w:rPr>
          <w:rFonts w:ascii="Times New Roman" w:hAnsi="Times New Roman" w:cs="Times New Roman"/>
        </w:rPr>
        <w:t xml:space="preserve">within team sports </w:t>
      </w:r>
      <w:r w:rsidR="00357D17">
        <w:rPr>
          <w:rFonts w:ascii="Times New Roman" w:hAnsi="Times New Roman" w:cs="Times New Roman"/>
        </w:rPr>
        <w:t>originated with the use of</w:t>
      </w:r>
      <w:r>
        <w:rPr>
          <w:rFonts w:ascii="Times New Roman" w:hAnsi="Times New Roman" w:cs="Times New Roman"/>
        </w:rPr>
        <w:t xml:space="preserve"> time-motion analysis (TMA). Despite the ability to capture movement pattern with this instrument, the analysis becomes time-consuming leading to limitations in efficacy to complete for large teams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{"citationID":"M9vSvgbc","properties":{"formattedCitation":"(Halson, 2014)","plainCitation":"(Halson, 2014)","noteIndex":0},"citationItems":[{"id":265,"uris":["http://zotero.org/users/6327055/items/E6RD28YW"],"itemData":{"id":265,"type":"article-journal","container-title":"Sports Medicine","DOI":"10.1007/s40279-014-0253-z","ISSN":"0112-1642, 1179-2035","issue":"S2","journalAbbreviation":"Sports Med","language":"en","page":"139-147","source":"DOI.org (Crossref)","title":"Monitoring training load to understand fatigue in athletes","volume":"44","author":[{"family":"Halson","given":"Shona L."}],"issued":{"date-parts":[["2014",11]]}}}],"schema":"https://github.com/citation-style-language/schema/raw/master/csl-citation.json"} </w:instrText>
      </w:r>
      <w:r w:rsidR="006E711E">
        <w:rPr>
          <w:rFonts w:ascii="Times New Roman" w:hAnsi="Times New Roman" w:cs="Times New Roman"/>
          <w:noProof/>
        </w:rPr>
        <w:fldChar w:fldCharType="separate"/>
      </w:r>
      <w:r w:rsidR="006E711E">
        <w:rPr>
          <w:rFonts w:ascii="Times New Roman" w:hAnsi="Times New Roman" w:cs="Times New Roman"/>
          <w:noProof/>
        </w:rPr>
        <w:t>(Halson, 2014)</w:t>
      </w:r>
      <w:r w:rsidR="006E711E">
        <w:rPr>
          <w:rFonts w:ascii="Times New Roman" w:hAnsi="Times New Roman" w:cs="Times New Roman"/>
          <w:noProof/>
        </w:rPr>
        <w:fldChar w:fldCharType="end"/>
      </w:r>
      <w:r>
        <w:rPr>
          <w:rFonts w:ascii="Times New Roman" w:hAnsi="Times New Roman" w:cs="Times New Roman"/>
        </w:rPr>
        <w:t>. Advancement within technology have allowed for new methods to be presented</w:t>
      </w:r>
      <w:r w:rsidR="003E2301">
        <w:rPr>
          <w:rFonts w:ascii="Times New Roman" w:hAnsi="Times New Roman" w:cs="Times New Roman"/>
        </w:rPr>
        <w:t>,</w:t>
      </w:r>
      <w:r>
        <w:rPr>
          <w:rFonts w:ascii="Times New Roman" w:hAnsi="Times New Roman" w:cs="Times New Roman"/>
        </w:rPr>
        <w:t xml:space="preserve"> such as Global Positioning Systems (GPS), or even more recently</w:t>
      </w:r>
      <w:r w:rsidR="003E2301">
        <w:rPr>
          <w:rFonts w:ascii="Times New Roman" w:hAnsi="Times New Roman" w:cs="Times New Roman"/>
        </w:rPr>
        <w:t>,</w:t>
      </w:r>
      <w:r>
        <w:rPr>
          <w:rFonts w:ascii="Times New Roman" w:hAnsi="Times New Roman" w:cs="Times New Roman"/>
        </w:rPr>
        <w:t xml:space="preserve"> Local Positioning Systems (LPS). The GPS is able to collect three-dimensional activity</w:t>
      </w:r>
      <w:r w:rsidR="00BA1DC4">
        <w:rPr>
          <w:rFonts w:ascii="Times New Roman" w:hAnsi="Times New Roman" w:cs="Times New Roman"/>
        </w:rPr>
        <w:t>, spatial context,</w:t>
      </w:r>
      <w:r>
        <w:rPr>
          <w:rFonts w:ascii="Times New Roman" w:hAnsi="Times New Roman" w:cs="Times New Roman"/>
        </w:rPr>
        <w:t xml:space="preserve"> and provide real-time analysis</w:t>
      </w:r>
      <w:r w:rsidR="005447C4">
        <w:rPr>
          <w:rFonts w:ascii="Times New Roman" w:hAnsi="Times New Roman" w:cs="Times New Roman"/>
        </w:rPr>
        <w:t xml:space="preserve"> </w:t>
      </w:r>
      <w:r w:rsidR="005447C4">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{"citationID":"6CwAtZ2i","properties":{"formattedCitation":"(Chambers et al., 2015; Cummins et al., 2013; Dellaserra et al., 2014; Malone et al., 2017)","plainCitation":"(Chambers et al., 2015; Cummins et al., 2013; Dellaserra et al., 2014; Malone et al., 2017)","noteIndex":0},"citationItems":[{"id":531,"uris":["http://zotero.org/users/6327055/items/GTBEQZ5X"],"itemData":{"id":531,"type":"article-journal","abstract":"Background Microtechnology has allowed sport scientists to understand the locomotor demands of various sports. While wearable global positioning technology has been used to quantify the locomotor demands of sporting activities, microsensors (i.e. accelerometers, gyroscopes and magnetometers) embedded within the units also have the capability to detect sport-speciﬁc movements.","container-title":"Sports Medicine","DOI":"10.1007/s40279-015-0332-9","ISSN":"0112-1642, 1179-2035","issue":"7","journalAbbreviation":"Sports Med","language":"en","page":"1065-1081","source":"DOI.org (Crossref)","title":"The use of wearable microsensors to quantify sport-specific movements","volume":"45","author":[{"family":"Chambers","given":"Ryan"},{"family":"Gabbett","given":"Tim J."},{"family":"Cole","given":"Michael H."},{"family":"Beard","given":"Adam"}],"issued":{"date-parts":[["2015",7]]}}},{"id":533,"uris":["http://zotero.org/users/6327055/items/5IM3WI5E"],"itemData":{"id":533,"type":"article-journal","abstract":"Background Use of Global positioning system (GPS) technology in team sport permits measurement of player position, velocity, and movement patterns. GPS provides scope for better understanding of the speciﬁc and positional physiological demands of team sport and can be used to design training programs that adequately prepare athletes for competition with the aim of optimizing on-ﬁeld performance.","container-title":"Sports Medicine","DOI":"10.1007/s40279-013-0069-2","ISSN":"0112-1642, 1179-2035","issue":"10","journalAbbreviation":"Sports Med","language":"en","page":"1025-1042","source":"DOI.org (Crossref)","title":"Global positioning systems (gps) and microtechnology sensors in team sports: a systematic review","title-short":"Global Positioning Systems (GPS) and Microtechnology Sensors in Team Sports","volume":"43","author":[{"family":"Cummins","given":"Cloe"},{"family":"Orr","given":"Rhonda"},{"family":"O’Connor","given":"Helen"},{"family":"West","given":"Cameron"}],"issued":{"date-parts":[["2013",10]]}}},{"id":535,"uris":["http://zotero.org/users/6327055/items/69A3XGT7"],"itemData":{"id":535,"type":"article-journal","container-title":"Journal of Strength and Conditioning Research","issue":"2","language":"en","page":"556-573","source":"Zotero","title":"Use of integrated technology in team sports: a review of opportunities, challenges, and future directions for athletes","volume":"28","author":[{"family":"Dellaserra","given":"Carla L"},{"family":"Gao","given":"Yong"},{"family":"Ransdell","given":"Lynda"}],"issued":{"date-parts":[["2014"]]}}},{"id":537,"uris":["http://zotero.org/users/6327055/items/LTUXC5PG"],"itemData":{"id":537,"type":"article-journal","abstract":"Athlete-tracking devices that include global positioning system (GPS) and microelectrical mechanical system (MEMS) components are now commonplace in sport research and practice. These devices provide large amounts of data that are used to inform decision making on athlete training and performance. However, the data obtained from these devices are often provided without clear explanation of how these metrics are obtained. At present, there is no clear consensus regarding how these data should be handled and reported in a sport context. Therefore, the aim of this review was to examine the factors that affect the data produced by these athlete-tracking devices and to provide guidelines for collecting, processing, and reporting of data. Many factors including device sampling rate, positioning and fitting of devices, satellite signal, and data-filtering methods can affect the measures obtained from GPS and MEMS devices. Therefore researchers are encouraged to report device brand/model, sampling frequency, number of satellites, horizontal dilution of precision, and software/firmware versions in any published research. In addition, details of inclusion/exclusion criteria for data obtained from these devices are also recommended. Considerations for the application of speed zones to evaluate the magnitude and distribution of different locomotor activities recorded by GPS are also presented, alongside recommendations for both industry practice and future research directions. Through a standard approach to data collection and procedure reporting, researchers and practitioners will be able to make more confident comparisons from their data, which will improve the understanding and impact these devices can have on athlete performance.","container-title":"International Journal of Sports Physiology and Performance","DOI":"10.1123/ijspp.2016-0236","ISSN":"1555-0265, 1555-0273","issue":"s2","language":"en","page":"S2-18-S2-26","source":"DOI.org (Crossref)","title":"Unpacking the black box: applications and considerations for using gps devices in sport","title-short":"Unpacking the Black Box","volume":"12","author":[{"family":"Malone","given":"James J."},{"family":"Lovell","given":"Ric"},{"family":"Varley","given":"Matthew C."},{"family":"Coutts","given":"Aaron J."}],"issued":{"date-parts":[["2017",4]]}}}],"schema":"https://github.com/citation-style-language/schema/raw/master/csl-citation.json"} </w:instrText>
      </w:r>
      <w:r w:rsidR="005447C4">
        <w:rPr>
          <w:rFonts w:ascii="Times New Roman" w:hAnsi="Times New Roman" w:cs="Times New Roman"/>
        </w:rPr>
        <w:fldChar w:fldCharType="separate"/>
      </w:r>
      <w:r w:rsidR="005447C4">
        <w:rPr>
          <w:rFonts w:ascii="Times New Roman" w:hAnsi="Times New Roman" w:cs="Times New Roman"/>
          <w:noProof/>
        </w:rPr>
        <w:t>(Chambers et al., 2015; Cummins et al., 2013; Dellaserra et al., 2014; Malone et al., 2017)</w:t>
      </w:r>
      <w:r w:rsidR="005447C4">
        <w:rPr>
          <w:rFonts w:ascii="Times New Roman" w:hAnsi="Times New Roman" w:cs="Times New Roman"/>
        </w:rPr>
        <w:fldChar w:fldCharType="end"/>
      </w:r>
      <w:r>
        <w:rPr>
          <w:rFonts w:ascii="Times New Roman" w:hAnsi="Times New Roman" w:cs="Times New Roman"/>
        </w:rPr>
        <w:t xml:space="preserve">. Unfortunately, GPS monitoring is unable to be used indoors due to signaling </w:t>
      </w:r>
      <w:r w:rsidR="00357D17">
        <w:rPr>
          <w:rFonts w:ascii="Times New Roman" w:hAnsi="Times New Roman" w:cs="Times New Roman"/>
        </w:rPr>
        <w:t>interference</w:t>
      </w:r>
      <w:r>
        <w:rPr>
          <w:rFonts w:ascii="Times New Roman" w:hAnsi="Times New Roman" w:cs="Times New Roman"/>
        </w:rPr>
        <w:t xml:space="preserve"> and has been shown to have a reduction in accuracy when the </w:t>
      </w:r>
      <w:r w:rsidR="00357D17">
        <w:rPr>
          <w:rFonts w:ascii="Times New Roman" w:hAnsi="Times New Roman" w:cs="Times New Roman"/>
        </w:rPr>
        <w:t xml:space="preserve">playing area </w:t>
      </w:r>
      <w:r>
        <w:rPr>
          <w:rFonts w:ascii="Times New Roman" w:hAnsi="Times New Roman" w:cs="Times New Roman"/>
        </w:rPr>
        <w:t xml:space="preserve">space is limited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{"citationID":"sGRL3TfT","properties":{"formattedCitation":"(Duffield et al., 2010)","plainCitation":"(Duffield et al., 2010)","noteIndex":0},"citationItems":[{"id":277,"uris":["http://zotero.org/users/6327055/items/TU5K7ZX2"],"itemData":{"id":277,"type":"article-journal","abstract":"The aim of this study was to assess the accuracy and reliability of global positioning system (GPS) measures of distance and speed, compared to a high-resolution motion analysis system, for conﬁned movement patterns used in many court-based sports. A single male participant performed 10 repetitions of four respective drills replicating court-based movement patterns and six repetitions of a random movement drill that replicated tennis match-play movement patterns. Two 1 Hz and two 5 Hz GPS devices concurrently measured distance covered and speed of all court-based drills. A 22 camera VICON motion analysis system, operating at 100 Hz, tracked the position of an 18 mm reﬂective marker afﬁxed to one of the GPS devices to provide the criterion movement data. Results indicated that both 1 and 5 Hz GPS devices under reported distance covered as well as both mean and peak speed compared to the VICON system (P &lt; 0.05). The coefﬁcient of variation for both GPS devices for distance and speed measures ranged between 4 and 25%. Further, the faster the speed and more repetitive the movement pattern (over a similar location), the greater the measurement error. The inter-unit reliability for distance and speed measures of both 1 and 5 Hz systems for movements in conﬁned spaces was generally low to moderate (r = 0.10–0.70). In conclusion, for court-based sports or movements in conﬁned spaces, GPS technology under reports distance covered and both mean and peak speed of movement.","container-title":"Journal of Science and Medicine in Sport","DOI":"10.1016/j.jsams.2009.07.003","ISSN":"14402440","issue":"5","journalAbbreviation":"Journal of Science and Medicine in Sport","language":"en","page":"523-525","source":"DOI.org (Crossref)","title":"Accuracy and reliability of gps devices for measurement of movement patterns in confined spaces for court-based sports","volume":"13","author":[{"family":"Duffield","given":"Rob"},{"family":"Reid","given":"Machar"},{"family":"Baker","given":"John"},{"family":"Spratford","given":"Wayne"}],"issued":{"date-parts":[["2010",9]]}}}],"schema":"https://github.com/citation-style-language/schema/raw/master/csl-citation.json"} </w:instrText>
      </w:r>
      <w:r w:rsidR="006E711E">
        <w:rPr>
          <w:rFonts w:ascii="Times New Roman" w:hAnsi="Times New Roman" w:cs="Times New Roman"/>
          <w:noProof/>
        </w:rPr>
        <w:fldChar w:fldCharType="separate"/>
      </w:r>
      <w:r w:rsidR="006E711E">
        <w:rPr>
          <w:rFonts w:ascii="Times New Roman" w:hAnsi="Times New Roman" w:cs="Times New Roman"/>
          <w:noProof/>
        </w:rPr>
        <w:t>(Duffield et al., 2010)</w:t>
      </w:r>
      <w:r w:rsidR="006E711E">
        <w:rPr>
          <w:rFonts w:ascii="Times New Roman" w:hAnsi="Times New Roman" w:cs="Times New Roman"/>
          <w:noProof/>
        </w:rPr>
        <w:fldChar w:fldCharType="end"/>
      </w:r>
      <w:r>
        <w:rPr>
          <w:rFonts w:ascii="Times New Roman" w:hAnsi="Times New Roman" w:cs="Times New Roman"/>
        </w:rPr>
        <w:t xml:space="preserve">. </w:t>
      </w:r>
      <w:r w:rsidR="00E27A05">
        <w:rPr>
          <w:rFonts w:ascii="Times New Roman" w:hAnsi="Times New Roman" w:cs="Times New Roman"/>
        </w:rPr>
        <w:t>Consequently</w:t>
      </w:r>
      <w:r w:rsidR="002100C9">
        <w:rPr>
          <w:rFonts w:ascii="Times New Roman" w:hAnsi="Times New Roman" w:cs="Times New Roman"/>
        </w:rPr>
        <w:t>, t</w:t>
      </w:r>
      <w:r>
        <w:rPr>
          <w:rFonts w:ascii="Times New Roman" w:hAnsi="Times New Roman" w:cs="Times New Roman"/>
        </w:rPr>
        <w:t xml:space="preserve">he LPS has grown to be an attractive option with the ability to monitor indoor sports, yet there </w:t>
      </w:r>
      <w:r w:rsidR="00357D17">
        <w:rPr>
          <w:rFonts w:ascii="Times New Roman" w:hAnsi="Times New Roman" w:cs="Times New Roman"/>
        </w:rPr>
        <w:t xml:space="preserve">are limitations, such as the limited mobility and </w:t>
      </w:r>
      <w:r>
        <w:rPr>
          <w:rFonts w:ascii="Times New Roman" w:hAnsi="Times New Roman" w:cs="Times New Roman"/>
        </w:rPr>
        <w:t>transport</w:t>
      </w:r>
      <w:r w:rsidR="00357D17">
        <w:rPr>
          <w:rFonts w:ascii="Times New Roman" w:hAnsi="Times New Roman" w:cs="Times New Roman"/>
        </w:rPr>
        <w:t>ation of</w:t>
      </w:r>
      <w:r>
        <w:rPr>
          <w:rFonts w:ascii="Times New Roman" w:hAnsi="Times New Roman" w:cs="Times New Roman"/>
        </w:rPr>
        <w:t xml:space="preserve"> the system </w:t>
      </w:r>
      <w:r w:rsidR="00357D17">
        <w:rPr>
          <w:rFonts w:ascii="Times New Roman" w:hAnsi="Times New Roman" w:cs="Times New Roman"/>
        </w:rPr>
        <w:t xml:space="preserve">across venues, </w:t>
      </w:r>
      <w:r>
        <w:rPr>
          <w:rFonts w:ascii="Times New Roman" w:hAnsi="Times New Roman" w:cs="Times New Roman"/>
        </w:rPr>
        <w:t xml:space="preserve">as well as large </w:t>
      </w:r>
      <w:r w:rsidR="00357D17">
        <w:rPr>
          <w:rFonts w:ascii="Times New Roman" w:hAnsi="Times New Roman" w:cs="Times New Roman"/>
        </w:rPr>
        <w:t>inherent cost of the system</w:t>
      </w:r>
      <w:r>
        <w:rPr>
          <w:rFonts w:ascii="Times New Roman" w:hAnsi="Times New Roman" w:cs="Times New Roman"/>
        </w:rPr>
        <w:t xml:space="preserve">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{"citationID":"qC6VOkFg","properties":{"formattedCitation":"(Chambers et al., 2015; Halson, 2014; A. Heishman et al., 2018; A. Heishman, Peak, et al., 2020; Holme, 2015)","plainCitation":"(Chambers et al., 2015; Halson, 2014; A. Heishman et al., 2018; A. Heishman, Peak, et al., 2020; Holme, 2015)","noteIndex":0},"citationItems":[{"id":531,"uris":["http://zotero.org/users/6327055/items/GTBEQZ5X"],"itemData":{"id":531,"type":"article-journal","abstract":"Background Microtechnology has allowed sport scientists to understand the locomotor demands of various sports. While wearable global positioning technology has been used to quantify the locomotor demands of sporting activities, microsensors (i.e. accelerometers, gyroscopes and magnetometers) embedded within the units also have the capability to detect sport-speciﬁc movements.","container-title":"Sports Medicine","DOI":"10.1007/s40279-015-0332-9","ISSN":"0112-1642, 1179-2035","issue":"7","journalAbbreviation":"Sports Med","language":"en","page":"1065-1081","source":"DOI.org (Crossref)","title":"The use of wearable microsensors to quantify sport-specific movements","volume":"45","author":[{"family":"Chambers","given":"Ryan"},{"family":"Gabbett","given":"Tim J."},{"family":"Cole","given":"Michael H."},{"family":"Beard","given":"Adam"}],"issued":{"date-parts":[["2015",7]]}}},{"id":265,"uris":["http://zotero.org/users/6327055/items/E6RD28YW"],"itemData":{"id":265,"type":"article-journal","container-title":"Sports Medicine","DOI":"10.1007/s40279-014-0253-z","ISSN":"0112-1642, 1179-2035","issue":"S2","journalAbbreviation":"Sports Med","language":"en","page":"139-147","source":"DOI.org (Crossref)","title":"Monitoring training load to understand fatigue in athletes","volume":"44","author":[{"family":"Halson","given":"Shona L."}],"issued":{"date-parts":[["2014",11]]}}},{"id":275,"uris":["http://zotero.org/users/6327055/items/Y8Q9W2NY"],"itemData":{"id":275,"type":"article-journal","abstract":"Monitoring external training load (eTL) has become popular for team sport for managing fatigue, optimizing performance, and guiding return-to-play protocols. During indoor sports, eTL can be measured via inertial measurement units (IMU) or indoor positioning systems (IPS). Though each device provides unique information, the relationships between devices has not been examined. Therefore, the purpose of this study was to assess the association of eTL between an IMU and IPS used to monitor eTL in team sport. Retrospective analyses were performed on 13 elite male National Collegiate Athletic Association (NCAA) Division I basketball players (age: 20.2 ± 1.2 years, height: 201.1 ± 7.6 cm, mass: 96.8 ± 8.8 kg) from three practices during the oﬀ-season training phase. A one-way analysis of variance was used to test diﬀerences in eTL across practices. Pearson’s correlation examined the association between the Distance traveled during practice captured by IPS compared to PlayerLoad (PL), PlayerLoad per Minute (PL/Min), 2-Dimensional PlayerLoad (PL2D), 1-Dimensional PlayerLoad Forward (PL1D-FWD), Side (PL1D-SIDE), and Up (PL1D-UP) captured from the IMU. Regression analyses were performed to predict PL from Distance traveled. The eTL characteristics during Practice 1: PL = 420.4 ± 102.9, PL/min = 5.8 ± 1.4, Distance = 1645.9 ± 377.0 m; Practice 2: PL = 472.8 ± 109.5, PL/min = 5.1 ± 1.2, Distance = 1940.0 ± 436.3 m; Practice 3: PL = 295.1 ± 57.8, PL/min = 5.3 ± 1.0, Distance = 1198.2 ± 219.2 m. Signiﬁcant (p ≤ 0.05) diﬀerences were observed in PL, PL2D, PL1D-FWD, PL1D-SIDE, PL1D-UP, and Distance across practices. Signiﬁcant correlations (p ≤ 0.001) existed between Distance and PL parameters (Practice 1: r = 0.799–0.891; Practice 2: r = 0.819–0.972; and Practice 3: 0.761–0.891). Predictive models using Distance traveled accounted for 73.5–89.7% of the variance in PL. Signiﬁcant relationships and predictive capacities exists between systems. Nonetheless, each system also appears to capture unique information that may still be useful to performance practitioners regarding the understanding of eTL.","container-title":"Sports","DOI":"10.3390/sports8030033","ISSN":"2075-4663","issue":"3","journalAbbreviation":"Sports","language":"en","page":"33","source":"DOI.org (Crossref)","title":"Associations between two athlete monitoring systems used to quantify external training loads in basketball players","volume":"8","author":[{"family":"Heishman","given":"Aaron"},{"family":"Peak","given":"Keldon"},{"family":"Miller","given":"Ryan"},{"family":"Brown","given":"Brady"},{"family":"Daub","given":"Bryce"},{"family":"Freitas","given":"Eduardo"},{"family":"Bemben","given":"Michael"}],"issued":{"date-parts":[["2020",3,11]]}}},{"id":267,"uris":["http://zotero.org/users/6327055/items/V555YN52"],"itemData":{"id":267,"type":"article-journal","container-title":"Journal of Strength and Conditioning Research","DOI":"10.1519/JSC.0000000000002413","ISSN":"1064-8011","issue":"5","language":"en","page":"1280-1287","source":"DOI.org (Crossref)","title":"Noninvasive assessment of internal and external player load: Implications for optimizing athletic performance","title-short":"Noninvasive Assessment of Internal and External Player Load","volume":"32","author":[{"family":"Heishman","given":"Aaron"},{"family":"Curtis","given":"Michael"},{"family":"Saliba","given":"Ethan"},{"family":"Hornett","given":"Robert"},{"family":"Malin","given":"Steven"},{"family":"Weltman","given":"Arthur"}],"issued":{"date-parts":[["2018",5]]}}},{"id":286,"uris":["http://zotero.org/users/6327055/items/65YA8HC9"],"itemData":{"id":286,"type":"article-journal","abstract":"....................................................................................................... 3","container-title":"Norwegian School of Sport Sciences, Olso","language":"en","source":"www.semanticscholar.org","title":"Wearable microsensor technology to measure physical activity demands in handball: a reliability study of inertial movement analysis and player load","title-short":"Wearable microsensor technology to measure physical activity demands in handball","URL":"/paper/Wearable-microsensor-technology-to-measure-physical-Holme/80af29628bc86bfaecea9c350efe0524c98cabca","author":[{"family":"Holme","given":"B."}],"accessed":{"date-parts":[["2021",3,28]]},"issued":{"date-parts":[["2015"]]}}}],"schema":"https://github.com/citation-style-language/schema/raw/master/csl-citation.json"} </w:instrText>
      </w:r>
      <w:r w:rsidR="006E711E">
        <w:rPr>
          <w:rFonts w:ascii="Times New Roman" w:hAnsi="Times New Roman" w:cs="Times New Roman"/>
          <w:noProof/>
        </w:rPr>
        <w:fldChar w:fldCharType="separate"/>
      </w:r>
      <w:r w:rsidR="00546507">
        <w:rPr>
          <w:rFonts w:ascii="Times New Roman" w:hAnsi="Times New Roman" w:cs="Times New Roman"/>
          <w:noProof/>
        </w:rPr>
        <w:t>(Chambers et al., 2015; Halson, 2014; A. Heishman et al., 2018; A. Heishman, Peak, et al., 2020; Holme, 2015)</w:t>
      </w:r>
      <w:r w:rsidR="006E711E">
        <w:rPr>
          <w:rFonts w:ascii="Times New Roman" w:hAnsi="Times New Roman" w:cs="Times New Roman"/>
          <w:noProof/>
        </w:rPr>
        <w:fldChar w:fldCharType="end"/>
      </w:r>
      <w:r>
        <w:rPr>
          <w:rFonts w:ascii="Times New Roman" w:hAnsi="Times New Roman" w:cs="Times New Roman"/>
        </w:rPr>
        <w:t xml:space="preserve">. </w:t>
      </w:r>
      <w:r w:rsidR="00E27A05">
        <w:rPr>
          <w:rFonts w:ascii="Times New Roman" w:hAnsi="Times New Roman" w:cs="Times New Roman"/>
        </w:rPr>
        <w:t xml:space="preserve">Thus, with all of the shortcomings described with the GPS and LPS, development of alternative strategies have then been implemented to capture objective measures of </w:t>
      </w:r>
      <w:proofErr w:type="spellStart"/>
      <w:r w:rsidR="00E27A05">
        <w:rPr>
          <w:rFonts w:ascii="Times New Roman" w:hAnsi="Times New Roman" w:cs="Times New Roman"/>
        </w:rPr>
        <w:t>eTL</w:t>
      </w:r>
      <w:proofErr w:type="spellEnd"/>
      <w:r w:rsidR="00E27A05">
        <w:rPr>
          <w:rFonts w:ascii="Times New Roman" w:hAnsi="Times New Roman" w:cs="Times New Roman"/>
        </w:rPr>
        <w:t xml:space="preserve"> in indoor sports </w:t>
      </w:r>
      <w:r w:rsidR="00E27A05">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{"citationID":"4QxexwJk","properties":{"formattedCitation":"(Chambers et al., 2015; A. Heishman et al., 2018; A. Heishman, Peak, et al., 2020; Polglaze et al., 2015)","plainCitation":"(Chambers et al., 2015; A. Heishman et al., 2018; A. Heishman, Peak, et al., 2020; Polglaze et al., 2015)","noteIndex":0},"citationItems":[{"id":531,"uris":["http://zotero.org/users/6327055/items/GTBEQZ5X"],"itemData":{"id":531,"type":"article-journal","abstract":"Background Microtechnology has allowed sport scientists to understand the locomotor demands of various sports. While wearable global positioning technology has been used to quantify the locomotor demands of sporting activities, microsensors (i.e. accelerometers, gyroscopes and magnetometers) embedded within the units also have the capability to detect sport-speciﬁc movements.","container-title":"Sports Medicine","DOI":"10.1007/s40279-015-0332-9","ISSN":"0112-1642, 1179-2035","issue":"7","journalAbbreviation":"Sports Med","language":"en","page":"1065-1081","source":"DOI.org (Crossref)","title":"The use of wearable microsensors to quantify sport-specific movements","volume":"45","author":[{"family":"Chambers","given":"Ryan"},{"family":"Gabbett","given":"Tim J."},{"family":"Cole","given":"Michael H."},{"family":"Beard","given":"Adam"}],"issued":{"date-parts":[["2015",7]]}}},{"id":275,"uris":["http://zotero.org/users/6327055/items/Y8Q9W2NY"],"itemData":{"id":275,"type":"article-journal","abstract":"Monitoring external training load (eTL) has become popular for team sport for managing fatigue, optimizing performance, and guiding return-to-play protocols. During indoor sports, eTL can be measured via inertial measurement units (IMU) or indoor positioning systems (IPS). Though each device provides unique information, the relationships between devices has not been examined. Therefore, the purpose of this study was to assess the association of eTL between an IMU and IPS used to monitor eTL in team sport. Retrospective analyses were performed on 13 elite male National Collegiate Athletic Association (NCAA) Division I basketball players (age: 20.2 ± 1.2 years, height: 201.1 ± 7.6 cm, mass: 96.8 ± 8.8 kg) from three practices during the oﬀ-season training phase. A one-way analysis of variance was used to test diﬀerences in eTL across practices. Pearson’s correlation examined the association between the Distance traveled during practice captured by IPS compared to PlayerLoad (PL), PlayerLoad per Minute (PL/Min), 2-Dimensional PlayerLoad (PL2D), 1-Dimensional PlayerLoad Forward (PL1D-FWD), Side (PL1D-SIDE), and Up (PL1D-UP) captured from the IMU. Regression analyses were performed to predict PL from Distance traveled. The eTL characteristics during Practice 1: PL = 420.4 ± 102.9, PL/min = 5.8 ± 1.4, Distance = 1645.9 ± 377.0 m; Practice 2: PL = 472.8 ± 109.5, PL/min = 5.1 ± 1.2, Distance = 1940.0 ± 436.3 m; Practice 3: PL = 295.1 ± 57.8, PL/min = 5.3 ± 1.0, Distance = 1198.2 ± 219.2 m. Signiﬁcant (p ≤ 0.05) diﬀerences were observed in PL, PL2D, PL1D-FWD, PL1D-SIDE, PL1D-UP, and Distance across practices. Signiﬁcant correlations (p ≤ 0.001) existed between Distance and PL parameters (Practice 1: r = 0.799–0.891; Practice 2: r = 0.819–0.972; and Practice 3: 0.761–0.891). Predictive models using Distance traveled accounted for 73.5–89.7% of the variance in PL. Signiﬁcant relationships and predictive capacities exists between systems. Nonetheless, each system also appears to capture unique information that may still be useful to performance practitioners regarding the understanding of eTL.","container-title":"Sports","DOI":"10.3390/sports8030033","ISSN":"2075-4663","issue":"3","journalAbbreviation":"Sports","language":"en","page":"33","source":"DOI.org (Crossref)","title":"Associations between two athlete monitoring systems used to quantify external training loads in basketball players","volume":"8","author":[{"family":"Heishman","given":"Aaron"},{"family":"Peak","given":"Keldon"},{"family":"Miller","given":"Ryan"},{"family":"Brown","given":"Brady"},{"family":"Daub","given":"Bryce"},{"family":"Freitas","given":"Eduardo"},{"family":"Bemben","given":"Michael"}],"issued":{"date-parts":[["2020",3,11]]}}},{"id":267,"uris":["http://zotero.org/users/6327055/items/V555YN52"],"itemData":{"id":267,"type":"article-journal","container-title":"Journal of Strength and Conditioning Research","DOI":"10.1519/JSC.0000000000002413","ISSN":"1064-8011","issue":"5","language":"en","page":"1280-1287","source":"DOI.org (Crossref)","title":"Noninvasive assessment of internal and external player load: Implications for optimizing athletic performance","title-short":"Noninvasive Assessment of Internal and External Player Load","volume":"32","author":[{"family":"Heishman","given":"Aaron"},{"family":"Curtis","given":"Michael"},{"family":"Saliba","given":"Ethan"},{"family":"Hornett","given":"Robert"},{"family":"Malin","given":"Steven"},{"family":"Weltman","given":"Arthur"}],"issued":{"date-parts":[["2018",5]]}}},{"id":291,"uris":["http://zotero.org/users/6327055/items/MCBUYQSV"],"itemData":{"id":291,"type":"article-journal","abstract":"Purpose: To determine the relationship between distance covered and player load (PL: sum of accelerations in all 3 planes of movement) in hockey training and competition. Methods: Elite male hockey players (N = 24) wore player-tracking devices in 7 international matches and 7 training sessions. Players were arranged in 4 positional groups (strikers, attacking midfielders, defensive midfielders, defenders) in competition but had generic roles in training. Relationships between distance and PL were assessed in both absolute (m, AU) and relative (m/min, AU/min) terms and were compared between matches and training and between positions within matches, using the Fisher Z test. Results: In competition, the absolute distance–PL relationship was very large overall (r = .868), with no differences between positions. The relative distance–PL relationship was moderate overall (r = .486) and weaker in strikers than in defensive midfielders (Z = 1.785, P = .037) and defenders (Z = 1.690, P = .045). In training, the absolute distance–PL relationship was very large (r = .742), and large (r = .633) in relative terms. The relationship was stronger in competition than training for absolute values (Z = 2.824, P = .005) but not different for relative values. Conclusions: The strong relationship between these variables suggests that PL in hockey is mostly accumulated through running and other locomotor actions, such that PL is not effective in quantifying other activities (evasion, low stance) that contribute to physiological demands, particularly in training.","container-title":"International Journal of Sports Physiology and Performance","DOI":"10.1123/ijspp.2014-0233","ISSN":"1555-0265, 1555-0273","issue":"4","language":"en","page":"446-451","source":"DOI.org (Crossref)","title":"A comparative analysis of accelerometer and time–motion data in elite men’s hockey training and competition","volume":"10","author":[{"family":"Polglaze","given":"Ted"},{"family":"Dawson","given":"Brian"},{"family":"Hiscock","given":"Daniel J."},{"family":"Peeling","given":"Peter"}],"issued":{"date-parts":[["2015",5]]}}}],"schema":"https://github.com/citation-style-language/schema/raw/master/csl-citation.json"} </w:instrText>
      </w:r>
      <w:r w:rsidR="00E27A05">
        <w:rPr>
          <w:rFonts w:ascii="Times New Roman" w:hAnsi="Times New Roman" w:cs="Times New Roman"/>
        </w:rPr>
        <w:fldChar w:fldCharType="separate"/>
      </w:r>
      <w:r w:rsidR="00546507">
        <w:rPr>
          <w:rFonts w:ascii="Times New Roman" w:hAnsi="Times New Roman" w:cs="Times New Roman"/>
          <w:noProof/>
        </w:rPr>
        <w:t>(Chambers et al., 2015; A. Heishman et al., 2018; A. Heishman, Peak, et al., 2020; Polglaze et al., 2015)</w:t>
      </w:r>
      <w:r w:rsidR="00E27A05">
        <w:rPr>
          <w:rFonts w:ascii="Times New Roman" w:hAnsi="Times New Roman" w:cs="Times New Roman"/>
        </w:rPr>
        <w:fldChar w:fldCharType="end"/>
      </w:r>
      <w:r w:rsidR="00E27A05">
        <w:rPr>
          <w:rFonts w:ascii="Times New Roman" w:hAnsi="Times New Roman" w:cs="Times New Roman"/>
        </w:rPr>
        <w:t>.</w:t>
      </w:r>
    </w:p>
    <w:p w14:paraId="0ADD871C" w14:textId="590E0591" w:rsidR="003F3D08" w:rsidRDefault="003F3D08" w:rsidP="003F3D08">
      <w:pPr>
        <w:spacing w:line="480" w:lineRule="auto"/>
        <w:ind w:firstLine="720"/>
        <w:jc w:val="both"/>
        <w:rPr>
          <w:rFonts w:ascii="Times New Roman" w:hAnsi="Times New Roman" w:cs="Times New Roman"/>
        </w:rPr>
      </w:pPr>
      <w:r>
        <w:rPr>
          <w:rFonts w:ascii="Times New Roman" w:hAnsi="Times New Roman" w:cs="Times New Roman"/>
        </w:rPr>
        <w:lastRenderedPageBreak/>
        <w:t xml:space="preserve">An additional indoor sport monitoring tool to quantify the </w:t>
      </w:r>
      <w:proofErr w:type="spellStart"/>
      <w:r>
        <w:rPr>
          <w:rFonts w:ascii="Times New Roman" w:hAnsi="Times New Roman" w:cs="Times New Roman"/>
        </w:rPr>
        <w:t>eTL</w:t>
      </w:r>
      <w:proofErr w:type="spellEnd"/>
      <w:r>
        <w:rPr>
          <w:rFonts w:ascii="Times New Roman" w:hAnsi="Times New Roman" w:cs="Times New Roman"/>
        </w:rPr>
        <w:t xml:space="preserve"> of athletes that has been seen </w:t>
      </w:r>
      <w:r w:rsidR="00A00FF3">
        <w:rPr>
          <w:rFonts w:ascii="Times New Roman" w:hAnsi="Times New Roman" w:cs="Times New Roman"/>
        </w:rPr>
        <w:t xml:space="preserve">as a more practical and convenient option </w:t>
      </w:r>
      <w:r>
        <w:rPr>
          <w:rFonts w:ascii="Times New Roman" w:hAnsi="Times New Roman" w:cs="Times New Roman"/>
        </w:rPr>
        <w:t xml:space="preserve">are inertial measurement units (IMU) in forms of wearable microsensors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{"citationID":"0rm3kTUp","properties":{"formattedCitation":"(A. Heishman et al., 2018)","plainCitation":"(A. Heishman et al., 2018)","noteIndex":0},"citationItems":[{"id":267,"uris":["http://zotero.org/users/6327055/items/V555YN52"],"itemData":{"id":267,"type":"article-journal","container-title":"Journal of Strength and Conditioning Research","DOI":"10.1519/JSC.0000000000002413","ISSN":"1064-8011","issue":"5","language":"en","page":"1280-1287","source":"DOI.org (Crossref)","title":"Noninvasive assessment of internal and external player load: Implications for optimizing athletic performance","title-short":"Noninvasive Assessment of Internal and External Player Load","volume":"32","author":[{"family":"Heishman","given":"Aaron"},{"family":"Curtis","given":"Michael"},{"family":"Saliba","given":"Ethan"},{"family":"Hornett","given":"Robert"},{"family":"Malin","given":"Steven"},{"family":"Weltman","given":"Arthur"}],"issued":{"date-parts":[["2018",5]]}}}],"schema":"https://github.com/citation-style-language/schema/raw/master/csl-citation.json"} </w:instrText>
      </w:r>
      <w:r w:rsidR="006E711E">
        <w:rPr>
          <w:rFonts w:ascii="Times New Roman" w:hAnsi="Times New Roman" w:cs="Times New Roman"/>
          <w:noProof/>
        </w:rPr>
        <w:fldChar w:fldCharType="separate"/>
      </w:r>
      <w:r w:rsidR="00546507">
        <w:rPr>
          <w:rFonts w:ascii="Times New Roman" w:hAnsi="Times New Roman" w:cs="Times New Roman"/>
          <w:noProof/>
        </w:rPr>
        <w:t>(A. Heishman et al., 2018)</w:t>
      </w:r>
      <w:r w:rsidR="006E711E">
        <w:rPr>
          <w:rFonts w:ascii="Times New Roman" w:hAnsi="Times New Roman" w:cs="Times New Roman"/>
          <w:noProof/>
        </w:rPr>
        <w:fldChar w:fldCharType="end"/>
      </w:r>
      <w:r>
        <w:rPr>
          <w:rFonts w:ascii="Times New Roman" w:hAnsi="Times New Roman" w:cs="Times New Roman"/>
        </w:rPr>
        <w:t>. The athletes have the microsensor securely placed on the backside of the individual, proximal to their center of mass in a tightly fitted supportive garment during activity</w:t>
      </w:r>
      <w:r w:rsidR="00222F75">
        <w:rPr>
          <w:rFonts w:ascii="Times New Roman" w:hAnsi="Times New Roman" w:cs="Times New Roman"/>
        </w:rPr>
        <w:t xml:space="preserve"> as to not interfere with any of the athlete’s movements</w:t>
      </w:r>
      <w:r>
        <w:rPr>
          <w:rFonts w:ascii="Times New Roman" w:hAnsi="Times New Roman" w:cs="Times New Roman"/>
        </w:rPr>
        <w:t xml:space="preserve">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{"citationID":"6Os4SqWs","properties":{"formattedCitation":"(Fox et al., 2018; A. Heishman et al., 2018)","plainCitation":"(Fox et al., 2018; A. Heishman et al., 2018)","noteIndex":0},"citationItems":[{"id":279,"uris":["http://zotero.org/users/6327055/items/RUE4DLEI"],"itemData":{"id":279,"type":"article-journal","abstract":"Purpose: The purpose of this study was to quantify and compare training and competition demands in basketball. Methods: Fifteen semiprofessional male basketball players wore microsensors during physical conditioning training (PCT), games-based training (GBT), and competition to measure absolute and relative (·min−1) PlayerLoadTM (PL) and estimated equivalent distance (EED). Internal responses were calculated using absolute and relative session rating of perceived exertion (sRPE) and summated heart rate zones (SHRZ). Integrated measures were calculated as sRPE:PL and SHRZ:PL ratios. Results: PlayerLoad (arbitrary units [AU]) and EED (m) were statistically significantly (p &lt; .05) higher during PCT (632 ± 139 AU, d = 1.36; 5,964 ± 1,312 m, d = 1.36; 6.50 ± 0.81 AU·min−1, d = 2.44; 61.88 ± 7.22 m·min−1, d = 2.60) and GBT (624 ± 113 AU, d = 1.54; 5,892 ± 1,080 m, d = 1.53; 6.10 ± 0.77 AU·min−1, d = 2.14; 56.76 ± 6.49 m·min−1, d = 2.22) than they were during competition (449 ± 118 AU; 3,722 ± 1474 m; 4.35 ± 1.09 AU·min−1; 41.01 ± 10.29 m·min−1). Summated heart rate zones were statistically significantly (p &lt; .05) higher during PCT (314 ± 86 AU, d = 1.05; 3.22 ± 0.50 AU·min−1, d = 1.94) and GBT (334 ± 79 AU, d = 1.38; 3.19 ± 0.54 AU·min−1, d = 1.83) than they were during competition (225 ± 77 AU; 2.17 ± 0.69 AU·min−1). The ratio of sRPE:PL was statistically significantly (p &lt; .05) higher during competition (1.58 ± 0.85) than during PCT (0.98 ± 0.22, d = 1.44) and GBT (0.91 ± 0.24, d = 1.90). Conclusion: Training demands exceeded competition demands.","container-title":"Research Quarterly for Exercise and Sport","DOI":"10.1080/02701367.2017.1410693","ISSN":"0270-1367, 2168-3824","issue":"1","journalAbbreviation":"Research Quarterly for Exercise and Sport","language":"en","page":"103-111","source":"DOI.org (Crossref)","title":"A comparison of training and competition demands in semiprofessional male basketball players","volume":"89","author":[{"family":"Fox","given":"Jordan L."},{"family":"Stanton","given":"Robert"},{"family":"Scanlan","given":"Aaron T."}],"issued":{"date-parts":[["2018",1,2]]}}},{"id":267,"uris":["http://zotero.org/users/6327055/items/V555YN52"],"itemData":{"id":267,"type":"article-journal","container-title":"Journal of Strength and Conditioning Research","DOI":"10.1519/JSC.0000000000002413","ISSN":"1064-8011","issue":"5","language":"en","page":"1280-1287","source":"DOI.org (Crossref)","title":"Noninvasive assessment of internal and external player load: Implications for optimizing athletic performance","title-short":"Noninvasive Assessment of Internal and External Player Load","volume":"32","author":[{"family":"Heishman","given":"Aaron"},{"family":"Curtis","given":"Michael"},{"family":"Saliba","given":"Ethan"},{"family":"Hornett","given":"Robert"},{"family":"Malin","given":"Steven"},{"family":"Weltman","given":"Arthur"}],"issued":{"date-parts":[["2018",5]]}}}],"schema":"https://github.com/citation-style-language/schema/raw/master/csl-citation.json"} </w:instrText>
      </w:r>
      <w:r w:rsidR="006E711E">
        <w:rPr>
          <w:rFonts w:ascii="Times New Roman" w:hAnsi="Times New Roman" w:cs="Times New Roman"/>
          <w:noProof/>
        </w:rPr>
        <w:fldChar w:fldCharType="separate"/>
      </w:r>
      <w:r w:rsidR="00546507">
        <w:rPr>
          <w:rFonts w:ascii="Times New Roman" w:hAnsi="Times New Roman" w:cs="Times New Roman"/>
          <w:noProof/>
        </w:rPr>
        <w:t>(Fox et al., 2018; A. Heishman et al., 2018)</w:t>
      </w:r>
      <w:r w:rsidR="006E711E">
        <w:rPr>
          <w:rFonts w:ascii="Times New Roman" w:hAnsi="Times New Roman" w:cs="Times New Roman"/>
          <w:noProof/>
        </w:rPr>
        <w:fldChar w:fldCharType="end"/>
      </w:r>
      <w:r>
        <w:rPr>
          <w:rFonts w:ascii="Times New Roman" w:hAnsi="Times New Roman" w:cs="Times New Roman"/>
        </w:rPr>
        <w:t>. The</w:t>
      </w:r>
      <w:r w:rsidR="00D82E2C">
        <w:rPr>
          <w:rFonts w:ascii="Times New Roman" w:hAnsi="Times New Roman" w:cs="Times New Roman"/>
        </w:rPr>
        <w:t xml:space="preserve"> IMUs</w:t>
      </w:r>
      <w:r>
        <w:rPr>
          <w:rFonts w:ascii="Times New Roman" w:hAnsi="Times New Roman" w:cs="Times New Roman"/>
        </w:rPr>
        <w:t xml:space="preserve"> are typically composed of a</w:t>
      </w:r>
      <w:r w:rsidR="003E2301">
        <w:rPr>
          <w:rFonts w:ascii="Times New Roman" w:hAnsi="Times New Roman" w:cs="Times New Roman"/>
        </w:rPr>
        <w:t xml:space="preserve"> triaxial</w:t>
      </w:r>
      <w:r>
        <w:rPr>
          <w:rFonts w:ascii="Times New Roman" w:hAnsi="Times New Roman" w:cs="Times New Roman"/>
        </w:rPr>
        <w:t xml:space="preserve"> accelerometer</w:t>
      </w:r>
      <w:r w:rsidR="00D82E2C">
        <w:rPr>
          <w:rFonts w:ascii="Times New Roman" w:hAnsi="Times New Roman" w:cs="Times New Roman"/>
        </w:rPr>
        <w:t>, magnetometer, and</w:t>
      </w:r>
      <w:r>
        <w:rPr>
          <w:rFonts w:ascii="Times New Roman" w:hAnsi="Times New Roman" w:cs="Times New Roman"/>
        </w:rPr>
        <w:t xml:space="preserve"> gyroscope working to capture the magnitude and direction of the</w:t>
      </w:r>
      <w:r w:rsidR="003E2301">
        <w:rPr>
          <w:rFonts w:ascii="Times New Roman" w:hAnsi="Times New Roman" w:cs="Times New Roman"/>
        </w:rPr>
        <w:t xml:space="preserve"> athlete’s</w:t>
      </w:r>
      <w:r>
        <w:rPr>
          <w:rFonts w:ascii="Times New Roman" w:hAnsi="Times New Roman" w:cs="Times New Roman"/>
        </w:rPr>
        <w:t xml:space="preserve"> movements in all three orthogonal planes</w:t>
      </w:r>
      <w:r w:rsidR="00D82E2C">
        <w:rPr>
          <w:rFonts w:ascii="Times New Roman" w:hAnsi="Times New Roman" w:cs="Times New Roman"/>
        </w:rPr>
        <w:t xml:space="preserve"> </w:t>
      </w:r>
      <w:r w:rsidR="00D82E2C">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{"citationID":"UPfJmpqV","properties":{"formattedCitation":"(Chambers et al., 2015; Holme, 2015)","plainCitation":"(Chambers et al., 2015; Holme, 2015)","noteIndex":0},"citationItems":[{"id":531,"uris":["http://zotero.org/users/6327055/items/GTBEQZ5X"],"itemData":{"id":531,"type":"article-journal","abstract":"Background Microtechnology has allowed sport scientists to understand the locomotor demands of various sports. While wearable global positioning technology has been used to quantify the locomotor demands of sporting activities, microsensors (i.e. accelerometers, gyroscopes and magnetometers) embedded within the units also have the capability to detect sport-speciﬁc movements.","container-title":"Sports Medicine","DOI":"10.1007/s40279-015-0332-9","ISSN":"0112-1642, 1179-2035","issue":"7","journalAbbreviation":"Sports Med","language":"en","page":"1065-1081","source":"DOI.org (Crossref)","title":"The use of wearable microsensors to quantify sport-specific movements","volume":"45","author":[{"family":"Chambers","given":"Ryan"},{"family":"Gabbett","given":"Tim J."},{"family":"Cole","given":"Michael H."},{"family":"Beard","given":"Adam"}],"issued":{"date-parts":[["2015",7]]}}},{"id":286,"uris":["http://zotero.org/users/6327055/items/65YA8HC9"],"itemData":{"id":286,"type":"article-journal","abstract":"....................................................................................................... 3","container-title":"Norwegian School of Sport Sciences, Olso","language":"en","source":"www.semanticscholar.org","title":"Wearable microsensor technology to measure physical activity demands in handball: a reliability study of inertial movement analysis and player load","title-short":"Wearable microsensor technology to measure physical activity demands in handball","URL":"/paper/Wearable-microsensor-technology-to-measure-physical-Holme/80af29628bc86bfaecea9c350efe0524c98cabca","author":[{"family":"Holme","given":"B."}],"accessed":{"date-parts":[["2021",3,28]]},"issued":{"date-parts":[["2015"]]}}}],"schema":"https://github.com/citation-style-language/schema/raw/master/csl-citation.json"} </w:instrText>
      </w:r>
      <w:r w:rsidR="00D82E2C">
        <w:rPr>
          <w:rFonts w:ascii="Times New Roman" w:hAnsi="Times New Roman" w:cs="Times New Roman"/>
        </w:rPr>
        <w:fldChar w:fldCharType="separate"/>
      </w:r>
      <w:r w:rsidR="00D82E2C">
        <w:rPr>
          <w:rFonts w:ascii="Times New Roman" w:hAnsi="Times New Roman" w:cs="Times New Roman"/>
          <w:noProof/>
        </w:rPr>
        <w:t>(Chambers et al., 2015; Holme, 2015)</w:t>
      </w:r>
      <w:r w:rsidR="00D82E2C">
        <w:rPr>
          <w:rFonts w:ascii="Times New Roman" w:hAnsi="Times New Roman" w:cs="Times New Roman"/>
        </w:rPr>
        <w:fldChar w:fldCharType="end"/>
      </w:r>
      <w:r>
        <w:rPr>
          <w:rFonts w:ascii="Times New Roman" w:hAnsi="Times New Roman" w:cs="Times New Roman"/>
        </w:rPr>
        <w:t>. The accelerometer is able to detect</w:t>
      </w:r>
      <w:r w:rsidR="003E2301">
        <w:rPr>
          <w:rFonts w:ascii="Times New Roman" w:hAnsi="Times New Roman" w:cs="Times New Roman"/>
        </w:rPr>
        <w:t xml:space="preserve"> the intensity</w:t>
      </w:r>
      <w:r>
        <w:rPr>
          <w:rFonts w:ascii="Times New Roman" w:hAnsi="Times New Roman" w:cs="Times New Roman"/>
        </w:rPr>
        <w:t xml:space="preserve"> of linear accelerations in measurements of G-forces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{"citationID":"sqjt2bP0","properties":{"formattedCitation":"(Yang &amp; Hsu, 2010)","plainCitation":"(Yang &amp; Hsu, 2010)","noteIndex":0},"citationItems":[{"id":283,"uris":["http://zotero.org/users/6327055/items/Z7XTQCW3"],"itemData":{"id":283,"type":"article-journal","abstract":"Characteristics of physical activity are indicative of one’s mobility level, latent chronic diseases and aging process. Accelerometers have been widely accepted as useful and practical sensors for wearable devices to measure and assess physical activity. This paper reviews the development of wearable accelerometry-based motion detectors. The principle of accelerometry measurement, sensor properties and sensor placements are first introduced. Various research using accelerometry-based wearable motion detectors for physical activity monitoring and assessment, including posture and movement classification, estimation of energy expenditure, fall detection and balance control evaluation, are also reviewed. Finally this paper reviews and compares existing commercial products to provide a comprehensive outlook of current development status and possible emerging technologies.","container-title":"Sensors","DOI":"10.3390/s100807772","ISSN":"1424-8220","issue":"8","journalAbbreviation":"Sensors","language":"en","page":"7772-7788","source":"DOI.org (Crossref)","title":"A review of accelerometry-based wearable motion detectors for physical activity monitoring","volume":"10","author":[{"family":"Yang","given":"Che-Chang"},{"family":"Hsu","given":"Yeh-Liang"}],"issued":{"date-parts":[["2010",8,20]]}}}],"schema":"https://github.com/citation-style-language/schema/raw/master/csl-citation.json"} </w:instrText>
      </w:r>
      <w:r w:rsidR="006E711E">
        <w:rPr>
          <w:rFonts w:ascii="Times New Roman" w:hAnsi="Times New Roman" w:cs="Times New Roman"/>
          <w:noProof/>
        </w:rPr>
        <w:fldChar w:fldCharType="separate"/>
      </w:r>
      <w:r w:rsidR="006E711E">
        <w:rPr>
          <w:rFonts w:ascii="Times New Roman" w:hAnsi="Times New Roman" w:cs="Times New Roman"/>
          <w:noProof/>
        </w:rPr>
        <w:t>(Yang &amp; Hsu, 2010)</w:t>
      </w:r>
      <w:r w:rsidR="006E711E">
        <w:rPr>
          <w:rFonts w:ascii="Times New Roman" w:hAnsi="Times New Roman" w:cs="Times New Roman"/>
          <w:noProof/>
        </w:rPr>
        <w:fldChar w:fldCharType="end"/>
      </w:r>
      <w:r>
        <w:rPr>
          <w:rFonts w:ascii="Times New Roman" w:hAnsi="Times New Roman" w:cs="Times New Roman"/>
        </w:rPr>
        <w:t xml:space="preserve">. </w:t>
      </w:r>
      <w:r w:rsidR="003E2301">
        <w:rPr>
          <w:rFonts w:ascii="Times New Roman" w:hAnsi="Times New Roman" w:cs="Times New Roman"/>
        </w:rPr>
        <w:t>The gyroscope is c</w:t>
      </w:r>
      <w:r>
        <w:rPr>
          <w:rFonts w:ascii="Times New Roman" w:hAnsi="Times New Roman" w:cs="Times New Roman"/>
        </w:rPr>
        <w:t>oupled with the accelerometer</w:t>
      </w:r>
      <w:r w:rsidR="003E2301">
        <w:rPr>
          <w:rFonts w:ascii="Times New Roman" w:hAnsi="Times New Roman" w:cs="Times New Roman"/>
        </w:rPr>
        <w:t>,</w:t>
      </w:r>
      <w:r>
        <w:rPr>
          <w:rFonts w:ascii="Times New Roman" w:hAnsi="Times New Roman" w:cs="Times New Roman"/>
        </w:rPr>
        <w:t xml:space="preserve"> which allows for angular velocities to be measured through the detection of orientation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{"citationID":"yuY704vp","properties":{"formattedCitation":"(Yang &amp; Hsu, 2010)","plainCitation":"(Yang &amp; Hsu, 2010)","noteIndex":0},"citationItems":[{"id":283,"uris":["http://zotero.org/users/6327055/items/Z7XTQCW3"],"itemData":{"id":283,"type":"article-journal","abstract":"Characteristics of physical activity are indicative of one’s mobility level, latent chronic diseases and aging process. Accelerometers have been widely accepted as useful and practical sensors for wearable devices to measure and assess physical activity. This paper reviews the development of wearable accelerometry-based motion detectors. The principle of accelerometry measurement, sensor properties and sensor placements are first introduced. Various research using accelerometry-based wearable motion detectors for physical activity monitoring and assessment, including posture and movement classification, estimation of energy expenditure, fall detection and balance control evaluation, are also reviewed. Finally this paper reviews and compares existing commercial products to provide a comprehensive outlook of current development status and possible emerging technologies.","container-title":"Sensors","DOI":"10.3390/s100807772","ISSN":"1424-8220","issue":"8","journalAbbreviation":"Sensors","language":"en","page":"7772-7788","source":"DOI.org (Crossref)","title":"A review of accelerometry-based wearable motion detectors for physical activity monitoring","volume":"10","author":[{"family":"Yang","given":"Che-Chang"},{"family":"Hsu","given":"Yeh-Liang"}],"issued":{"date-parts":[["2010",8,20]]}}}],"schema":"https://github.com/citation-style-language/schema/raw/master/csl-citation.json"} </w:instrText>
      </w:r>
      <w:r w:rsidR="006E711E">
        <w:rPr>
          <w:rFonts w:ascii="Times New Roman" w:hAnsi="Times New Roman" w:cs="Times New Roman"/>
          <w:noProof/>
        </w:rPr>
        <w:fldChar w:fldCharType="separate"/>
      </w:r>
      <w:r w:rsidR="006E711E">
        <w:rPr>
          <w:rFonts w:ascii="Times New Roman" w:hAnsi="Times New Roman" w:cs="Times New Roman"/>
          <w:noProof/>
        </w:rPr>
        <w:t>(Yang &amp; Hsu, 2010)</w:t>
      </w:r>
      <w:r w:rsidR="006E711E">
        <w:rPr>
          <w:rFonts w:ascii="Times New Roman" w:hAnsi="Times New Roman" w:cs="Times New Roman"/>
          <w:noProof/>
        </w:rPr>
        <w:fldChar w:fldCharType="end"/>
      </w:r>
      <w:r>
        <w:rPr>
          <w:rFonts w:ascii="Times New Roman" w:hAnsi="Times New Roman" w:cs="Times New Roman"/>
        </w:rPr>
        <w:t xml:space="preserve">. Despite the classification of a magnetometer not technically being a microsensor, it is often included in microsensors in order to enhance the orientation by detection of the true magnetic north </w:t>
      </w:r>
      <w:r w:rsidR="006E711E">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{"citationID":"qqaohBo4","properties":{"formattedCitation":"(Holme, 2015)","plainCitation":"(Holme, 2015)","noteIndex":0},"citationItems":[{"id":286,"uris":["http://zotero.org/users/6327055/items/65YA8HC9"],"itemData":{"id":286,"type":"article-journal","abstract":"....................................................................................................... 3","container-title":"Norwegian School of Sport Sciences, Olso","language":"en","source":"www.semanticscholar.org","title":"Wearable microsensor technology to measure physical activity demands in handball: a reliability study of inertial movement analysis and player load","title-short":"Wearable microsensor technology to measure physical activity demands in handball","URL":"/paper/Wearable-microsensor-technology-to-measure-physical-Holme/80af29628bc86bfaecea9c350efe0524c98cabca","author":[{"family":"Holme","given":"B."}],"accessed":{"date-parts":[["2021",3,28]]},"issued":{"date-parts":[["2015"]]}}}],"schema":"https://github.com/citation-style-language/schema/raw/master/csl-citation.json"} </w:instrText>
      </w:r>
      <w:r w:rsidR="006E711E">
        <w:rPr>
          <w:rFonts w:ascii="Times New Roman" w:hAnsi="Times New Roman" w:cs="Times New Roman"/>
          <w:noProof/>
        </w:rPr>
        <w:fldChar w:fldCharType="separate"/>
      </w:r>
      <w:r w:rsidR="006E711E">
        <w:rPr>
          <w:rFonts w:ascii="Times New Roman" w:hAnsi="Times New Roman" w:cs="Times New Roman"/>
          <w:noProof/>
        </w:rPr>
        <w:t>(Holme, 2015)</w:t>
      </w:r>
      <w:r w:rsidR="006E711E">
        <w:rPr>
          <w:rFonts w:ascii="Times New Roman" w:hAnsi="Times New Roman" w:cs="Times New Roman"/>
          <w:noProof/>
        </w:rPr>
        <w:fldChar w:fldCharType="end"/>
      </w:r>
      <w:r>
        <w:rPr>
          <w:rFonts w:ascii="Times New Roman" w:hAnsi="Times New Roman" w:cs="Times New Roman"/>
        </w:rPr>
        <w:t xml:space="preserve">. </w:t>
      </w:r>
    </w:p>
    <w:p w14:paraId="6F95046D" w14:textId="358820A6" w:rsidR="003F3D08" w:rsidRDefault="003F3D08" w:rsidP="003F3D08">
      <w:pPr>
        <w:spacing w:line="480" w:lineRule="auto"/>
        <w:ind w:firstLine="720"/>
        <w:jc w:val="both"/>
        <w:rPr>
          <w:rFonts w:ascii="Times New Roman" w:hAnsi="Times New Roman" w:cs="Times New Roman"/>
        </w:rPr>
      </w:pPr>
      <w:r>
        <w:rPr>
          <w:rFonts w:ascii="Times New Roman" w:hAnsi="Times New Roman" w:cs="Times New Roman"/>
        </w:rPr>
        <w:t xml:space="preserve">Often times, these systems are commercially available for team sports with a </w:t>
      </w:r>
      <w:r w:rsidR="00046FCD">
        <w:rPr>
          <w:rFonts w:ascii="Times New Roman" w:hAnsi="Times New Roman" w:cs="Times New Roman"/>
        </w:rPr>
        <w:t xml:space="preserve">supportive </w:t>
      </w:r>
      <w:r>
        <w:rPr>
          <w:rFonts w:ascii="Times New Roman" w:hAnsi="Times New Roman" w:cs="Times New Roman"/>
        </w:rPr>
        <w:t>software that contains proprietary algorithms that are able to develop workload measurements</w:t>
      </w:r>
      <w:r w:rsidR="00821275">
        <w:rPr>
          <w:rFonts w:ascii="Times New Roman" w:hAnsi="Times New Roman" w:cs="Times New Roman"/>
        </w:rPr>
        <w:t xml:space="preserve"> from the transformation of the raw inertial data recorded during movement from the athlete</w:t>
      </w:r>
      <w:r>
        <w:rPr>
          <w:rFonts w:ascii="Times New Roman" w:hAnsi="Times New Roman" w:cs="Times New Roman"/>
        </w:rPr>
        <w:t xml:space="preserve">. A common measurement found within the applied setting is </w:t>
      </w:r>
      <w:proofErr w:type="spellStart"/>
      <w:r w:rsidRPr="00152F9B">
        <w:rPr>
          <w:rFonts w:ascii="Times New Roman" w:hAnsi="Times New Roman" w:cs="Times New Roman"/>
        </w:rPr>
        <w:t>PlayerLoad</w:t>
      </w:r>
      <w:r w:rsidRPr="00152F9B">
        <w:rPr>
          <w:rFonts w:ascii="Times New Roman" w:hAnsi="Times New Roman" w:cs="Times New Roman"/>
          <w:vertAlign w:val="superscript"/>
        </w:rPr>
        <w:t>TM</w:t>
      </w:r>
      <w:proofErr w:type="spellEnd"/>
      <w:r>
        <w:rPr>
          <w:rFonts w:ascii="Times New Roman" w:hAnsi="Times New Roman" w:cs="Times New Roman"/>
          <w:vertAlign w:val="superscript"/>
        </w:rPr>
        <w:t xml:space="preserve"> </w:t>
      </w:r>
      <w:r>
        <w:rPr>
          <w:rFonts w:ascii="Times New Roman" w:hAnsi="Times New Roman" w:cs="Times New Roman"/>
        </w:rPr>
        <w:t xml:space="preserve">(PL), expressed in arbitrary units (au), </w:t>
      </w:r>
      <w:r w:rsidRPr="00152F9B">
        <w:rPr>
          <w:rFonts w:ascii="Times New Roman" w:hAnsi="Times New Roman" w:cs="Times New Roman"/>
        </w:rPr>
        <w:t>due</w:t>
      </w:r>
      <w:r>
        <w:rPr>
          <w:rFonts w:ascii="Times New Roman" w:hAnsi="Times New Roman" w:cs="Times New Roman"/>
        </w:rPr>
        <w:t xml:space="preserve"> to this parameter being able to capture an overall amount of movement completed by the athletes and thought to be an indicator of training volume of the training session. PL is </w:t>
      </w:r>
      <w:r w:rsidR="00C67EFF">
        <w:rPr>
          <w:rFonts w:ascii="Times New Roman" w:hAnsi="Times New Roman" w:cs="Times New Roman"/>
        </w:rPr>
        <w:t>calculated</w:t>
      </w:r>
      <w:r>
        <w:rPr>
          <w:rFonts w:ascii="Times New Roman" w:hAnsi="Times New Roman" w:cs="Times New Roman"/>
        </w:rPr>
        <w:t xml:space="preserve"> as the </w:t>
      </w:r>
      <w:r w:rsidRPr="00CB62BF">
        <w:rPr>
          <w:rFonts w:ascii="Times New Roman" w:hAnsi="Times New Roman"/>
          <w:noProof/>
          <w:color w:val="000000" w:themeColor="text1"/>
        </w:rPr>
        <w:t xml:space="preserve">square root of the sum of </w:t>
      </w:r>
      <w:r>
        <w:rPr>
          <w:rFonts w:ascii="Times New Roman" w:hAnsi="Times New Roman"/>
          <w:noProof/>
          <w:color w:val="000000" w:themeColor="text1"/>
        </w:rPr>
        <w:t xml:space="preserve">accelerations of the </w:t>
      </w:r>
      <w:r w:rsidRPr="00CB62BF">
        <w:rPr>
          <w:rFonts w:ascii="Times New Roman" w:hAnsi="Times New Roman"/>
          <w:noProof/>
          <w:color w:val="000000" w:themeColor="text1"/>
        </w:rPr>
        <w:t xml:space="preserve">squared instantaneous rate of change </w:t>
      </w:r>
      <w:r w:rsidR="00C67EFF">
        <w:rPr>
          <w:rFonts w:ascii="Times New Roman" w:hAnsi="Times New Roman"/>
          <w:noProof/>
          <w:color w:val="000000" w:themeColor="text1"/>
        </w:rPr>
        <w:t xml:space="preserve">in acceleration </w:t>
      </w:r>
      <w:r w:rsidRPr="00CB62BF">
        <w:rPr>
          <w:rFonts w:ascii="Times New Roman" w:hAnsi="Times New Roman"/>
          <w:noProof/>
          <w:color w:val="000000" w:themeColor="text1"/>
        </w:rPr>
        <w:t xml:space="preserve">in </w:t>
      </w:r>
      <w:r w:rsidR="00C67EFF">
        <w:rPr>
          <w:rFonts w:ascii="Times New Roman" w:hAnsi="Times New Roman"/>
          <w:noProof/>
          <w:color w:val="000000" w:themeColor="text1"/>
        </w:rPr>
        <w:t>each of the</w:t>
      </w:r>
      <w:r w:rsidRPr="00CB62BF">
        <w:rPr>
          <w:rFonts w:ascii="Times New Roman" w:hAnsi="Times New Roman"/>
          <w:noProof/>
          <w:color w:val="000000" w:themeColor="text1"/>
        </w:rPr>
        <w:t xml:space="preserve"> orthogonal pl</w:t>
      </w:r>
      <w:r>
        <w:rPr>
          <w:rFonts w:ascii="Times New Roman" w:hAnsi="Times New Roman"/>
          <w:noProof/>
          <w:color w:val="000000" w:themeColor="text1"/>
        </w:rPr>
        <w:t>anes and</w:t>
      </w:r>
      <w:r w:rsidRPr="00CB62BF">
        <w:rPr>
          <w:rFonts w:ascii="Times New Roman" w:hAnsi="Times New Roman"/>
          <w:noProof/>
          <w:color w:val="000000" w:themeColor="text1"/>
        </w:rPr>
        <w:t xml:space="preserve"> divided by 100 </w:t>
      </w:r>
      <w:r>
        <w:rPr>
          <w:rFonts w:ascii="Times New Roman" w:hAnsi="Times New Roman"/>
          <w:noProof/>
          <w:color w:val="000000" w:themeColor="text1"/>
        </w:rPr>
        <w:t xml:space="preserve">to account for the </w:t>
      </w:r>
      <w:r w:rsidRPr="00CB62BF">
        <w:rPr>
          <w:rFonts w:ascii="Times New Roman" w:hAnsi="Times New Roman"/>
          <w:noProof/>
          <w:color w:val="000000" w:themeColor="text1"/>
        </w:rPr>
        <w:lastRenderedPageBreak/>
        <w:t>scaling factor</w:t>
      </w:r>
      <w:r>
        <w:rPr>
          <w:rFonts w:ascii="Times New Roman" w:hAnsi="Times New Roman"/>
          <w:noProof/>
          <w:color w:val="000000" w:themeColor="text1"/>
        </w:rPr>
        <w:t xml:space="preserve"> </w:t>
      </w:r>
      <w:r w:rsidR="00C46796">
        <w:rPr>
          <w:rFonts w:ascii="Times New Roman" w:hAnsi="Times New Roman"/>
          <w:noProof/>
          <w:color w:val="000000" w:themeColor="text1"/>
        </w:rPr>
        <w:fldChar w:fldCharType="begin"/>
      </w:r>
      <w:r w:rsidR="00546507">
        <w:rPr>
          <w:rFonts w:ascii="Times New Roman" w:hAnsi="Times New Roman"/>
          <w:noProof/>
          <w:color w:val="000000" w:themeColor="text1"/>
        </w:rPr>
        <w:instrText xml:space="preserve"> ADDIN ZOTERO_ITEM CSL_CITATION {"citationID":"ry150tG7","properties":{"formattedCitation":"(Boyd et al., 2011)","plainCitation":"(Boyd et al., 2011)","noteIndex":0},"citationItems":[{"id":289,"uris":["http://zotero.org/users/6327055/items/YSGCCWBH"],"itemData":{"id":289,"type":"article-journal","abstract":"Purpose: To assess the reliability of triaxial accelerometers as a measure of physical activity in team sports. Methods: Eight accelerometers (MinimaxX 2.0, Catapult, Australia) were attached to a hydraulic universal testing machine (Instron 8501) and oscillated over two protocols (0.5 g and 3.0 g) to assess within- and betweendevice reliability. A static assessment was also conducted. Secondly, 10 players were instrumented with two accelerometers during Australian football matches. The vector magnitude was calculated, expressed as Player load and assessed for reliability using typical error (TE) ± 90% confidence intervals (CI), and expressed as a coefficient of variation (CV%). The smallest worthwhile difference (SWD) in Player load was calculated to determine if the device was capable of detecting differences in physical activity. Results: Laboratory: Within- (Dynamic: CV 0.91 to 1.05%; Static: CV 1.01%) and between-device (Dynamic: CV 1.02 to 1.04%; Static: CV 1.10%) reliability was acceptable across each test. Field: The between-device reliability of accelerometers during Australian football matches was also acceptable (CV 1.9%). The SWD was 5.88%. Conclusions: The reliability of the MinimaxX accelerometer is acceptable both within and between devices under controlled laboratory conditions, and between devices during field testing. MinimaxX accelerometers can be confidently utilized as a reliable tool to measure physical activity in team sports across multiple players and repeated bouts of activity. The noise (CV%) of Player load was lower than the signal (SWD), suggesting that accelerometers can detect changes or differences in physical activity during Australian football.","container-title":"International Journal of Sports Physiology and Performance","DOI":"10.1123/ijspp.6.3.311","ISSN":"1555-0265, 1555-0273","issue":"3","language":"en","page":"311-321","source":"DOI.org (Crossref)","title":"The reliability of minimaxx accelerometers for measuring physical activity in australian football","volume":"6","author":[{"family":"Boyd","given":"Luke J."},{"family":"Ball","given":"Kevin"},{"family":"Aughey","given":"Robert J."}],"issued":{"date-parts":[["2011",9]]}}}],"schema":"https://github.com/citation-style-language/schema/raw/master/csl-citation.json"} </w:instrText>
      </w:r>
      <w:r w:rsidR="00C46796">
        <w:rPr>
          <w:rFonts w:ascii="Times New Roman" w:hAnsi="Times New Roman"/>
          <w:noProof/>
          <w:color w:val="000000" w:themeColor="text1"/>
        </w:rPr>
        <w:fldChar w:fldCharType="separate"/>
      </w:r>
      <w:r w:rsidR="00C46796">
        <w:rPr>
          <w:rFonts w:ascii="Times New Roman" w:hAnsi="Times New Roman"/>
          <w:noProof/>
          <w:color w:val="000000" w:themeColor="text1"/>
        </w:rPr>
        <w:t>(Boyd et al., 2011)</w:t>
      </w:r>
      <w:r w:rsidR="00C46796">
        <w:rPr>
          <w:rFonts w:ascii="Times New Roman" w:hAnsi="Times New Roman"/>
          <w:noProof/>
          <w:color w:val="000000" w:themeColor="text1"/>
        </w:rPr>
        <w:fldChar w:fldCharType="end"/>
      </w:r>
      <w:r>
        <w:rPr>
          <w:rFonts w:ascii="Times New Roman" w:hAnsi="Times New Roman"/>
          <w:noProof/>
          <w:color w:val="000000" w:themeColor="text1"/>
        </w:rPr>
        <w:t xml:space="preserve">. The </w:t>
      </w:r>
      <w:r>
        <w:rPr>
          <w:rFonts w:ascii="Times New Roman" w:hAnsi="Times New Roman" w:cs="Times New Roman"/>
        </w:rPr>
        <w:t xml:space="preserve">PL formula is </w:t>
      </w:r>
      <w:r w:rsidR="006D30A3">
        <w:rPr>
          <w:rFonts w:ascii="Times New Roman" w:hAnsi="Times New Roman" w:cs="Times New Roman"/>
        </w:rPr>
        <w:t xml:space="preserve">represented with the mathematical equation </w:t>
      </w:r>
      <w:r>
        <w:rPr>
          <w:rFonts w:ascii="Times New Roman" w:hAnsi="Times New Roman" w:cs="Times New Roman"/>
        </w:rPr>
        <w:t xml:space="preserve">as follows: </w:t>
      </w:r>
    </w:p>
    <w:p w14:paraId="42D7BFD6" w14:textId="77777777" w:rsidR="003F3D08" w:rsidRPr="00394DC8" w:rsidRDefault="003F3D08" w:rsidP="003F3D08">
      <w:pPr>
        <w:spacing w:line="480" w:lineRule="auto"/>
        <w:ind w:firstLine="720"/>
        <w:jc w:val="both"/>
        <w:rPr>
          <w:rFonts w:ascii="Times New Roman" w:eastAsiaTheme="minorEastAsia" w:hAnsi="Times New Roman" w:cs="Times New Roman"/>
        </w:rPr>
      </w:pPr>
      <m:oMathPara>
        <m:oMath>
          <m:r>
            <m:rPr>
              <m:sty m:val="p"/>
            </m:rPr>
            <w:rPr>
              <w:rFonts w:ascii="Cambria Math" w:hAnsi="Cambria Math" w:cstheme="minorHAnsi"/>
            </w:rPr>
            <m:t>PlayerLoad™=</m:t>
          </m:r>
          <m:rad>
            <m:radPr>
              <m:degHide m:val="1"/>
              <m:ctrlPr>
                <w:rPr>
                  <w:rFonts w:ascii="Cambria Math" w:hAnsi="Cambria Math" w:cstheme="minorHAnsi"/>
                </w:rPr>
              </m:ctrlPr>
            </m:radPr>
            <m:deg/>
            <m:e>
              <m:f>
                <m:fPr>
                  <m:ctrlPr>
                    <w:rPr>
                      <w:rFonts w:ascii="Cambria Math" w:hAnsi="Cambria Math" w:cstheme="minorHAnsi"/>
                    </w:rPr>
                  </m:ctrlPr>
                </m:fPr>
                <m:num>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Y1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Y-1</m:t>
                      </m:r>
                    </m:sub>
                  </m:sSub>
                  <m:sSup>
                    <m:sSupPr>
                      <m:ctrlPr>
                        <w:rPr>
                          <w:rFonts w:ascii="Cambria Math" w:hAnsi="Cambria Math" w:cstheme="minorHAnsi"/>
                          <w:i/>
                        </w:rPr>
                      </m:ctrlPr>
                    </m:sSupPr>
                    <m:e>
                      <m:r>
                        <w:rPr>
                          <w:rFonts w:ascii="Cambria Math" w:hAnsi="Cambria Math" w:cstheme="minorHAnsi"/>
                        </w:rPr>
                        <m:t>)</m:t>
                      </m:r>
                    </m:e>
                    <m:sup>
                      <m:r>
                        <w:rPr>
                          <w:rFonts w:ascii="Cambria Math" w:hAnsi="Cambria Math" w:cstheme="minorHAnsi"/>
                        </w:rPr>
                        <m:t>2</m:t>
                      </m:r>
                    </m:sup>
                  </m:s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X1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X-1</m:t>
                      </m:r>
                    </m:sub>
                  </m:sSub>
                  <m:sSup>
                    <m:sSupPr>
                      <m:ctrlPr>
                        <w:rPr>
                          <w:rFonts w:ascii="Cambria Math" w:hAnsi="Cambria Math" w:cstheme="minorHAnsi"/>
                          <w:i/>
                        </w:rPr>
                      </m:ctrlPr>
                    </m:sSupPr>
                    <m:e>
                      <m:r>
                        <w:rPr>
                          <w:rFonts w:ascii="Cambria Math" w:hAnsi="Cambria Math" w:cstheme="minorHAnsi"/>
                        </w:rPr>
                        <m:t>)</m:t>
                      </m:r>
                    </m:e>
                    <m:sup>
                      <m:r>
                        <w:rPr>
                          <w:rFonts w:ascii="Cambria Math" w:hAnsi="Cambria Math" w:cstheme="minorHAnsi"/>
                        </w:rPr>
                        <m:t>2</m:t>
                      </m:r>
                    </m:sup>
                  </m:sSup>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Z1</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Z-1</m:t>
                      </m:r>
                    </m:sub>
                  </m:sSub>
                  <m:sSup>
                    <m:sSupPr>
                      <m:ctrlPr>
                        <w:rPr>
                          <w:rFonts w:ascii="Cambria Math" w:hAnsi="Cambria Math" w:cstheme="minorHAnsi"/>
                          <w:i/>
                        </w:rPr>
                      </m:ctrlPr>
                    </m:sSupPr>
                    <m:e>
                      <m:r>
                        <w:rPr>
                          <w:rFonts w:ascii="Cambria Math" w:hAnsi="Cambria Math" w:cstheme="minorHAnsi"/>
                        </w:rPr>
                        <m:t>)</m:t>
                      </m:r>
                    </m:e>
                    <m:sup>
                      <m:r>
                        <w:rPr>
                          <w:rFonts w:ascii="Cambria Math" w:hAnsi="Cambria Math" w:cstheme="minorHAnsi"/>
                        </w:rPr>
                        <m:t>2</m:t>
                      </m:r>
                    </m:sup>
                  </m:sSup>
                </m:num>
                <m:den>
                  <m:r>
                    <w:rPr>
                      <w:rFonts w:ascii="Cambria Math" w:hAnsi="Cambria Math" w:cstheme="minorHAnsi"/>
                    </w:rPr>
                    <m:t>100</m:t>
                  </m:r>
                </m:den>
              </m:f>
            </m:e>
          </m:rad>
        </m:oMath>
      </m:oMathPara>
    </w:p>
    <w:p w14:paraId="69E7407E" w14:textId="77777777" w:rsidR="003F3D08" w:rsidRPr="00856F15" w:rsidRDefault="003F3D08" w:rsidP="003F3D08">
      <w:pPr>
        <w:spacing w:line="480" w:lineRule="auto"/>
        <w:jc w:val="both"/>
        <w:rPr>
          <w:rFonts w:ascii="Times New Roman" w:hAnsi="Times New Roman" w:cs="Times New Roman"/>
          <w:i/>
          <w:iCs/>
        </w:rPr>
      </w:pPr>
      <w:r w:rsidRPr="00856F15">
        <w:rPr>
          <w:rFonts w:ascii="Times New Roman" w:hAnsi="Times New Roman" w:cs="Times New Roman"/>
          <w:b/>
          <w:i/>
        </w:rPr>
        <w:t xml:space="preserve">Note: </w:t>
      </w:r>
      <w:proofErr w:type="spellStart"/>
      <w:r w:rsidRPr="00856F15">
        <w:rPr>
          <w:rFonts w:ascii="Times New Roman" w:hAnsi="Times New Roman" w:cs="Times New Roman"/>
          <w:i/>
        </w:rPr>
        <w:t>a</w:t>
      </w:r>
      <w:r w:rsidRPr="00856F15">
        <w:rPr>
          <w:rFonts w:ascii="Times New Roman" w:hAnsi="Times New Roman" w:cs="Times New Roman"/>
          <w:i/>
          <w:vertAlign w:val="subscript"/>
        </w:rPr>
        <w:t>Y</w:t>
      </w:r>
      <w:proofErr w:type="spellEnd"/>
      <w:r w:rsidRPr="00856F15">
        <w:rPr>
          <w:rFonts w:ascii="Times New Roman" w:hAnsi="Times New Roman" w:cs="Times New Roman"/>
          <w:i/>
          <w:vertAlign w:val="subscript"/>
        </w:rPr>
        <w:t xml:space="preserve"> </w:t>
      </w:r>
      <w:r w:rsidRPr="00856F15">
        <w:rPr>
          <w:rFonts w:ascii="Times New Roman" w:hAnsi="Times New Roman" w:cs="Times New Roman"/>
          <w:i/>
        </w:rPr>
        <w:t xml:space="preserve"> = anteroposterior acceleration; </w:t>
      </w:r>
      <w:proofErr w:type="spellStart"/>
      <w:r w:rsidRPr="00856F15">
        <w:rPr>
          <w:rFonts w:ascii="Times New Roman" w:hAnsi="Times New Roman" w:cs="Times New Roman"/>
          <w:i/>
        </w:rPr>
        <w:t>a</w:t>
      </w:r>
      <w:r w:rsidRPr="00856F15">
        <w:rPr>
          <w:rFonts w:ascii="Times New Roman" w:hAnsi="Times New Roman" w:cs="Times New Roman"/>
          <w:i/>
          <w:vertAlign w:val="subscript"/>
        </w:rPr>
        <w:t>X</w:t>
      </w:r>
      <w:proofErr w:type="spellEnd"/>
      <w:r w:rsidRPr="00856F15">
        <w:rPr>
          <w:rFonts w:ascii="Times New Roman" w:hAnsi="Times New Roman" w:cs="Times New Roman"/>
          <w:i/>
        </w:rPr>
        <w:t xml:space="preserve"> = mediolateral acceleration; </w:t>
      </w:r>
      <w:proofErr w:type="spellStart"/>
      <w:r w:rsidRPr="00856F15">
        <w:rPr>
          <w:rFonts w:ascii="Times New Roman" w:hAnsi="Times New Roman" w:cs="Times New Roman"/>
          <w:i/>
        </w:rPr>
        <w:t>a</w:t>
      </w:r>
      <w:r w:rsidRPr="00856F15">
        <w:rPr>
          <w:rFonts w:ascii="Times New Roman" w:hAnsi="Times New Roman" w:cs="Times New Roman"/>
          <w:i/>
          <w:vertAlign w:val="subscript"/>
        </w:rPr>
        <w:t>Z</w:t>
      </w:r>
      <w:proofErr w:type="spellEnd"/>
      <w:r w:rsidRPr="00856F15">
        <w:rPr>
          <w:rFonts w:ascii="Times New Roman" w:hAnsi="Times New Roman" w:cs="Times New Roman"/>
          <w:i/>
        </w:rPr>
        <w:t xml:space="preserve"> </w:t>
      </w:r>
      <w:r w:rsidRPr="00856F15">
        <w:rPr>
          <w:rFonts w:ascii="Times New Roman" w:hAnsi="Times New Roman" w:cs="Times New Roman"/>
        </w:rPr>
        <w:t xml:space="preserve">= </w:t>
      </w:r>
      <w:r w:rsidRPr="00856F15">
        <w:rPr>
          <w:rFonts w:ascii="Times New Roman" w:hAnsi="Times New Roman" w:cs="Times New Roman"/>
          <w:i/>
          <w:iCs/>
        </w:rPr>
        <w:t>vertical acceleration.</w:t>
      </w:r>
    </w:p>
    <w:p w14:paraId="4F0BF59C" w14:textId="7DC054FE" w:rsidR="00494359" w:rsidRDefault="003F3D08" w:rsidP="00494359">
      <w:pPr>
        <w:spacing w:line="480" w:lineRule="auto"/>
        <w:jc w:val="both"/>
        <w:rPr>
          <w:rFonts w:ascii="Times New Roman" w:hAnsi="Times New Roman" w:cs="Times New Roman"/>
        </w:rPr>
      </w:pPr>
      <w:r>
        <w:rPr>
          <w:rFonts w:ascii="Times New Roman" w:hAnsi="Times New Roman" w:cs="Times New Roman"/>
        </w:rPr>
        <w:tab/>
        <w:t>Several competing manufacturers distributing these IMUs have similarities in the computations of these variables. Catapult systems</w:t>
      </w:r>
      <w:r w:rsidR="0052190B">
        <w:rPr>
          <w:rFonts w:ascii="Times New Roman" w:hAnsi="Times New Roman" w:cs="Times New Roman"/>
        </w:rPr>
        <w:t xml:space="preserve"> (Catapult Innovations, </w:t>
      </w:r>
      <w:proofErr w:type="spellStart"/>
      <w:r w:rsidR="0052190B">
        <w:rPr>
          <w:rFonts w:ascii="Times New Roman" w:hAnsi="Times New Roman" w:cs="Times New Roman"/>
        </w:rPr>
        <w:t>Melborne</w:t>
      </w:r>
      <w:proofErr w:type="spellEnd"/>
      <w:r w:rsidR="0052190B">
        <w:rPr>
          <w:rFonts w:ascii="Times New Roman" w:hAnsi="Times New Roman" w:cs="Times New Roman"/>
        </w:rPr>
        <w:t>, VIC, Australia)</w:t>
      </w:r>
      <w:r>
        <w:rPr>
          <w:rFonts w:ascii="Times New Roman" w:hAnsi="Times New Roman" w:cs="Times New Roman"/>
        </w:rPr>
        <w:t>, however, are able to reach sampling rates of 100 Hz</w:t>
      </w:r>
      <w:r w:rsidR="002C143A">
        <w:rPr>
          <w:rFonts w:ascii="Times New Roman" w:hAnsi="Times New Roman" w:cs="Times New Roman"/>
        </w:rPr>
        <w:t xml:space="preserve"> allowing for enhanced sensitivity compared to traditional GPS data that is merely collected at 10 Hz</w:t>
      </w:r>
      <w:r>
        <w:rPr>
          <w:rFonts w:ascii="Times New Roman" w:hAnsi="Times New Roman" w:cs="Times New Roman"/>
        </w:rPr>
        <w:t xml:space="preserve"> </w:t>
      </w:r>
      <w:r w:rsidR="002C143A">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{"citationID":"sB3dBMu6","properties":{"formattedCitation":"(Boyd et al., 2011; Chambers et al., 2015; A. Heishman et al., 2018; A. Heishman, Peak, et al., 2020)","plainCitation":"(Boyd et al., 2011; Chambers et al., 2015; A. Heishman et al., 2018; A. Heishman, Peak, et al., 2020)","noteIndex":0},"citationItems":[{"id":289,"uris":["http://zotero.org/users/6327055/items/YSGCCWBH"],"itemData":{"id":289,"type":"article-journal","abstract":"Purpose: To assess the reliability of triaxial accelerometers as a measure of physical activity in team sports. Methods: Eight accelerometers (MinimaxX 2.0, Catapult, Australia) were attached to a hydraulic universal testing machine (Instron 8501) and oscillated over two protocols (0.5 g and 3.0 g) to assess within- and betweendevice reliability. A static assessment was also conducted. Secondly, 10 players were instrumented with two accelerometers during Australian football matches. The vector magnitude was calculated, expressed as Player load and assessed for reliability using typical error (TE) ± 90% confidence intervals (CI), and expressed as a coefficient of variation (CV%). The smallest worthwhile difference (SWD) in Player load was calculated to determine if the device was capable of detecting differences in physical activity. Results: Laboratory: Within- (Dynamic: CV 0.91 to 1.05%; Static: CV 1.01%) and between-device (Dynamic: CV 1.02 to 1.04%; Static: CV 1.10%) reliability was acceptable across each test. Field: The between-device reliability of accelerometers during Australian football matches was also acceptable (CV 1.9%). The SWD was 5.88%. Conclusions: The reliability of the MinimaxX accelerometer is acceptable both within and between devices under controlled laboratory conditions, and between devices during field testing. MinimaxX accelerometers can be confidently utilized as a reliable tool to measure physical activity in team sports across multiple players and repeated bouts of activity. The noise (CV%) of Player load was lower than the signal (SWD), suggesting that accelerometers can detect changes or differences in physical activity during Australian football.","container-title":"International Journal of Sports Physiology and Performance","DOI":"10.1123/ijspp.6.3.311","ISSN":"1555-0265, 1555-0273","issue":"3","language":"en","page":"311-321","source":"DOI.org (Crossref)","title":"The reliability of minimaxx accelerometers for measuring physical activity in australian football","volume":"6","author":[{"family":"Boyd","given":"Luke J."},{"family":"Ball","given":"Kevin"},{"family":"Aughey","given":"Robert J."}],"issued":{"date-parts":[["2011",9]]}}},{"id":531,"uris":["http://zotero.org/users/6327055/items/GTBEQZ5X"],"itemData":{"id":531,"type":"article-journal","abstract":"Background Microtechnology has allowed sport scientists to understand the locomotor demands of various sports. While wearable global positioning technology has been used to quantify the locomotor demands of sporting activities, microsensors (i.e. accelerometers, gyroscopes and magnetometers) embedded within the units also have the capability to detect sport-speciﬁc movements.","container-title":"Sports Medicine","DOI":"10.1007/s40279-015-0332-9","ISSN":"0112-1642, 1179-2035","issue":"7","journalAbbreviation":"Sports Med","language":"en","page":"1065-1081","source":"DOI.org (Crossref)","title":"The use of wearable microsensors to quantify sport-specific movements","volume":"45","author":[{"family":"Chambers","given":"Ryan"},{"family":"Gabbett","given":"Tim J."},{"family":"Cole","given":"Michael H."},{"family":"Beard","given":"Adam"}],"issued":{"date-parts":[["2015",7]]}}},{"id":275,"uris":["http://zotero.org/users/6327055/items/Y8Q9W2NY"],"itemData":{"id":275,"type":"article-journal","abstract":"Monitoring external training load (eTL) has become popular for team sport for managing fatigue, optimizing performance, and guiding return-to-play protocols. During indoor sports, eTL can be measured via inertial measurement units (IMU) or indoor positioning systems (IPS). Though each device provides unique information, the relationships between devices has not been examined. Therefore, the purpose of this study was to assess the association of eTL between an IMU and IPS used to monitor eTL in team sport. Retrospective analyses were performed on 13 elite male National Collegiate Athletic Association (NCAA) Division I basketball players (age: 20.2 ± 1.2 years, height: 201.1 ± 7.6 cm, mass: 96.8 ± 8.8 kg) from three practices during the oﬀ-season training phase. A one-way analysis of variance was used to test diﬀerences in eTL across practices. Pearson’s correlation examined the association between the Distance traveled during practice captured by IPS compared to PlayerLoad (PL), PlayerLoad per Minute (PL/Min), 2-Dimensional PlayerLoad (PL2D), 1-Dimensional PlayerLoad Forward (PL1D-FWD), Side (PL1D-SIDE), and Up (PL1D-UP) captured from the IMU. Regression analyses were performed to predict PL from Distance traveled. The eTL characteristics during Practice 1: PL = 420.4 ± 102.9, PL/min = 5.8 ± 1.4, Distance = 1645.9 ± 377.0 m; Practice 2: PL = 472.8 ± 109.5, PL/min = 5.1 ± 1.2, Distance = 1940.0 ± 436.3 m; Practice 3: PL = 295.1 ± 57.8, PL/min = 5.3 ± 1.0, Distance = 1198.2 ± 219.2 m. Signiﬁcant (p ≤ 0.05) diﬀerences were observed in PL, PL2D, PL1D-FWD, PL1D-SIDE, PL1D-UP, and Distance across practices. Signiﬁcant correlations (p ≤ 0.001) existed between Distance and PL parameters (Practice 1: r = 0.799–0.891; Practice 2: r = 0.819–0.972; and Practice 3: 0.761–0.891). Predictive models using Distance traveled accounted for 73.5–89.7% of the variance in PL. Signiﬁcant relationships and predictive capacities exists between systems. Nonetheless, each system also appears to capture unique information that may still be useful to performance practitioners regarding the understanding of eTL.","container-title":"Sports","DOI":"10.3390/sports8030033","ISSN":"2075-4663","issue":"3","journalAbbreviation":"Sports","language":"en","page":"33","source":"DOI.org (Crossref)","title":"Associations between two athlete monitoring systems used to quantify external training loads in basketball players","volume":"8","author":[{"family":"Heishman","given":"Aaron"},{"family":"Peak","given":"Keldon"},{"family":"Miller","given":"Ryan"},{"family":"Brown","given":"Brady"},{"family":"Daub","given":"Bryce"},{"family":"Freitas","given":"Eduardo"},{"family":"Bemben","given":"Michael"}],"issued":{"date-parts":[["2020",3,11]]}}},{"id":267,"uris":["http://zotero.org/users/6327055/items/V555YN52"],"itemData":{"id":267,"type":"article-journal","container-title":"Journal of Strength and Conditioning Research","DOI":"10.1519/JSC.0000000000002413","ISSN":"1064-8011","issue":"5","language":"en","page":"1280-1287","source":"DOI.org (Crossref)","title":"Noninvasive assessment of internal and external player load: Implications for optimizing athletic performance","title-short":"Noninvasive Assessment of Internal and External Player Load","volume":"32","author":[{"family":"Heishman","given":"Aaron"},{"family":"Curtis","given":"Michael"},{"family":"Saliba","given":"Ethan"},{"family":"Hornett","given":"Robert"},{"family":"Malin","given":"Steven"},{"family":"Weltman","given":"Arthur"}],"issued":{"date-parts":[["2018",5]]}}}],"schema":"https://github.com/citation-style-language/schema/raw/master/csl-citation.json"} </w:instrText>
      </w:r>
      <w:r w:rsidR="002C143A">
        <w:rPr>
          <w:rFonts w:ascii="Times New Roman" w:hAnsi="Times New Roman" w:cs="Times New Roman"/>
        </w:rPr>
        <w:fldChar w:fldCharType="separate"/>
      </w:r>
      <w:r w:rsidR="00546507">
        <w:rPr>
          <w:rFonts w:ascii="Times New Roman" w:hAnsi="Times New Roman" w:cs="Times New Roman"/>
          <w:noProof/>
        </w:rPr>
        <w:t>(Boyd et al., 2011; Chambers et al., 2015; A. Heishman et al., 2018; A. Heishman, Peak, et al., 2020)</w:t>
      </w:r>
      <w:r w:rsidR="002C143A">
        <w:rPr>
          <w:rFonts w:ascii="Times New Roman" w:hAnsi="Times New Roman" w:cs="Times New Roman"/>
        </w:rPr>
        <w:fldChar w:fldCharType="end"/>
      </w:r>
      <w:r w:rsidR="002C143A">
        <w:rPr>
          <w:rFonts w:ascii="Times New Roman" w:hAnsi="Times New Roman" w:cs="Times New Roman"/>
        </w:rPr>
        <w:t>. Also, Catapult systems have been shown to</w:t>
      </w:r>
      <w:r>
        <w:rPr>
          <w:rFonts w:ascii="Times New Roman" w:hAnsi="Times New Roman" w:cs="Times New Roman"/>
        </w:rPr>
        <w:t xml:space="preserve"> displa</w:t>
      </w:r>
      <w:r w:rsidR="002C143A">
        <w:rPr>
          <w:rFonts w:ascii="Times New Roman" w:hAnsi="Times New Roman" w:cs="Times New Roman"/>
        </w:rPr>
        <w:t>y</w:t>
      </w:r>
      <w:r>
        <w:rPr>
          <w:rFonts w:ascii="Times New Roman" w:hAnsi="Times New Roman" w:cs="Times New Roman"/>
        </w:rPr>
        <w:t xml:space="preserve"> strong validity and reliability in variables that are able to quantify the </w:t>
      </w:r>
      <w:proofErr w:type="spellStart"/>
      <w:r>
        <w:rPr>
          <w:rFonts w:ascii="Times New Roman" w:hAnsi="Times New Roman" w:cs="Times New Roman"/>
        </w:rPr>
        <w:t>eTL</w:t>
      </w:r>
      <w:proofErr w:type="spellEnd"/>
      <w:r>
        <w:rPr>
          <w:rFonts w:ascii="Times New Roman" w:hAnsi="Times New Roman" w:cs="Times New Roman"/>
        </w:rPr>
        <w:t xml:space="preserve">, while also providing real-time feedback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{"citationID":"GTFTn2Mq","properties":{"formattedCitation":"(Boyd et al., 2011; A. Heishman, Peak, et al., 2020)","plainCitation":"(Boyd et al., 2011; A. Heishman, Peak, et al., 2020)","noteIndex":0},"citationItems":[{"id":289,"uris":["http://zotero.org/users/6327055/items/YSGCCWBH"],"itemData":{"id":289,"type":"article-journal","abstract":"Purpose: To assess the reliability of triaxial accelerometers as a measure of physical activity in team sports. Methods: Eight accelerometers (MinimaxX 2.0, Catapult, Australia) were attached to a hydraulic universal testing machine (Instron 8501) and oscillated over two protocols (0.5 g and 3.0 g) to assess within- and betweendevice reliability. A static assessment was also conducted. Secondly, 10 players were instrumented with two accelerometers during Australian football matches. The vector magnitude was calculated, expressed as Player load and assessed for reliability using typical error (TE) ± 90% confidence intervals (CI), and expressed as a coefficient of variation (CV%). The smallest worthwhile difference (SWD) in Player load was calculated to determine if the device was capable of detecting differences in physical activity. Results: Laboratory: Within- (Dynamic: CV 0.91 to 1.05%; Static: CV 1.01%) and between-device (Dynamic: CV 1.02 to 1.04%; Static: CV 1.10%) reliability was acceptable across each test. Field: The between-device reliability of accelerometers during Australian football matches was also acceptable (CV 1.9%). The SWD was 5.88%. Conclusions: The reliability of the MinimaxX accelerometer is acceptable both within and between devices under controlled laboratory conditions, and between devices during field testing. MinimaxX accelerometers can be confidently utilized as a reliable tool to measure physical activity in team sports across multiple players and repeated bouts of activity. The noise (CV%) of Player load was lower than the signal (SWD), suggesting that accelerometers can detect changes or differences in physical activity during Australian football.","container-title":"International Journal of Sports Physiology and Performance","DOI":"10.1123/ijspp.6.3.311","ISSN":"1555-0265, 1555-0273","issue":"3","language":"en","page":"311-321","source":"DOI.org (Crossref)","title":"The reliability of minimaxx accelerometers for measuring physical activity in australian football","volume":"6","author":[{"family":"Boyd","given":"Luke J."},{"family":"Ball","given":"Kevin"},{"family":"Aughey","given":"Robert J."}],"issued":{"date-parts":[["2011",9]]}}},{"id":275,"uris":["http://zotero.org/users/6327055/items/Y8Q9W2NY"],"itemData":{"id":275,"type":"article-journal","abstract":"Monitoring external training load (eTL) has become popular for team sport for managing fatigue, optimizing performance, and guiding return-to-play protocols. During indoor sports, eTL can be measured via inertial measurement units (IMU) or indoor positioning systems (IPS). Though each device provides unique information, the relationships between devices has not been examined. Therefore, the purpose of this study was to assess the association of eTL between an IMU and IPS used to monitor eTL in team sport. Retrospective analyses were performed on 13 elite male National Collegiate Athletic Association (NCAA) Division I basketball players (age: 20.2 ± 1.2 years, height: 201.1 ± 7.6 cm, mass: 96.8 ± 8.8 kg) from three practices during the oﬀ-season training phase. A one-way analysis of variance was used to test diﬀerences in eTL across practices. Pearson’s correlation examined the association between the Distance traveled during practice captured by IPS compared to PlayerLoad (PL), PlayerLoad per Minute (PL/Min), 2-Dimensional PlayerLoad (PL2D), 1-Dimensional PlayerLoad Forward (PL1D-FWD), Side (PL1D-SIDE), and Up (PL1D-UP) captured from the IMU. Regression analyses were performed to predict PL from Distance traveled. The eTL characteristics during Practice 1: PL = 420.4 ± 102.9, PL/min = 5.8 ± 1.4, Distance = 1645.9 ± 377.0 m; Practice 2: PL = 472.8 ± 109.5, PL/min = 5.1 ± 1.2, Distance = 1940.0 ± 436.3 m; Practice 3: PL = 295.1 ± 57.8, PL/min = 5.3 ± 1.0, Distance = 1198.2 ± 219.2 m. Signiﬁcant (p ≤ 0.05) diﬀerences were observed in PL, PL2D, PL1D-FWD, PL1D-SIDE, PL1D-UP, and Distance across practices. Signiﬁcant correlations (p ≤ 0.001) existed between Distance and PL parameters (Practice 1: r = 0.799–0.891; Practice 2: r = 0.819–0.972; and Practice 3: 0.761–0.891). Predictive models using Distance traveled accounted for 73.5–89.7% of the variance in PL. Signiﬁcant relationships and predictive capacities exists between systems. Nonetheless, each system also appears to capture unique information that may still be useful to performance practitioners regarding the understanding of eTL.","container-title":"Sports","DOI":"10.3390/sports8030033","ISSN":"2075-4663","issue":"3","journalAbbreviation":"Sports","language":"en","page":"33","source":"DOI.org (Crossref)","title":"Associations between two athlete monitoring systems used to quantify external training loads in basketball players","volume":"8","author":[{"family":"Heishman","given":"Aaron"},{"family":"Peak","given":"Keldon"},{"family":"Miller","given":"Ryan"},{"family":"Brown","given":"Brady"},{"family":"Daub","given":"Bryce"},{"family":"Freitas","given":"Eduardo"},{"family":"Bemben","given":"Michael"}],"issued":{"date-parts":[["2020",3,11]]}}}],"schema":"https://github.com/citation-style-language/schema/raw/master/csl-citation.json"} </w:instrText>
      </w:r>
      <w:r w:rsidR="00C46796">
        <w:rPr>
          <w:rFonts w:ascii="Times New Roman" w:hAnsi="Times New Roman" w:cs="Times New Roman"/>
          <w:noProof/>
        </w:rPr>
        <w:fldChar w:fldCharType="separate"/>
      </w:r>
      <w:r w:rsidR="00D233A9">
        <w:rPr>
          <w:rFonts w:ascii="Times New Roman" w:hAnsi="Times New Roman" w:cs="Times New Roman"/>
          <w:noProof/>
        </w:rPr>
        <w:t>(Boyd et al., 2011; A. Heishman, Peak, et al., 2020)</w:t>
      </w:r>
      <w:r w:rsidR="00C46796">
        <w:rPr>
          <w:rFonts w:ascii="Times New Roman" w:hAnsi="Times New Roman" w:cs="Times New Roman"/>
          <w:noProof/>
        </w:rPr>
        <w:fldChar w:fldCharType="end"/>
      </w:r>
      <w:r>
        <w:rPr>
          <w:rFonts w:ascii="Times New Roman" w:hAnsi="Times New Roman" w:cs="Times New Roman"/>
        </w:rPr>
        <w:t xml:space="preserve">. For example, previous literature have observed relationships between distance traveled and PL in several team sports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{"citationID":"FRbesYkn","properties":{"formattedCitation":"(Gallo et al., 2015; A. Heishman, Peak, et al., 2020; Polglaze et al., 2015)","plainCitation":"(Gallo et al., 2015; A. Heishman, Peak, et al., 2020; Polglaze et al., 2015)","noteIndex":0},"citationItems":[{"id":294,"uris":["http://zotero.org/users/6327055/items/PP76PSV7"],"itemData":{"id":294,"type":"article-journal","abstract":"The relationship between external training load and session rating of perceived exertion (s-RPE) training load and the impact that playing experience, playing position and 2-km time-trial performance had on s-RPE training load were explored. From 39 Australian Football players, 6.9 ± 4.6 training sessions were analysed, resulting in 270 samples. Microtechnology devices provided external training load (distance, average speed, high-speed running distance, player load (PL) and player loadslow (PLslow)). The external training load measures had moderate to very large associations (r, 95% CI) with s-RPE training load, average speed (0.45, 0.35–0.54), high-speed running distance (0.51, 0.42–0.59), PLslow (0.80, 0.75–0.84), PL (0.86, 0.83–0.89) and distance (0.88, 0.85–0.90). Differences were described using effect sizes (d ±95% CL). When controlling for external training load, the 4- to 5-year players had higher s-RPE training load than the 0- to 1- (0.44 ± 0.33) and 2- to 3-year players (0.51 ± 0.30), ruckmen had moderately higher s-RPE training load than midﬁelders (0.82 ± 0.58), and there was a 0.2% increase in s-RPE training load per 1 s increase in time-trial (95% CI: 0.07–0.34). Experience, position and time-trial performance impacted the relationship between external training load and s-RPE training load. This suggests that a given external training load may result in different internal responses between athletes, potentially leaving individuals at risk of overtraining or failing to elicit positive adaptation. It is therefore vital that coaches and trainers give consideration to these mediators of s-RPE training load.","container-title":"Journal of Sports Sciences","DOI":"10.1080/02640414.2014.947311","ISSN":"0264-0414, 1466-447X","issue":"5","journalAbbreviation":"Journal of Sports Sciences","language":"en","page":"467-475","source":"DOI.org (Crossref)","title":"Characteristics impacting on session rating of perceived exertion training load in australian footballers","volume":"33","author":[{"family":"Gallo","given":"Tania"},{"family":"Cormack","given":"Stuart"},{"family":"Gabbett","given":"Tim"},{"family":"Williams","given":"Morgan"},{"family":"Lorenzen","given":"Christian"}],"issued":{"date-parts":[["2015",3,16]]}}},{"id":275,"uris":["http://zotero.org/users/6327055/items/Y8Q9W2NY"],"itemData":{"id":275,"type":"article-journal","abstract":"Monitoring external training load (eTL) has become popular for team sport for managing fatigue, optimizing performance, and guiding return-to-play protocols. During indoor sports, eTL can be measured via inertial measurement units (IMU) or indoor positioning systems (IPS). Though each device provides unique information, the relationships between devices has not been examined. Therefore, the purpose of this study was to assess the association of eTL between an IMU and IPS used to monitor eTL in team sport. Retrospective analyses were performed on 13 elite male National Collegiate Athletic Association (NCAA) Division I basketball players (age: 20.2 ± 1.2 years, height: 201.1 ± 7.6 cm, mass: 96.8 ± 8.8 kg) from three practices during the oﬀ-season training phase. A one-way analysis of variance was used to test diﬀerences in eTL across practices. Pearson’s correlation examined the association between the Distance traveled during practice captured by IPS compared to PlayerLoad (PL), PlayerLoad per Minute (PL/Min), 2-Dimensional PlayerLoad (PL2D), 1-Dimensional PlayerLoad Forward (PL1D-FWD), Side (PL1D-SIDE), and Up (PL1D-UP) captured from the IMU. Regression analyses were performed to predict PL from Distance traveled. The eTL characteristics during Practice 1: PL = 420.4 ± 102.9, PL/min = 5.8 ± 1.4, Distance = 1645.9 ± 377.0 m; Practice 2: PL = 472.8 ± 109.5, PL/min = 5.1 ± 1.2, Distance = 1940.0 ± 436.3 m; Practice 3: PL = 295.1 ± 57.8, PL/min = 5.3 ± 1.0, Distance = 1198.2 ± 219.2 m. Signiﬁcant (p ≤ 0.05) diﬀerences were observed in PL, PL2D, PL1D-FWD, PL1D-SIDE, PL1D-UP, and Distance across practices. Signiﬁcant correlations (p ≤ 0.001) existed between Distance and PL parameters (Practice 1: r = 0.799–0.891; Practice 2: r = 0.819–0.972; and Practice 3: 0.761–0.891). Predictive models using Distance traveled accounted for 73.5–89.7% of the variance in PL. Signiﬁcant relationships and predictive capacities exists between systems. Nonetheless, each system also appears to capture unique information that may still be useful to performance practitioners regarding the understanding of eTL.","container-title":"Sports","DOI":"10.3390/sports8030033","ISSN":"2075-4663","issue":"3","journalAbbreviation":"Sports","language":"en","page":"33","source":"DOI.org (Crossref)","title":"Associations between two athlete monitoring systems used to quantify external training loads in basketball players","volume":"8","author":[{"family":"Heishman","given":"Aaron"},{"family":"Peak","given":"Keldon"},{"family":"Miller","given":"Ryan"},{"family":"Brown","given":"Brady"},{"family":"Daub","given":"Bryce"},{"family":"Freitas","given":"Eduardo"},{"family":"Bemben","given":"Michael"}],"issued":{"date-parts":[["2020",3,11]]}}},{"id":291,"uris":["http://zotero.org/users/6327055/items/MCBUYQSV"],"itemData":{"id":291,"type":"article-journal","abstract":"Purpose: To determine the relationship between distance covered and player load (PL: sum of accelerations in all 3 planes of movement) in hockey training and competition. Methods: Elite male hockey players (N = 24) wore player-tracking devices in 7 international matches and 7 training sessions. Players were arranged in 4 positional groups (strikers, attacking midfielders, defensive midfielders, defenders) in competition but had generic roles in training. Relationships between distance and PL were assessed in both absolute (m, AU) and relative (m/min, AU/min) terms and were compared between matches and training and between positions within matches, using the Fisher Z test. Results: In competition, the absolute distance–PL relationship was very large overall (r = .868), with no differences between positions. The relative distance–PL relationship was moderate overall (r = .486) and weaker in strikers than in defensive midfielders (Z = 1.785, P = .037) and defenders (Z = 1.690, P = .045). In training, the absolute distance–PL relationship was very large (r = .742), and large (r = .633) in relative terms. The relationship was stronger in competition than training for absolute values (Z = 2.824, P = .005) but not different for relative values. Conclusions: The strong relationship between these variables suggests that PL in hockey is mostly accumulated through running and other locomotor actions, such that PL is not effective in quantifying other activities (evasion, low stance) that contribute to physiological demands, particularly in training.","container-title":"International Journal of Sports Physiology and Performance","DOI":"10.1123/ijspp.2014-0233","ISSN":"1555-0265, 1555-0273","issue":"4","language":"en","page":"446-451","source":"DOI.org (Crossref)","title":"A comparative analysis of accelerometer and time–motion data in elite men’s hockey training and competition","volume":"10","author":[{"family":"Polglaze","given":"Ted"},{"family":"Dawson","given":"Brian"},{"family":"Hiscock","given":"Daniel J."},{"family":"Peeling","given":"Peter"}],"issued":{"date-parts":[["2015",5]]}}}],"schema":"https://github.com/citation-style-language/schema/raw/master/csl-citation.json"} </w:instrText>
      </w:r>
      <w:r w:rsidR="00C46796">
        <w:rPr>
          <w:rFonts w:ascii="Times New Roman" w:hAnsi="Times New Roman" w:cs="Times New Roman"/>
          <w:noProof/>
        </w:rPr>
        <w:fldChar w:fldCharType="separate"/>
      </w:r>
      <w:r w:rsidR="00D233A9">
        <w:rPr>
          <w:rFonts w:ascii="Times New Roman" w:hAnsi="Times New Roman" w:cs="Times New Roman"/>
          <w:noProof/>
        </w:rPr>
        <w:t>(Gallo et al., 2015; A. Heishman, Peak, et al., 2020; Polglaze et al., 2015)</w:t>
      </w:r>
      <w:r w:rsidR="00C46796">
        <w:rPr>
          <w:rFonts w:ascii="Times New Roman" w:hAnsi="Times New Roman" w:cs="Times New Roman"/>
          <w:noProof/>
        </w:rPr>
        <w:fldChar w:fldCharType="end"/>
      </w:r>
      <w:r>
        <w:rPr>
          <w:rFonts w:ascii="Times New Roman" w:hAnsi="Times New Roman" w:cs="Times New Roman"/>
        </w:rPr>
        <w:t xml:space="preserve">. The work done by </w:t>
      </w:r>
      <w:proofErr w:type="spellStart"/>
      <w:r w:rsidRPr="005C228B">
        <w:rPr>
          <w:rFonts w:ascii="Times New Roman" w:hAnsi="Times New Roman" w:cs="Times New Roman"/>
        </w:rPr>
        <w:t>Heishman</w:t>
      </w:r>
      <w:proofErr w:type="spellEnd"/>
      <w:r w:rsidRPr="005C228B">
        <w:rPr>
          <w:rFonts w:ascii="Times New Roman" w:hAnsi="Times New Roman" w:cs="Times New Roman"/>
        </w:rPr>
        <w:t xml:space="preserve"> et al. (2020),</w:t>
      </w:r>
      <w:r>
        <w:rPr>
          <w:rFonts w:ascii="Times New Roman" w:hAnsi="Times New Roman" w:cs="Times New Roman"/>
        </w:rPr>
        <w:t xml:space="preserve"> displays an almost perfect correlation in the distance traveled and PL in a sample of elite basketball players </w:t>
      </w:r>
      <w:r w:rsidR="003E1254">
        <w:rPr>
          <w:rFonts w:ascii="Times New Roman" w:hAnsi="Times New Roman" w:cs="Times New Roman"/>
        </w:rPr>
        <w:t xml:space="preserve">indicating a measure of the volume of work experienced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{"citationID":"alxeKdAW","properties":{"formattedCitation":"(A. Heishman, Peak, et al., 2020)","plainCitation":"(A. Heishman, Peak, et al., 2020)","noteIndex":0},"citationItems":[{"id":275,"uris":["http://zotero.org/users/6327055/items/Y8Q9W2NY"],"itemData":{"id":275,"type":"article-journal","abstract":"Monitoring external training load (eTL) has become popular for team sport for managing fatigue, optimizing performance, and guiding return-to-play protocols. During indoor sports, eTL can be measured via inertial measurement units (IMU) or indoor positioning systems (IPS). Though each device provides unique information, the relationships between devices has not been examined. Therefore, the purpose of this study was to assess the association of eTL between an IMU and IPS used to monitor eTL in team sport. Retrospective analyses were performed on 13 elite male National Collegiate Athletic Association (NCAA) Division I basketball players (age: 20.2 ± 1.2 years, height: 201.1 ± 7.6 cm, mass: 96.8 ± 8.8 kg) from three practices during the oﬀ-season training phase. A one-way analysis of variance was used to test diﬀerences in eTL across practices. Pearson’s correlation examined the association between the Distance traveled during practice captured by IPS compared to PlayerLoad (PL), PlayerLoad per Minute (PL/Min), 2-Dimensional PlayerLoad (PL2D), 1-Dimensional PlayerLoad Forward (PL1D-FWD), Side (PL1D-SIDE), and Up (PL1D-UP) captured from the IMU. Regression analyses were performed to predict PL from Distance traveled. The eTL characteristics during Practice 1: PL = 420.4 ± 102.9, PL/min = 5.8 ± 1.4, Distance = 1645.9 ± 377.0 m; Practice 2: PL = 472.8 ± 109.5, PL/min = 5.1 ± 1.2, Distance = 1940.0 ± 436.3 m; Practice 3: PL = 295.1 ± 57.8, PL/min = 5.3 ± 1.0, Distance = 1198.2 ± 219.2 m. Signiﬁcant (p ≤ 0.05) diﬀerences were observed in PL, PL2D, PL1D-FWD, PL1D-SIDE, PL1D-UP, and Distance across practices. Signiﬁcant correlations (p ≤ 0.001) existed between Distance and PL parameters (Practice 1: r = 0.799–0.891; Practice 2: r = 0.819–0.972; and Practice 3: 0.761–0.891). Predictive models using Distance traveled accounted for 73.5–89.7% of the variance in PL. Signiﬁcant relationships and predictive capacities exists between systems. Nonetheless, each system also appears to capture unique information that may still be useful to performance practitioners regarding the understanding of eTL.","container-title":"Sports","DOI":"10.3390/sports8030033","ISSN":"2075-4663","issue":"3","journalAbbreviation":"Sports","language":"en","page":"33","source":"DOI.org (Crossref)","title":"Associations between two athlete monitoring systems used to quantify external training loads in basketball players","volume":"8","author":[{"family":"Heishman","given":"Aaron"},{"family":"Peak","given":"Keldon"},{"family":"Miller","given":"Ryan"},{"family":"Brown","given":"Brady"},{"family":"Daub","given":"Bryce"},{"family":"Freitas","given":"Eduardo"},{"family":"Bemben","given":"Michael"}],"issued":{"date-parts":[["2020",3,11]]}}}],"schema":"https://github.com/citation-style-language/schema/raw/master/csl-citation.json"} </w:instrText>
      </w:r>
      <w:r w:rsidR="00C46796">
        <w:rPr>
          <w:rFonts w:ascii="Times New Roman" w:hAnsi="Times New Roman" w:cs="Times New Roman"/>
          <w:noProof/>
        </w:rPr>
        <w:fldChar w:fldCharType="separate"/>
      </w:r>
      <w:r w:rsidR="00D233A9">
        <w:rPr>
          <w:rFonts w:ascii="Times New Roman" w:hAnsi="Times New Roman" w:cs="Times New Roman"/>
          <w:noProof/>
        </w:rPr>
        <w:t>(A. Heishman, Peak, et al., 2020)</w:t>
      </w:r>
      <w:r w:rsidR="00C46796">
        <w:rPr>
          <w:rFonts w:ascii="Times New Roman" w:hAnsi="Times New Roman" w:cs="Times New Roman"/>
          <w:noProof/>
        </w:rPr>
        <w:fldChar w:fldCharType="end"/>
      </w:r>
      <w:r>
        <w:rPr>
          <w:rFonts w:ascii="Times New Roman" w:hAnsi="Times New Roman" w:cs="Times New Roman"/>
        </w:rPr>
        <w:t xml:space="preserve">. </w:t>
      </w:r>
      <w:r w:rsidR="003E1254">
        <w:rPr>
          <w:rFonts w:ascii="Times New Roman" w:hAnsi="Times New Roman" w:cs="Times New Roman"/>
        </w:rPr>
        <w:t>T</w:t>
      </w:r>
      <w:r>
        <w:rPr>
          <w:rFonts w:ascii="Times New Roman" w:hAnsi="Times New Roman" w:cs="Times New Roman"/>
        </w:rPr>
        <w:t xml:space="preserve">he intensity of the training session is able to be distinguished by dividing the PL by the duration to represent </w:t>
      </w:r>
      <w:proofErr w:type="spellStart"/>
      <w:r w:rsidR="00147D64" w:rsidRPr="00152F9B">
        <w:rPr>
          <w:rFonts w:ascii="Times New Roman" w:hAnsi="Times New Roman" w:cs="Times New Roman"/>
        </w:rPr>
        <w:t>PlayerLoad</w:t>
      </w:r>
      <w:r w:rsidR="00147D64" w:rsidRPr="00152F9B">
        <w:rPr>
          <w:rFonts w:ascii="Times New Roman" w:hAnsi="Times New Roman" w:cs="Times New Roman"/>
          <w:vertAlign w:val="superscript"/>
        </w:rPr>
        <w:t>TM</w:t>
      </w:r>
      <w:proofErr w:type="spellEnd"/>
      <w:r w:rsidR="00733EF0">
        <w:rPr>
          <w:rFonts w:ascii="Times New Roman" w:hAnsi="Times New Roman" w:cs="Times New Roman"/>
        </w:rPr>
        <w:t xml:space="preserve"> per minute (</w:t>
      </w:r>
      <w:r>
        <w:rPr>
          <w:rFonts w:ascii="Times New Roman" w:hAnsi="Times New Roman" w:cs="Times New Roman"/>
        </w:rPr>
        <w:t>PL/min</w:t>
      </w:r>
      <w:r w:rsidR="00733EF0">
        <w:rPr>
          <w:rFonts w:ascii="Times New Roman" w:hAnsi="Times New Roman" w:cs="Times New Roman"/>
        </w:rPr>
        <w:t>)</w:t>
      </w:r>
      <w:r w:rsidR="003E1254">
        <w:rPr>
          <w:rFonts w:ascii="Times New Roman" w:hAnsi="Times New Roman" w:cs="Times New Roman"/>
        </w:rPr>
        <w:t xml:space="preserve"> and exhibit the work rate experienced</w:t>
      </w:r>
      <w:r>
        <w:rPr>
          <w:rFonts w:ascii="Times New Roman" w:hAnsi="Times New Roman" w:cs="Times New Roman"/>
        </w:rPr>
        <w:t>.</w:t>
      </w:r>
    </w:p>
    <w:p w14:paraId="2D6F0F66" w14:textId="25C4A032" w:rsidR="00CD3CF4" w:rsidRDefault="00494359" w:rsidP="00494359">
      <w:pPr>
        <w:spacing w:line="480" w:lineRule="auto"/>
        <w:jc w:val="both"/>
        <w:rPr>
          <w:rFonts w:ascii="Times New Roman" w:hAnsi="Times New Roman" w:cs="Times New Roman"/>
        </w:rPr>
      </w:pPr>
      <w:r>
        <w:rPr>
          <w:rFonts w:ascii="Times New Roman" w:hAnsi="Times New Roman" w:cs="Times New Roman"/>
        </w:rPr>
        <w:tab/>
      </w:r>
      <w:r w:rsidR="00B81156">
        <w:rPr>
          <w:rFonts w:ascii="Times New Roman" w:hAnsi="Times New Roman" w:cs="Times New Roman"/>
        </w:rPr>
        <w:t xml:space="preserve">The incorporation of all load vectors from all orthogonal planes (mediolateral, anteroposterior, and vertical) make up the PL metric. Interestingly, the vertical component </w:t>
      </w:r>
      <w:r w:rsidR="00562524">
        <w:rPr>
          <w:rFonts w:ascii="Times New Roman" w:hAnsi="Times New Roman" w:cs="Times New Roman"/>
        </w:rPr>
        <w:t>(PL</w:t>
      </w:r>
      <w:r w:rsidR="00562524">
        <w:rPr>
          <w:rFonts w:ascii="Times New Roman" w:hAnsi="Times New Roman" w:cs="Times New Roman"/>
          <w:vertAlign w:val="superscript"/>
        </w:rPr>
        <w:t>1D-UP</w:t>
      </w:r>
      <w:r w:rsidR="00562524">
        <w:rPr>
          <w:rFonts w:ascii="Times New Roman" w:hAnsi="Times New Roman" w:cs="Times New Roman"/>
        </w:rPr>
        <w:t xml:space="preserve">) </w:t>
      </w:r>
      <w:r w:rsidR="00B81156">
        <w:rPr>
          <w:rFonts w:ascii="Times New Roman" w:hAnsi="Times New Roman" w:cs="Times New Roman"/>
        </w:rPr>
        <w:t xml:space="preserve">has shown to contribute as much as 50-60% of load accumulated, whereas </w:t>
      </w:r>
      <w:r w:rsidR="00683732">
        <w:rPr>
          <w:rFonts w:ascii="Times New Roman" w:hAnsi="Times New Roman" w:cs="Times New Roman"/>
        </w:rPr>
        <w:t xml:space="preserve">mediolateral </w:t>
      </w:r>
      <w:r w:rsidR="00562524">
        <w:rPr>
          <w:rFonts w:ascii="Times New Roman" w:hAnsi="Times New Roman" w:cs="Times New Roman"/>
        </w:rPr>
        <w:t>(PL</w:t>
      </w:r>
      <w:r w:rsidR="00562524">
        <w:rPr>
          <w:rFonts w:ascii="Times New Roman" w:hAnsi="Times New Roman" w:cs="Times New Roman"/>
          <w:vertAlign w:val="superscript"/>
        </w:rPr>
        <w:t>1D-</w:t>
      </w:r>
      <w:r w:rsidR="00562524">
        <w:rPr>
          <w:rFonts w:ascii="Times New Roman" w:hAnsi="Times New Roman" w:cs="Times New Roman"/>
          <w:vertAlign w:val="superscript"/>
        </w:rPr>
        <w:lastRenderedPageBreak/>
        <w:t>SIDE</w:t>
      </w:r>
      <w:r w:rsidR="00562524">
        <w:rPr>
          <w:rFonts w:ascii="Times New Roman" w:hAnsi="Times New Roman" w:cs="Times New Roman"/>
        </w:rPr>
        <w:t xml:space="preserve">) </w:t>
      </w:r>
      <w:r w:rsidR="00683732">
        <w:rPr>
          <w:rFonts w:ascii="Times New Roman" w:hAnsi="Times New Roman" w:cs="Times New Roman"/>
        </w:rPr>
        <w:t xml:space="preserve">and anteroposterior </w:t>
      </w:r>
      <w:r w:rsidR="00562524">
        <w:rPr>
          <w:rFonts w:ascii="Times New Roman" w:hAnsi="Times New Roman" w:cs="Times New Roman"/>
        </w:rPr>
        <w:t>(PL</w:t>
      </w:r>
      <w:r w:rsidR="00562524">
        <w:rPr>
          <w:rFonts w:ascii="Times New Roman" w:hAnsi="Times New Roman" w:cs="Times New Roman"/>
          <w:vertAlign w:val="superscript"/>
        </w:rPr>
        <w:t>1D-FWD</w:t>
      </w:r>
      <w:r w:rsidR="00562524">
        <w:rPr>
          <w:rFonts w:ascii="Times New Roman" w:hAnsi="Times New Roman" w:cs="Times New Roman"/>
        </w:rPr>
        <w:t xml:space="preserve">) </w:t>
      </w:r>
      <w:r w:rsidR="00683732">
        <w:rPr>
          <w:rFonts w:ascii="Times New Roman" w:hAnsi="Times New Roman" w:cs="Times New Roman"/>
        </w:rPr>
        <w:t xml:space="preserve">vectors have shown to only contribute 20-25% of accumulated load </w:t>
      </w:r>
      <w:r w:rsidR="009B03BB">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{"citationID":"xGzSsrMV","properties":{"formattedCitation":"(Barrett et al., 2014)","plainCitation":"(Barrett et al., 2014)","noteIndex":0},"citationItems":[{"id":539,"uris":["http://zotero.org/users/6327055/items/2JKGVD2S"],"itemData":{"id":539,"type":"article-journal","abstract":"Purpose:\n              The study aimed to establish the test–retest reliability and convergent validity of PlayerLoad™ (triaxial-accelerometer data) during a standardized bout of treadmill running.\n            \n            \n              Methods:\n              \n                Forty-four team-sport players performed 2 standardized incremental treadmill running tests (7–16 km/h) 7 d apart. Players’ oxygen uptake (VO\n                2\n                ; n = 20), heart rate (n = 44), and triaxialaccelerometer data (PlayerLoad; n = 44) measured at both the scapulae and at the center of mass (COM), were recorded. Accelerometer data from the individual component planes of PlayerLoad (anteroposterior [PL\n                AP\n                ], mediolateral [PL\n                ML\n                ], and vertical [PL\n                V\n                ]) were also examined.\n              \n            \n            \n              Results:\n              \n                Moderate to high test–retest reliability was observed for PlayerLoad and its individual planes (ICC .80–.97, CV 4.2–14.8%) at both unit locations. PlayerLoad was significantly higher at COM vs scapulae (223.4 ± 42.6 vs 185.5 ± 26.3 arbitrary units;\n                P\n                = .001). The percentage contributions of individual planes to PlayerLoad were higher for PL\n                ML\n                at the COM (scapulae 20.4% ± 3.8%, COM 26.5% ± 4.9%;\n                P\n                = .001) but lower for PL\n                V\n                (scapulae 55.7% ± 5.3%, COM 49.5% ± 6.9%;\n                P\n                = .001). Between-subjects correlations between PlayerLoad and VO\n                2\n                , and between PlayerLoad and heart rate were trivial to moderate (\n                r\n                = –.43 to .33), whereas within-subject correlations were nearly perfect (\n                r\n                = .92–.98).\n              \n            \n            \n              Conclusions:\n              PlayerLoad had a moderate to high degree of test–retest reliability and demonstrated convergent validity with measures of exercise intensity on an individual basis. However, caution should be applied in making between-athletes contrasts in loading and when using recordings from the scapulae to identify lower-limb movement patterns.","container-title":"International Journal of Sports Physiology and Performance","DOI":"10.1123/ijspp.2013-0418","ISSN":"1555-0265, 1555-0273","issue":"6","language":"en","page":"945-952","source":"DOI.org (Crossref)","title":"PlayerLoad™: reliability, convergent validity, and influence of unit position during treadmill running","title-short":"PlayerLoad™","volume":"9","author":[{"family":"Barrett","given":"Steve"},{"family":"Midgley","given":"Adrian"},{"family":"Lovell","given":"Ric"}],"issued":{"date-parts":[["2014",11]]}}}],"schema":"https://github.com/citation-style-language/schema/raw/master/csl-citation.json"} </w:instrText>
      </w:r>
      <w:r w:rsidR="009B03BB">
        <w:rPr>
          <w:rFonts w:ascii="Times New Roman" w:hAnsi="Times New Roman" w:cs="Times New Roman"/>
        </w:rPr>
        <w:fldChar w:fldCharType="separate"/>
      </w:r>
      <w:r w:rsidR="009B03BB">
        <w:rPr>
          <w:rFonts w:ascii="Times New Roman" w:hAnsi="Times New Roman" w:cs="Times New Roman"/>
          <w:noProof/>
        </w:rPr>
        <w:t>(Barrett et al., 2014)</w:t>
      </w:r>
      <w:r w:rsidR="009B03BB">
        <w:rPr>
          <w:rFonts w:ascii="Times New Roman" w:hAnsi="Times New Roman" w:cs="Times New Roman"/>
        </w:rPr>
        <w:fldChar w:fldCharType="end"/>
      </w:r>
      <w:r w:rsidR="00683732">
        <w:rPr>
          <w:rFonts w:ascii="Times New Roman" w:hAnsi="Times New Roman" w:cs="Times New Roman"/>
        </w:rPr>
        <w:t xml:space="preserve">. </w:t>
      </w:r>
      <w:r w:rsidR="00E63115">
        <w:rPr>
          <w:rFonts w:ascii="Times New Roman" w:hAnsi="Times New Roman" w:cs="Times New Roman"/>
        </w:rPr>
        <w:t xml:space="preserve">Further, omitting one of the vectors and only including 2-dimensions but is sampled and calculated the same way as PL gives the variable of </w:t>
      </w:r>
      <w:proofErr w:type="spellStart"/>
      <w:r w:rsidR="00C51106" w:rsidRPr="00152F9B">
        <w:rPr>
          <w:rFonts w:ascii="Times New Roman" w:hAnsi="Times New Roman" w:cs="Times New Roman"/>
        </w:rPr>
        <w:t>PlayerLoad</w:t>
      </w:r>
      <w:r w:rsidR="00C51106" w:rsidRPr="00152F9B">
        <w:rPr>
          <w:rFonts w:ascii="Times New Roman" w:hAnsi="Times New Roman" w:cs="Times New Roman"/>
          <w:vertAlign w:val="superscript"/>
        </w:rPr>
        <w:t>TM</w:t>
      </w:r>
      <w:proofErr w:type="spellEnd"/>
      <w:r w:rsidR="00BD150C">
        <w:rPr>
          <w:rFonts w:ascii="Times New Roman" w:hAnsi="Times New Roman" w:cs="Times New Roman"/>
        </w:rPr>
        <w:t xml:space="preserve"> 2D (PL</w:t>
      </w:r>
      <w:r w:rsidR="00BD150C">
        <w:rPr>
          <w:rFonts w:ascii="Times New Roman" w:hAnsi="Times New Roman" w:cs="Times New Roman"/>
          <w:vertAlign w:val="superscript"/>
        </w:rPr>
        <w:t>2D</w:t>
      </w:r>
      <w:r w:rsidR="00BD150C">
        <w:rPr>
          <w:rFonts w:ascii="Times New Roman" w:hAnsi="Times New Roman" w:cs="Times New Roman"/>
        </w:rPr>
        <w:t>)</w:t>
      </w:r>
      <w:r w:rsidR="00E63115">
        <w:rPr>
          <w:rFonts w:ascii="Times New Roman" w:hAnsi="Times New Roman" w:cs="Times New Roman"/>
        </w:rPr>
        <w:t xml:space="preserve">. </w:t>
      </w:r>
      <w:r w:rsidR="00A504D0">
        <w:rPr>
          <w:rFonts w:ascii="Times New Roman" w:hAnsi="Times New Roman" w:cs="Times New Roman"/>
        </w:rPr>
        <w:t xml:space="preserve">Hence, identifying or excluding certain vectors may be able to </w:t>
      </w:r>
      <w:r w:rsidR="00194C02">
        <w:rPr>
          <w:rFonts w:ascii="Times New Roman" w:hAnsi="Times New Roman" w:cs="Times New Roman"/>
        </w:rPr>
        <w:t>magnify</w:t>
      </w:r>
      <w:r w:rsidR="00A504D0">
        <w:rPr>
          <w:rFonts w:ascii="Times New Roman" w:hAnsi="Times New Roman" w:cs="Times New Roman"/>
        </w:rPr>
        <w:t xml:space="preserve"> </w:t>
      </w:r>
      <w:r w:rsidR="00194C02">
        <w:rPr>
          <w:rFonts w:ascii="Times New Roman" w:hAnsi="Times New Roman" w:cs="Times New Roman"/>
        </w:rPr>
        <w:t>specific</w:t>
      </w:r>
      <w:r w:rsidR="00A504D0">
        <w:rPr>
          <w:rFonts w:ascii="Times New Roman" w:hAnsi="Times New Roman" w:cs="Times New Roman"/>
        </w:rPr>
        <w:t xml:space="preserve"> </w:t>
      </w:r>
      <w:proofErr w:type="spellStart"/>
      <w:r w:rsidR="00A504D0">
        <w:rPr>
          <w:rFonts w:ascii="Times New Roman" w:hAnsi="Times New Roman" w:cs="Times New Roman"/>
        </w:rPr>
        <w:t>eTL</w:t>
      </w:r>
      <w:proofErr w:type="spellEnd"/>
      <w:r w:rsidR="00A504D0">
        <w:rPr>
          <w:rFonts w:ascii="Times New Roman" w:hAnsi="Times New Roman" w:cs="Times New Roman"/>
        </w:rPr>
        <w:t xml:space="preserve"> demands</w:t>
      </w:r>
      <w:r w:rsidR="002A4D90">
        <w:rPr>
          <w:rFonts w:ascii="Times New Roman" w:hAnsi="Times New Roman" w:cs="Times New Roman"/>
        </w:rPr>
        <w:t>.</w:t>
      </w:r>
      <w:r w:rsidR="00CD3CF4">
        <w:rPr>
          <w:rFonts w:ascii="Times New Roman" w:hAnsi="Times New Roman" w:cs="Times New Roman"/>
        </w:rPr>
        <w:t xml:space="preserve"> </w:t>
      </w:r>
    </w:p>
    <w:p w14:paraId="0A96E978" w14:textId="475A6E72" w:rsidR="00172639" w:rsidRPr="0008709F" w:rsidRDefault="003E4BE4" w:rsidP="00476C40">
      <w:pPr>
        <w:spacing w:line="480" w:lineRule="auto"/>
        <w:ind w:firstLine="720"/>
        <w:jc w:val="both"/>
        <w:rPr>
          <w:rFonts w:ascii="Times New Roman" w:hAnsi="Times New Roman" w:cs="Times New Roman"/>
        </w:rPr>
      </w:pPr>
      <w:r>
        <w:rPr>
          <w:rFonts w:ascii="Times New Roman" w:hAnsi="Times New Roman" w:cs="Times New Roman"/>
        </w:rPr>
        <w:t xml:space="preserve">Moreover, </w:t>
      </w:r>
      <w:r w:rsidR="00C51106">
        <w:rPr>
          <w:rFonts w:ascii="Times New Roman" w:hAnsi="Times New Roman" w:cs="Times New Roman"/>
        </w:rPr>
        <w:t>distinct acceleration micro-movement events generated through explosive bouts</w:t>
      </w:r>
      <w:r w:rsidR="00D14F52">
        <w:rPr>
          <w:rFonts w:ascii="Times New Roman" w:hAnsi="Times New Roman" w:cs="Times New Roman"/>
        </w:rPr>
        <w:t>, such as accelerations, decelerations, change of direction movements,</w:t>
      </w:r>
      <w:r w:rsidR="00C51106">
        <w:rPr>
          <w:rFonts w:ascii="Times New Roman" w:hAnsi="Times New Roman" w:cs="Times New Roman"/>
        </w:rPr>
        <w:t xml:space="preserve"> commonly performed during team sport activities is known as an Inertial Movement </w:t>
      </w:r>
      <w:proofErr w:type="spellStart"/>
      <w:r w:rsidR="00C51106">
        <w:rPr>
          <w:rFonts w:ascii="Times New Roman" w:hAnsi="Times New Roman" w:cs="Times New Roman"/>
        </w:rPr>
        <w:t>Analysis</w:t>
      </w:r>
      <w:r w:rsidR="00C51106" w:rsidRPr="00152F9B">
        <w:rPr>
          <w:rFonts w:ascii="Times New Roman" w:hAnsi="Times New Roman" w:cs="Times New Roman"/>
          <w:vertAlign w:val="superscript"/>
        </w:rPr>
        <w:t>TM</w:t>
      </w:r>
      <w:proofErr w:type="spellEnd"/>
      <w:r w:rsidR="00C51106">
        <w:rPr>
          <w:rFonts w:ascii="Times New Roman" w:hAnsi="Times New Roman" w:cs="Times New Roman"/>
          <w:vertAlign w:val="superscript"/>
        </w:rPr>
        <w:t xml:space="preserve"> </w:t>
      </w:r>
      <w:r w:rsidR="00787230">
        <w:rPr>
          <w:rFonts w:ascii="Times New Roman" w:hAnsi="Times New Roman" w:cs="Times New Roman"/>
        </w:rPr>
        <w:t xml:space="preserve">(IMA) </w:t>
      </w:r>
      <w:r w:rsidR="00C51106">
        <w:rPr>
          <w:rFonts w:ascii="Times New Roman" w:hAnsi="Times New Roman" w:cs="Times New Roman"/>
        </w:rPr>
        <w:t>within the Catapult systems and are expressed as count data (</w:t>
      </w:r>
      <w:proofErr w:type="spellStart"/>
      <w:r w:rsidR="00C51106">
        <w:rPr>
          <w:rFonts w:ascii="Times New Roman" w:hAnsi="Times New Roman" w:cs="Times New Roman"/>
        </w:rPr>
        <w:t>ct</w:t>
      </w:r>
      <w:proofErr w:type="spellEnd"/>
      <w:r w:rsidR="00C51106">
        <w:rPr>
          <w:rFonts w:ascii="Times New Roman" w:hAnsi="Times New Roman" w:cs="Times New Roman"/>
        </w:rPr>
        <w:t>)</w:t>
      </w:r>
      <w:r w:rsidR="00D14F52">
        <w:rPr>
          <w:rFonts w:ascii="Times New Roman" w:hAnsi="Times New Roman" w:cs="Times New Roman"/>
        </w:rPr>
        <w:t xml:space="preserve"> </w:t>
      </w:r>
      <w:r w:rsidR="00D14F52">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{"citationID":"0uSR9wbX","properties":{"formattedCitation":"(A. Heishman, Miller, et al., 2020; Holme, 2015)","plainCitation":"(A. Heishman, Miller, et al., 2020; Holme, 2015)","noteIndex":0},"citationItems":[{"id":523,"uris":["http://zotero.org/users/6327055/items/5S9IURDG"],"itemData":{"id":523,"type":"article-journal","abstract":"Limited research has paralleled concomitant changes in external training load (eTL) and countermovement jump (CMJ) performance. Therefore, this investigation characterized eTL and CMJ performance changes across preseason training in Division 1 male collegiate basketball athletes, while examining the influence of position (Guard vs. Forward/Center) and scholarship status (Scholarship = S vs. Walk-on = WO). During 22 practices, eTL was monitored in 14 male athletes, with weekly CMJs performed to quantify neuromuscular performance (Jump Height [JH], Flight Time:Contraction Time [FT:CT], Reactive Strength Index Modified [RSIMod ]). PlayerLoad per minute was significantly higher during W1 and W2 (5.4 ± 1.3au and 5.3 ± 1.2au, respectively; p &lt; 0.05) compared to subsequent weeks, but no additional differences in eTL parameters across time were observed. Scholarship athletes displayed greater PlayerLoad (S = 777.1 ± 35.6, WO = 530.1 ± 56.20; Inertial Movement Analysis (IMA) IMA_High (S = 70.9 ± 15.2, WO = 41.3 ± 15.2); IMA_Medium (S = 159.9 ± 30.7, WO = 92.7 ± 30.6); and IMA_Low (S = 700.6 ± 105.1, WO = 405 ± 105.0;) (p &lt; 0.05), with no observed differences in eTL by position. Moderate decreases in FT:CT and RSIMod paralleled increased eTL. Significant increases in practice intensity (W1 and W2) did not impact CMJ performance, suggesting athletes could cope with the prescribed training loads. However, moderate perturbations in FT:CT and RSIMod paralleled the weeks with intensified training. Cumulatively, scholarship status appears to influence eTL while player position does not.","container-title":"Medicine &amp; Science in Sports &amp; Exercise","DOI":"10.1249/01.mss.0000560595.64671.b6","ISSN":"1530-0315, 0195-9131","issue":"6S","language":"en","page":"35-35","source":"DOI.org (Crossref)","title":"Monitoring external training loads and neuromuscular performance for division 1 basketball players over the pre-season","title-short":"Monitoring External Training Loads and Neuromuscular Performance For Division I Basketball Players Over the Pre-Season","volume":"51","author":[{"family":"Heishman","given":"Aaron"},{"family":"Miller","given":"Ryan"},{"family":"Freitas","given":"Eduardo"},{"family":"Brown","given":"Brady"},{"family":"Daub","given":"Bryce"},{"family":"Bemben","given":"Michael"}],"issued":{"date-parts":[["2020",2]]}}},{"id":286,"uris":["http://zotero.org/users/6327055/items/65YA8HC9"],"itemData":{"id":286,"type":"article-journal","abstract":"....................................................................................................... 3","container-title":"Norwegian School of Sport Sciences, Olso","language":"en","source":"www.semanticscholar.org","title":"Wearable microsensor technology to measure physical activity demands in handball: a reliability study of inertial movement analysis and player load","title-short":"Wearable microsensor technology to measure physical activity demands in handball","URL":"/paper/Wearable-microsensor-technology-to-measure-physical-Holme/80af29628bc86bfaecea9c350efe0524c98cabca","author":[{"family":"Holme","given":"B."}],"accessed":{"date-parts":[["2021",3,28]]},"issued":{"date-parts":[["2015"]]}}}],"schema":"https://github.com/citation-style-language/schema/raw/master/csl-citation.json"} </w:instrText>
      </w:r>
      <w:r w:rsidR="00D14F52">
        <w:rPr>
          <w:rFonts w:ascii="Times New Roman" w:hAnsi="Times New Roman" w:cs="Times New Roman"/>
        </w:rPr>
        <w:fldChar w:fldCharType="separate"/>
      </w:r>
      <w:r w:rsidR="00D14F52">
        <w:rPr>
          <w:rFonts w:ascii="Times New Roman" w:hAnsi="Times New Roman" w:cs="Times New Roman"/>
          <w:noProof/>
        </w:rPr>
        <w:t>(A. Heishman, Miller, et al., 2020; Holme, 2015)</w:t>
      </w:r>
      <w:r w:rsidR="00D14F52">
        <w:rPr>
          <w:rFonts w:ascii="Times New Roman" w:hAnsi="Times New Roman" w:cs="Times New Roman"/>
        </w:rPr>
        <w:fldChar w:fldCharType="end"/>
      </w:r>
      <w:r w:rsidR="00C51106">
        <w:rPr>
          <w:rFonts w:ascii="Times New Roman" w:hAnsi="Times New Roman" w:cs="Times New Roman"/>
        </w:rPr>
        <w:t xml:space="preserve">. </w:t>
      </w:r>
      <w:r w:rsidR="00C949B1">
        <w:rPr>
          <w:rFonts w:ascii="Times New Roman" w:hAnsi="Times New Roman" w:cs="Times New Roman"/>
        </w:rPr>
        <w:t>The magnitude of these movement are able to be characterized within specific intensity bands, including low (</w:t>
      </w:r>
      <w:r w:rsidR="00084CC7">
        <w:rPr>
          <w:rFonts w:ascii="Times New Roman" w:hAnsi="Times New Roman" w:cs="Times New Roman"/>
        </w:rPr>
        <w:t xml:space="preserve">1.5 to 2.5 </w:t>
      </w:r>
      <w:r w:rsidR="00084CC7" w:rsidRPr="00084CC7">
        <w:rPr>
          <w:rFonts w:ascii="Times New Roman" w:hAnsi="Times New Roman" w:cs="Times New Roman"/>
          <w:lang w:bidi="en-US"/>
        </w:rPr>
        <w:t>m·s</w:t>
      </w:r>
      <w:r w:rsidR="00084CC7" w:rsidRPr="00084CC7">
        <w:rPr>
          <w:rFonts w:ascii="Times New Roman" w:hAnsi="Times New Roman" w:cs="Times New Roman"/>
          <w:vertAlign w:val="superscript"/>
          <w:lang w:bidi="en-US"/>
        </w:rPr>
        <w:t>-1</w:t>
      </w:r>
      <w:r w:rsidR="00C949B1">
        <w:rPr>
          <w:rFonts w:ascii="Times New Roman" w:hAnsi="Times New Roman" w:cs="Times New Roman"/>
        </w:rPr>
        <w:t>), medium</w:t>
      </w:r>
      <w:r w:rsidR="00084CC7">
        <w:rPr>
          <w:rFonts w:ascii="Times New Roman" w:hAnsi="Times New Roman" w:cs="Times New Roman"/>
        </w:rPr>
        <w:t xml:space="preserve"> (2.5 to 3.5 </w:t>
      </w:r>
      <w:r w:rsidR="00084CC7" w:rsidRPr="00084CC7">
        <w:rPr>
          <w:rFonts w:ascii="Times New Roman" w:hAnsi="Times New Roman" w:cs="Times New Roman"/>
          <w:lang w:bidi="en-US"/>
        </w:rPr>
        <w:t>m·s</w:t>
      </w:r>
      <w:r w:rsidR="00084CC7" w:rsidRPr="00084CC7">
        <w:rPr>
          <w:rFonts w:ascii="Times New Roman" w:hAnsi="Times New Roman" w:cs="Times New Roman"/>
          <w:vertAlign w:val="superscript"/>
          <w:lang w:bidi="en-US"/>
        </w:rPr>
        <w:t>-1</w:t>
      </w:r>
      <w:r w:rsidR="00084CC7">
        <w:rPr>
          <w:rFonts w:ascii="Times New Roman" w:hAnsi="Times New Roman" w:cs="Times New Roman"/>
        </w:rPr>
        <w:t>)</w:t>
      </w:r>
      <w:r w:rsidR="00C949B1">
        <w:rPr>
          <w:rFonts w:ascii="Times New Roman" w:hAnsi="Times New Roman" w:cs="Times New Roman"/>
        </w:rPr>
        <w:t>, and high</w:t>
      </w:r>
      <w:r w:rsidR="00084CC7">
        <w:rPr>
          <w:rFonts w:ascii="Times New Roman" w:hAnsi="Times New Roman" w:cs="Times New Roman"/>
        </w:rPr>
        <w:t xml:space="preserve"> (&gt; 3.5 </w:t>
      </w:r>
      <w:r w:rsidR="00084CC7" w:rsidRPr="00084CC7">
        <w:rPr>
          <w:rFonts w:ascii="Times New Roman" w:hAnsi="Times New Roman" w:cs="Times New Roman"/>
          <w:lang w:bidi="en-US"/>
        </w:rPr>
        <w:t>m·s</w:t>
      </w:r>
      <w:r w:rsidR="00084CC7" w:rsidRPr="00084CC7">
        <w:rPr>
          <w:rFonts w:ascii="Times New Roman" w:hAnsi="Times New Roman" w:cs="Times New Roman"/>
          <w:vertAlign w:val="superscript"/>
          <w:lang w:bidi="en-US"/>
        </w:rPr>
        <w:t>-1</w:t>
      </w:r>
      <w:r w:rsidR="00084CC7">
        <w:rPr>
          <w:rFonts w:ascii="Times New Roman" w:hAnsi="Times New Roman" w:cs="Times New Roman"/>
        </w:rPr>
        <w:t xml:space="preserve">) intensities </w:t>
      </w:r>
      <w:r w:rsidR="00084CC7">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{"citationID":"jYlyC8E5","properties":{"formattedCitation":"(A. Heishman, Miller, et al., 2020)","plainCitation":"(A. Heishman, Miller, et al., 2020)","noteIndex":0},"citationItems":[{"id":523,"uris":["http://zotero.org/users/6327055/items/5S9IURDG"],"itemData":{"id":523,"type":"article-journal","abstract":"Limited research has paralleled concomitant changes in external training load (eTL) and countermovement jump (CMJ) performance. Therefore, this investigation characterized eTL and CMJ performance changes across preseason training in Division 1 male collegiate basketball athletes, while examining the influence of position (Guard vs. Forward/Center) and scholarship status (Scholarship = S vs. Walk-on = WO). During 22 practices, eTL was monitored in 14 male athletes, with weekly CMJs performed to quantify neuromuscular performance (Jump Height [JH], Flight Time:Contraction Time [FT:CT], Reactive Strength Index Modified [RSIMod ]). PlayerLoad per minute was significantly higher during W1 and W2 (5.4 ± 1.3au and 5.3 ± 1.2au, respectively; p &lt; 0.05) compared to subsequent weeks, but no additional differences in eTL parameters across time were observed. Scholarship athletes displayed greater PlayerLoad (S = 777.1 ± 35.6, WO = 530.1 ± 56.20; Inertial Movement Analysis (IMA) IMA_High (S = 70.9 ± 15.2, WO = 41.3 ± 15.2); IMA_Medium (S = 159.9 ± 30.7, WO = 92.7 ± 30.6); and IMA_Low (S = 700.6 ± 105.1, WO = 405 ± 105.0;) (p &lt; 0.05), with no observed differences in eTL by position. Moderate decreases in FT:CT and RSIMod paralleled increased eTL. Significant increases in practice intensity (W1 and W2) did not impact CMJ performance, suggesting athletes could cope with the prescribed training loads. However, moderate perturbations in FT:CT and RSIMod paralleled the weeks with intensified training. Cumulatively, scholarship status appears to influence eTL while player position does not.","container-title":"Medicine &amp; Science in Sports &amp; Exercise","DOI":"10.1249/01.mss.0000560595.64671.b6","ISSN":"1530-0315, 0195-9131","issue":"6S","language":"en","page":"35-35","source":"DOI.org (Crossref)","title":"Monitoring external training loads and neuromuscular performance for division 1 basketball players over the pre-season","title-short":"Monitoring External Training Loads and Neuromuscular Performance For Division I Basketball Players Over the Pre-Season","volume":"51","author":[{"family":"Heishman","given":"Aaron"},{"family":"Miller","given":"Ryan"},{"family":"Freitas","given":"Eduardo"},{"family":"Brown","given":"Brady"},{"family":"Daub","given":"Bryce"},{"family":"Bemben","given":"Michael"}],"issued":{"date-parts":[["2020",2]]}}}],"schema":"https://github.com/citation-style-language/schema/raw/master/csl-citation.json"} </w:instrText>
      </w:r>
      <w:r w:rsidR="00084CC7">
        <w:rPr>
          <w:rFonts w:ascii="Times New Roman" w:hAnsi="Times New Roman" w:cs="Times New Roman"/>
        </w:rPr>
        <w:fldChar w:fldCharType="separate"/>
      </w:r>
      <w:r w:rsidR="00084CC7">
        <w:rPr>
          <w:rFonts w:ascii="Times New Roman" w:hAnsi="Times New Roman" w:cs="Times New Roman"/>
          <w:noProof/>
        </w:rPr>
        <w:t>(A. Heishman, Miller, et al., 2020)</w:t>
      </w:r>
      <w:r w:rsidR="00084CC7">
        <w:rPr>
          <w:rFonts w:ascii="Times New Roman" w:hAnsi="Times New Roman" w:cs="Times New Roman"/>
        </w:rPr>
        <w:fldChar w:fldCharType="end"/>
      </w:r>
      <w:r w:rsidR="00084CC7">
        <w:rPr>
          <w:rFonts w:ascii="Times New Roman" w:hAnsi="Times New Roman" w:cs="Times New Roman"/>
        </w:rPr>
        <w:t xml:space="preserve">. </w:t>
      </w:r>
    </w:p>
    <w:p w14:paraId="4FEA7D6B" w14:textId="7A9EC006" w:rsidR="003F3D08" w:rsidRPr="00FC08AB" w:rsidRDefault="003F3D08" w:rsidP="00FC08AB">
      <w:pPr>
        <w:pStyle w:val="Heading3"/>
        <w:spacing w:line="480" w:lineRule="auto"/>
        <w:rPr>
          <w:rFonts w:ascii="Times New Roman" w:hAnsi="Times New Roman" w:cs="Times New Roman"/>
          <w:b/>
          <w:bCs/>
          <w:i/>
          <w:iCs/>
          <w:color w:val="000000" w:themeColor="text1"/>
        </w:rPr>
      </w:pPr>
      <w:bookmarkStart w:id="30" w:name="_Toc99267609"/>
      <w:r w:rsidRPr="00FC08AB">
        <w:rPr>
          <w:rFonts w:ascii="Times New Roman" w:hAnsi="Times New Roman" w:cs="Times New Roman"/>
          <w:b/>
          <w:bCs/>
          <w:i/>
          <w:iCs/>
          <w:color w:val="000000" w:themeColor="text1"/>
        </w:rPr>
        <w:t>Internal Training Load</w:t>
      </w:r>
      <w:bookmarkEnd w:id="30"/>
    </w:p>
    <w:p w14:paraId="71DA4663" w14:textId="3B5C03EE" w:rsidR="003F3D08" w:rsidRDefault="003F3D08" w:rsidP="003F3D08">
      <w:pPr>
        <w:spacing w:line="480" w:lineRule="auto"/>
        <w:jc w:val="both"/>
        <w:rPr>
          <w:rFonts w:ascii="Times New Roman" w:hAnsi="Times New Roman" w:cs="Times New Roman"/>
        </w:rPr>
      </w:pPr>
      <w:r>
        <w:rPr>
          <w:rFonts w:ascii="Times New Roman" w:hAnsi="Times New Roman" w:cs="Times New Roman"/>
        </w:rPr>
        <w:tab/>
        <w:t>The quantification of internal training load (</w:t>
      </w:r>
      <w:proofErr w:type="spellStart"/>
      <w:r>
        <w:rPr>
          <w:rFonts w:ascii="Times New Roman" w:hAnsi="Times New Roman" w:cs="Times New Roman"/>
        </w:rPr>
        <w:t>iTL</w:t>
      </w:r>
      <w:proofErr w:type="spellEnd"/>
      <w:r>
        <w:rPr>
          <w:rFonts w:ascii="Times New Roman" w:hAnsi="Times New Roman" w:cs="Times New Roman"/>
        </w:rPr>
        <w:t xml:space="preserve">) is known as the relative biological response to a stimuli inflicted on the athlete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{"citationID":"ApR1d54G","properties":{"formattedCitation":"(Halson, 2014; A. Heishman et al., 2018)","plainCitation":"(Halson, 2014; A. Heishman et al., 2018)","noteIndex":0},"citationItems":[{"id":265,"uris":["http://zotero.org/users/6327055/items/E6RD28YW"],"itemData":{"id":265,"type":"article-journal","container-title":"Sports Medicine","DOI":"10.1007/s40279-014-0253-z","ISSN":"0112-1642, 1179-2035","issue":"S2","journalAbbreviation":"Sports Med","language":"en","page":"139-147","source":"DOI.org (Crossref)","title":"Monitoring training load to understand fatigue in athletes","volume":"44","author":[{"family":"Halson","given":"Shona L."}],"issued":{"date-parts":[["2014",11]]}}},{"id":267,"uris":["http://zotero.org/users/6327055/items/V555YN52"],"itemData":{"id":267,"type":"article-journal","container-title":"Journal of Strength and Conditioning Research","DOI":"10.1519/JSC.0000000000002413","ISSN":"1064-8011","issue":"5","language":"en","page":"1280-1287","source":"DOI.org (Crossref)","title":"Noninvasive assessment of internal and external player load: Implications for optimizing athletic performance","title-short":"Noninvasive Assessment of Internal and External Player Load","volume":"32","author":[{"family":"Heishman","given":"Aaron"},{"family":"Curtis","given":"Michael"},{"family":"Saliba","given":"Ethan"},{"family":"Hornett","given":"Robert"},{"family":"Malin","given":"Steven"},{"family":"Weltman","given":"Arthur"}],"issued":{"date-parts":[["2018",5]]}}}],"schema":"https://github.com/citation-style-language/schema/raw/master/csl-citation.json"} </w:instrText>
      </w:r>
      <w:r w:rsidR="00C46796">
        <w:rPr>
          <w:rFonts w:ascii="Times New Roman" w:hAnsi="Times New Roman" w:cs="Times New Roman"/>
          <w:noProof/>
        </w:rPr>
        <w:fldChar w:fldCharType="separate"/>
      </w:r>
      <w:r w:rsidR="00546507">
        <w:rPr>
          <w:rFonts w:ascii="Times New Roman" w:hAnsi="Times New Roman" w:cs="Times New Roman"/>
          <w:noProof/>
        </w:rPr>
        <w:t>(Halson, 2014; A. Heishman et al., 2018)</w:t>
      </w:r>
      <w:r w:rsidR="00C46796">
        <w:rPr>
          <w:rFonts w:ascii="Times New Roman" w:hAnsi="Times New Roman" w:cs="Times New Roman"/>
          <w:noProof/>
        </w:rPr>
        <w:fldChar w:fldCharType="end"/>
      </w:r>
      <w:r>
        <w:rPr>
          <w:rFonts w:ascii="Times New Roman" w:hAnsi="Times New Roman" w:cs="Times New Roman"/>
        </w:rPr>
        <w:t xml:space="preserve">. One way to assess the </w:t>
      </w:r>
      <w:proofErr w:type="spellStart"/>
      <w:r>
        <w:rPr>
          <w:rFonts w:ascii="Times New Roman" w:hAnsi="Times New Roman" w:cs="Times New Roman"/>
        </w:rPr>
        <w:t>iTL</w:t>
      </w:r>
      <w:proofErr w:type="spellEnd"/>
      <w:r>
        <w:rPr>
          <w:rFonts w:ascii="Times New Roman" w:hAnsi="Times New Roman" w:cs="Times New Roman"/>
        </w:rPr>
        <w:t xml:space="preserve"> is through perceptual interpretations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{"citationID":"phPkrGjp","properties":{"formattedCitation":"(Halson, 2014)","plainCitation":"(Halson, 2014)","noteIndex":0},"citationItems":[{"id":265,"uris":["http://zotero.org/users/6327055/items/E6RD28YW"],"itemData":{"id":265,"type":"article-journal","container-title":"Sports Medicine","DOI":"10.1007/s40279-014-0253-z","ISSN":"0112-1642, 1179-2035","issue":"S2","journalAbbreviation":"Sports Med","language":"en","page":"139-147","source":"DOI.org (Crossref)","title":"Monitoring training load to understand fatigue in athletes","volume":"44","author":[{"family":"Halson","given":"Shona L."}],"issued":{"date-parts":[["2014",11]]}}}],"schema":"https://github.com/citation-style-language/schema/raw/master/csl-citation.json"} </w:instrText>
      </w:r>
      <w:r w:rsidR="00C46796">
        <w:rPr>
          <w:rFonts w:ascii="Times New Roman" w:hAnsi="Times New Roman" w:cs="Times New Roman"/>
          <w:noProof/>
        </w:rPr>
        <w:fldChar w:fldCharType="separate"/>
      </w:r>
      <w:r w:rsidR="00C46796">
        <w:rPr>
          <w:rFonts w:ascii="Times New Roman" w:hAnsi="Times New Roman" w:cs="Times New Roman"/>
          <w:noProof/>
        </w:rPr>
        <w:t>(Halson, 2014)</w:t>
      </w:r>
      <w:r w:rsidR="00C46796">
        <w:rPr>
          <w:rFonts w:ascii="Times New Roman" w:hAnsi="Times New Roman" w:cs="Times New Roman"/>
          <w:noProof/>
        </w:rPr>
        <w:fldChar w:fldCharType="end"/>
      </w:r>
      <w:r>
        <w:rPr>
          <w:rFonts w:ascii="Times New Roman" w:hAnsi="Times New Roman" w:cs="Times New Roman"/>
        </w:rPr>
        <w:t xml:space="preserve">. A common method is done through ratings or perceived exertion (RPE), where the athletes are asked how difficult </w:t>
      </w:r>
      <w:r w:rsidR="00D4361C">
        <w:rPr>
          <w:rFonts w:ascii="Times New Roman" w:hAnsi="Times New Roman" w:cs="Times New Roman"/>
        </w:rPr>
        <w:t xml:space="preserve">or intense </w:t>
      </w:r>
      <w:r>
        <w:rPr>
          <w:rFonts w:ascii="Times New Roman" w:hAnsi="Times New Roman" w:cs="Times New Roman"/>
        </w:rPr>
        <w:t xml:space="preserve">the training session was based on a scale usually numbered 1-10 and typically at the cessation of activity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{"citationID":"ehemwQEA","properties":{"formattedCitation":"(Halson, 2014)","plainCitation":"(Halson, 2014)","noteIndex":0},"citationItems":[{"id":265,"uris":["http://zotero.org/users/6327055/items/E6RD28YW"],"itemData":{"id":265,"type":"article-journal","container-title":"Sports Medicine","DOI":"10.1007/s40279-014-0253-z","ISSN":"0112-1642, 1179-2035","issue":"S2","journalAbbreviation":"Sports Med","language":"en","page":"139-147","source":"DOI.org (Crossref)","title":"Monitoring training load to understand fatigue in athletes","volume":"44","author":[{"family":"Halson","given":"Shona L."}],"issued":{"date-parts":[["2014",11]]}}}],"schema":"https://github.com/citation-style-language/schema/raw/master/csl-citation.json"} </w:instrText>
      </w:r>
      <w:r w:rsidR="00C46796">
        <w:rPr>
          <w:rFonts w:ascii="Times New Roman" w:hAnsi="Times New Roman" w:cs="Times New Roman"/>
          <w:noProof/>
        </w:rPr>
        <w:fldChar w:fldCharType="separate"/>
      </w:r>
      <w:r w:rsidR="00C46796">
        <w:rPr>
          <w:rFonts w:ascii="Times New Roman" w:hAnsi="Times New Roman" w:cs="Times New Roman"/>
          <w:noProof/>
        </w:rPr>
        <w:t>(Halson, 2014)</w:t>
      </w:r>
      <w:r w:rsidR="00C46796">
        <w:rPr>
          <w:rFonts w:ascii="Times New Roman" w:hAnsi="Times New Roman" w:cs="Times New Roman"/>
          <w:noProof/>
        </w:rPr>
        <w:fldChar w:fldCharType="end"/>
      </w:r>
      <w:r>
        <w:rPr>
          <w:rFonts w:ascii="Times New Roman" w:hAnsi="Times New Roman" w:cs="Times New Roman"/>
        </w:rPr>
        <w:t xml:space="preserve">. </w:t>
      </w:r>
      <w:r w:rsidR="00D4361C">
        <w:rPr>
          <w:rFonts w:ascii="Times New Roman" w:hAnsi="Times New Roman" w:cs="Times New Roman"/>
        </w:rPr>
        <w:t xml:space="preserve">The convenient and inexpensive use of gathering </w:t>
      </w:r>
      <w:proofErr w:type="spellStart"/>
      <w:r w:rsidR="00D4361C">
        <w:rPr>
          <w:rFonts w:ascii="Times New Roman" w:hAnsi="Times New Roman" w:cs="Times New Roman"/>
        </w:rPr>
        <w:t>iTL</w:t>
      </w:r>
      <w:proofErr w:type="spellEnd"/>
      <w:r w:rsidR="00D4361C">
        <w:rPr>
          <w:rFonts w:ascii="Times New Roman" w:hAnsi="Times New Roman" w:cs="Times New Roman"/>
        </w:rPr>
        <w:t xml:space="preserve"> </w:t>
      </w:r>
      <w:r w:rsidR="00C607CD">
        <w:rPr>
          <w:rFonts w:ascii="Times New Roman" w:hAnsi="Times New Roman" w:cs="Times New Roman"/>
        </w:rPr>
        <w:t xml:space="preserve">through these perceptual measures </w:t>
      </w:r>
      <w:r w:rsidR="00D4361C">
        <w:rPr>
          <w:rFonts w:ascii="Times New Roman" w:hAnsi="Times New Roman" w:cs="Times New Roman"/>
        </w:rPr>
        <w:t>makes this an attractive method</w:t>
      </w:r>
      <w:r w:rsidR="00C607CD">
        <w:rPr>
          <w:rFonts w:ascii="Times New Roman" w:hAnsi="Times New Roman" w:cs="Times New Roman"/>
        </w:rPr>
        <w:t>,</w:t>
      </w:r>
      <w:r w:rsidR="00D4361C">
        <w:rPr>
          <w:rFonts w:ascii="Times New Roman" w:hAnsi="Times New Roman" w:cs="Times New Roman"/>
        </w:rPr>
        <w:t xml:space="preserve"> especially while displaying </w:t>
      </w:r>
      <w:r>
        <w:rPr>
          <w:rFonts w:ascii="Times New Roman" w:hAnsi="Times New Roman" w:cs="Times New Roman"/>
        </w:rPr>
        <w:t>a strong association with internal parameters such as heart rate</w:t>
      </w:r>
      <w:r w:rsidR="00D233A9">
        <w:rPr>
          <w:rFonts w:ascii="Times New Roman" w:hAnsi="Times New Roman" w:cs="Times New Roman"/>
        </w:rPr>
        <w:t xml:space="preserve"> as well as </w:t>
      </w:r>
      <w:proofErr w:type="spellStart"/>
      <w:r w:rsidR="00D233A9">
        <w:rPr>
          <w:rFonts w:ascii="Times New Roman" w:hAnsi="Times New Roman" w:cs="Times New Roman"/>
        </w:rPr>
        <w:t>eTL</w:t>
      </w:r>
      <w:proofErr w:type="spellEnd"/>
      <w:r w:rsidR="00D233A9">
        <w:rPr>
          <w:rFonts w:ascii="Times New Roman" w:hAnsi="Times New Roman" w:cs="Times New Roman"/>
        </w:rPr>
        <w:t xml:space="preserve"> indices</w:t>
      </w:r>
      <w:r>
        <w:rPr>
          <w:rFonts w:ascii="Times New Roman" w:hAnsi="Times New Roman" w:cs="Times New Roman"/>
        </w:rPr>
        <w:t xml:space="preserve">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{"citationID":"Hcp01Xw8","properties":{"formattedCitation":"(Borresen &amp; Ian Lambert, 2009; Halson, 2014; McLaren et al., 2018)","plainCitation":"(Borresen &amp; Ian Lambert, 2009; Halson, 2014; McLaren et al., 2018)","noteIndex":0},"citationItems":[{"id":296,"uris":["http://zotero.org/users/6327055/items/9TUCBEKF"],"itemData":{"id":296,"type":"article-journal","container-title":"Sports Medicine","DOI":"10.2165/11317780-000000000-00000","ISSN":"0112-1642","issue":"9","journalAbbreviation":"Sports Medicine","language":"en","page":"779-795","source":"DOI.org (Crossref)","title":"The quantification of training load, the training response and the effect on performance:","title-short":"The Quantification of Training Load, the Training Response and the Effect on Performance","volume":"39","author":[{"family":"Borresen","given":"Jill"},{"family":"Ian Lambert","given":"Michael"}],"issued":{"date-parts":[["2009",9]]}}},{"id":265,"uris":["http://zotero.org/users/6327055/items/E6RD28YW"],"itemData":{"id":265,"type":"article-journal","container-title":"Sports Medicine","DOI":"10.1007/s40279-014-0253-z","ISSN":"0112-1642, 1179-2035","issue":"S2","journalAbbreviation":"Sports Med","language":"en","page":"139-147","source":"DOI.org (Crossref)","title":"Monitoring training load to understand fatigue in athletes","volume":"44","author":[{"family":"Halson","given":"Shona L."}],"issued":{"date-parts":[["2014",11]]}}},{"id":527,"uris":["http://zotero.org/users/6327055/items/F8C2H3P2"],"itemData":{"id":527,"type":"article-journal","abstract":"Background The associations between internal and external measures of training load and intensity are important in understanding the training process and the validity of speciﬁc internal measures.","container-title":"Sports Medicine","DOI":"10.1007/s40279-017-0830-z","ISSN":"0112-1642, 1179-2035","issue":"3","journalAbbreviation":"Sports Med","language":"en","page":"641-658","source":"DOI.org (Crossref)","title":"The relationships between internal and external measures of training load and intensity in team sports: a meta-analysis","title-short":"The Relationships Between Internal and External Measures of Training Load and Intensity in Team Sports","volume":"48","author":[{"family":"McLaren","given":"Shaun J."},{"family":"Macpherson","given":"Tom W."},{"family":"Coutts","given":"Aaron J."},{"family":"Hurst","given":"Christopher"},{"family":"Spears","given":"Iain R."},{"family":"Weston","given":"Matthew"}],"issued":{"date-parts":[["2018",3]]}}}],"schema":"https://github.com/citation-style-language/schema/raw/master/csl-citation.json"} </w:instrText>
      </w:r>
      <w:r w:rsidR="00C46796">
        <w:rPr>
          <w:rFonts w:ascii="Times New Roman" w:hAnsi="Times New Roman" w:cs="Times New Roman"/>
          <w:noProof/>
        </w:rPr>
        <w:fldChar w:fldCharType="separate"/>
      </w:r>
      <w:r w:rsidR="00D233A9">
        <w:rPr>
          <w:rFonts w:ascii="Times New Roman" w:hAnsi="Times New Roman" w:cs="Times New Roman"/>
          <w:noProof/>
        </w:rPr>
        <w:t>(Borresen &amp; Ian Lambert, 2009; Halson, 2014; McLaren et al., 2018)</w:t>
      </w:r>
      <w:r w:rsidR="00C46796">
        <w:rPr>
          <w:rFonts w:ascii="Times New Roman" w:hAnsi="Times New Roman" w:cs="Times New Roman"/>
          <w:noProof/>
        </w:rPr>
        <w:fldChar w:fldCharType="end"/>
      </w:r>
      <w:r>
        <w:rPr>
          <w:rFonts w:ascii="Times New Roman" w:hAnsi="Times New Roman" w:cs="Times New Roman"/>
        </w:rPr>
        <w:t xml:space="preserve">. </w:t>
      </w:r>
      <w:r w:rsidR="007D210D">
        <w:rPr>
          <w:rFonts w:ascii="Times New Roman" w:hAnsi="Times New Roman" w:cs="Times New Roman"/>
        </w:rPr>
        <w:t xml:space="preserve">Additionally, the perceptual </w:t>
      </w:r>
      <w:proofErr w:type="spellStart"/>
      <w:r w:rsidR="007D210D">
        <w:rPr>
          <w:rFonts w:ascii="Times New Roman" w:hAnsi="Times New Roman" w:cs="Times New Roman"/>
        </w:rPr>
        <w:t>iTL</w:t>
      </w:r>
      <w:proofErr w:type="spellEnd"/>
      <w:r w:rsidR="007D210D">
        <w:rPr>
          <w:rFonts w:ascii="Times New Roman" w:hAnsi="Times New Roman" w:cs="Times New Roman"/>
        </w:rPr>
        <w:t xml:space="preserve"> for the entire session can be accounted for through the use the session RPE (</w:t>
      </w:r>
      <w:proofErr w:type="spellStart"/>
      <w:r w:rsidR="007D210D">
        <w:rPr>
          <w:rFonts w:ascii="Times New Roman" w:hAnsi="Times New Roman" w:cs="Times New Roman"/>
        </w:rPr>
        <w:t>sRPE</w:t>
      </w:r>
      <w:proofErr w:type="spellEnd"/>
      <w:r w:rsidR="007D210D">
        <w:rPr>
          <w:rFonts w:ascii="Times New Roman" w:hAnsi="Times New Roman" w:cs="Times New Roman"/>
        </w:rPr>
        <w:t>) strategy</w:t>
      </w:r>
      <w:r w:rsidR="009B5B91">
        <w:rPr>
          <w:rFonts w:ascii="Times New Roman" w:hAnsi="Times New Roman" w:cs="Times New Roman"/>
        </w:rPr>
        <w:t xml:space="preserve">, proposed by Foster </w:t>
      </w:r>
      <w:r w:rsidR="009B5B91">
        <w:rPr>
          <w:rFonts w:ascii="Times New Roman" w:hAnsi="Times New Roman" w:cs="Times New Roman"/>
        </w:rPr>
        <w:lastRenderedPageBreak/>
        <w:t xml:space="preserve">et al. (2001), by multiplying the RPE subjective measure (scaled 1-10) by the duration of the training session (in minutes). </w:t>
      </w:r>
    </w:p>
    <w:p w14:paraId="5DCB3FF8" w14:textId="1D934D3A" w:rsidR="003F3D08" w:rsidRDefault="003F3D08" w:rsidP="003F3D08">
      <w:pPr>
        <w:spacing w:line="480" w:lineRule="auto"/>
        <w:ind w:firstLine="720"/>
        <w:jc w:val="both"/>
        <w:rPr>
          <w:rFonts w:ascii="Times New Roman" w:hAnsi="Times New Roman" w:cs="Times New Roman"/>
        </w:rPr>
      </w:pPr>
      <w:r>
        <w:rPr>
          <w:rFonts w:ascii="Times New Roman" w:hAnsi="Times New Roman" w:cs="Times New Roman"/>
        </w:rPr>
        <w:t xml:space="preserve">Although, a linear relationship exists between </w:t>
      </w:r>
      <w:r w:rsidR="00CA09EF">
        <w:rPr>
          <w:rFonts w:ascii="Times New Roman" w:hAnsi="Times New Roman" w:cs="Times New Roman"/>
        </w:rPr>
        <w:t xml:space="preserve">the physiological parameters of </w:t>
      </w:r>
      <w:r>
        <w:rPr>
          <w:rFonts w:ascii="Times New Roman" w:hAnsi="Times New Roman" w:cs="Times New Roman"/>
        </w:rPr>
        <w:t xml:space="preserve">heart rate (HR) and oxygen consumption, so the ability to monitor the HR throughout the duration of the training session is an attractive option </w:t>
      </w:r>
      <w:r w:rsidR="00CA09EF">
        <w:rPr>
          <w:rFonts w:ascii="Times New Roman" w:hAnsi="Times New Roman" w:cs="Times New Roman"/>
        </w:rPr>
        <w:t xml:space="preserve">in team sports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{"citationID":"ZrfHsnrw","properties":{"formattedCitation":"(Achten &amp; Jeukendrup, 2003)","plainCitation":"(Achten &amp; Jeukendrup, 2003)","noteIndex":0},"citationItems":[{"id":298,"uris":["http://zotero.org/users/6327055/items/BZCDME3C"],"itemData":{"id":298,"type":"article-journal","container-title":"Sports Medicine","DOI":"10.2165/00007256-200333070-00004","ISSN":"0112-1642","issue":"7","journalAbbreviation":"Sports Medicine","language":"en","page":"517-538","source":"DOI.org (Crossref)","title":"Heart rate monitoring: applications and limitations","title-short":"Heart Rate Monitoring","volume":"33","author":[{"family":"Achten","given":"Juul"},{"family":"Jeukendrup","given":"Asker E"}],"issued":{"date-parts":[["2003"]]}}}],"schema":"https://github.com/citation-style-language/schema/raw/master/csl-citation.json"} </w:instrText>
      </w:r>
      <w:r w:rsidR="00C46796">
        <w:rPr>
          <w:rFonts w:ascii="Times New Roman" w:hAnsi="Times New Roman" w:cs="Times New Roman"/>
          <w:noProof/>
        </w:rPr>
        <w:fldChar w:fldCharType="separate"/>
      </w:r>
      <w:r w:rsidR="00C46796">
        <w:rPr>
          <w:rFonts w:ascii="Times New Roman" w:hAnsi="Times New Roman" w:cs="Times New Roman"/>
          <w:noProof/>
        </w:rPr>
        <w:t>(Achten &amp; Jeukendrup, 2003)</w:t>
      </w:r>
      <w:r w:rsidR="00C46796">
        <w:rPr>
          <w:rFonts w:ascii="Times New Roman" w:hAnsi="Times New Roman" w:cs="Times New Roman"/>
          <w:noProof/>
        </w:rPr>
        <w:fldChar w:fldCharType="end"/>
      </w:r>
      <w:r>
        <w:rPr>
          <w:rFonts w:ascii="Times New Roman" w:hAnsi="Times New Roman" w:cs="Times New Roman"/>
        </w:rPr>
        <w:t xml:space="preserve">. The dose-response relationship between the work completed and internal response through HR monitoring may offer greater insight by identifying greater responses in HR than expected for a training session suggesting that the athlete may not be recovered and reaching states of fatigue or nonfunctional overreaching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{"citationID":"f8mUus6f","properties":{"formattedCitation":"(Berkelmans et al., 2018; Halson, 2014)","plainCitation":"(Berkelmans et al., 2018; Halson, 2014)","noteIndex":0},"citationItems":[{"id":301,"uris":["http://zotero.org/users/6327055/items/X7MYHJSS"],"itemData":{"id":301,"type":"article-journal","container-title":"Journal of Strength and Conditioning Research","DOI":"10.1519/JSC.0000000000002194","ISSN":"1064-8011","issue":"8","language":"en","page":"2383-2399","source":"DOI.org (Crossref)","title":"Heart rate monitoring in basketball: applications, player responses, and practical recommendations","title-short":"Heart Rate Monitoring in Basketball","volume":"32","author":[{"family":"Berkelmans","given":"Daniel M."},{"family":"Dalbo","given":"Vincent J."},{"family":"Kean","given":"Crystal O."},{"family":"Milanović","given":"Zoran"},{"family":"Stojanović","given":"Emilija"},{"family":"Stojiljković","given":"Nenad"},{"family":"Scanlan","given":"Aaron T."}],"issued":{"date-parts":[["2018",8]]}}},{"id":265,"uris":["http://zotero.org/users/6327055/items/E6RD28YW"],"itemData":{"id":265,"type":"article-journal","container-title":"Sports Medicine","DOI":"10.1007/s40279-014-0253-z","ISSN":"0112-1642, 1179-2035","issue":"S2","journalAbbreviation":"Sports Med","language":"en","page":"139-147","source":"DOI.org (Crossref)","title":"Monitoring training load to understand fatigue in athletes","volume":"44","author":[{"family":"Halson","given":"Shona L."}],"issued":{"date-parts":[["2014",11]]}}}],"schema":"https://github.com/citation-style-language/schema/raw/master/csl-citation.json"} </w:instrText>
      </w:r>
      <w:r w:rsidR="00C46796">
        <w:rPr>
          <w:rFonts w:ascii="Times New Roman" w:hAnsi="Times New Roman" w:cs="Times New Roman"/>
          <w:noProof/>
        </w:rPr>
        <w:fldChar w:fldCharType="separate"/>
      </w:r>
      <w:r w:rsidR="00C46796">
        <w:rPr>
          <w:rFonts w:ascii="Times New Roman" w:hAnsi="Times New Roman" w:cs="Times New Roman"/>
          <w:noProof/>
        </w:rPr>
        <w:t>(Berkelmans et al., 2018; Halson, 2014)</w:t>
      </w:r>
      <w:r w:rsidR="00C46796">
        <w:rPr>
          <w:rFonts w:ascii="Times New Roman" w:hAnsi="Times New Roman" w:cs="Times New Roman"/>
          <w:noProof/>
        </w:rPr>
        <w:fldChar w:fldCharType="end"/>
      </w:r>
      <w:r>
        <w:rPr>
          <w:rFonts w:ascii="Times New Roman" w:hAnsi="Times New Roman" w:cs="Times New Roman"/>
        </w:rPr>
        <w:t xml:space="preserve">. Thus, the quantification of </w:t>
      </w:r>
      <w:proofErr w:type="spellStart"/>
      <w:r>
        <w:rPr>
          <w:rFonts w:ascii="Times New Roman" w:hAnsi="Times New Roman" w:cs="Times New Roman"/>
        </w:rPr>
        <w:t>iTL</w:t>
      </w:r>
      <w:proofErr w:type="spellEnd"/>
      <w:r>
        <w:rPr>
          <w:rFonts w:ascii="Times New Roman" w:hAnsi="Times New Roman" w:cs="Times New Roman"/>
        </w:rPr>
        <w:t xml:space="preserve"> intensity through HR monitoring can help to design and strategically implement specific stimuli that mimic sport-specific metabolic demands to optimize the physical capacities of the athletes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{"citationID":"h7MNVpic","properties":{"formattedCitation":"(Berkelmans et al., 2018)","plainCitation":"(Berkelmans et al., 2018)","noteIndex":0},"citationItems":[{"id":301,"uris":["http://zotero.org/users/6327055/items/X7MYHJSS"],"itemData":{"id":301,"type":"article-journal","container-title":"Journal of Strength and Conditioning Research","DOI":"10.1519/JSC.0000000000002194","ISSN":"1064-8011","issue":"8","language":"en","page":"2383-2399","source":"DOI.org (Crossref)","title":"Heart rate monitoring in basketball: applications, player responses, and practical recommendations","title-short":"Heart Rate Monitoring in Basketball","volume":"32","author":[{"family":"Berkelmans","given":"Daniel M."},{"family":"Dalbo","given":"Vincent J."},{"family":"Kean","given":"Crystal O."},{"family":"Milanović","given":"Zoran"},{"family":"Stojanović","given":"Emilija"},{"family":"Stojiljković","given":"Nenad"},{"family":"Scanlan","given":"Aaron T."}],"issued":{"date-parts":[["2018",8]]}}}],"schema":"https://github.com/citation-style-language/schema/raw/master/csl-citation.json"} </w:instrText>
      </w:r>
      <w:r w:rsidR="00C46796">
        <w:rPr>
          <w:rFonts w:ascii="Times New Roman" w:hAnsi="Times New Roman" w:cs="Times New Roman"/>
          <w:noProof/>
        </w:rPr>
        <w:fldChar w:fldCharType="separate"/>
      </w:r>
      <w:r w:rsidR="00C46796">
        <w:rPr>
          <w:rFonts w:ascii="Times New Roman" w:hAnsi="Times New Roman" w:cs="Times New Roman"/>
          <w:noProof/>
        </w:rPr>
        <w:t>(Berkelmans et al., 2018)</w:t>
      </w:r>
      <w:r w:rsidR="00C46796">
        <w:rPr>
          <w:rFonts w:ascii="Times New Roman" w:hAnsi="Times New Roman" w:cs="Times New Roman"/>
          <w:noProof/>
        </w:rPr>
        <w:fldChar w:fldCharType="end"/>
      </w:r>
      <w:r>
        <w:rPr>
          <w:rFonts w:ascii="Times New Roman" w:hAnsi="Times New Roman" w:cs="Times New Roman"/>
        </w:rPr>
        <w:t xml:space="preserve">. </w:t>
      </w:r>
    </w:p>
    <w:p w14:paraId="5961FE9C" w14:textId="64785656" w:rsidR="003F3D08" w:rsidRDefault="003F3D08" w:rsidP="003F3D08">
      <w:pPr>
        <w:spacing w:line="480" w:lineRule="auto"/>
        <w:ind w:firstLine="720"/>
        <w:jc w:val="both"/>
        <w:rPr>
          <w:rFonts w:ascii="Times New Roman" w:hAnsi="Times New Roman" w:cs="Times New Roman"/>
        </w:rPr>
      </w:pPr>
      <w:r>
        <w:rPr>
          <w:rFonts w:ascii="Times New Roman" w:hAnsi="Times New Roman" w:cs="Times New Roman"/>
        </w:rPr>
        <w:t xml:space="preserve">Measurement of the training sessions’ HR data and the durations spent within varying zones of intensity can be implemented within the Training Impulse (TRIMP) model. The TRIMP value, expressed in (au), is designed to follow the curvilinear trend of blood lactate concentrations as the intensity is increased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{"citationID":"KX0x4Lfz","properties":{"formattedCitation":"(Morton et al., 1990)","plainCitation":"(Morton et al., 1990)","noteIndex":0},"citationItems":[{"id":305,"uris":["http://zotero.org/users/6327055/items/4V2DTXEN"],"itemData":{"id":305,"type":"article-journal","abstract":"This paper focuses on the characteristics of a model interpreting the effect of training on athletic performance. The model theory is presented both mathematically and graphically. In the model, a systematically quantified impulse of training produces dual responses: fitness and fatigue. In the absence of training, both decay exponentially with time. With repetitive training, these responses satisfy individual recurrence equations. Fitness and fatigue are combined in a simple linear difference equation to predict performance levels appropriate to the intensity of training being undertaken. Significant observed correlation of model-predicted performance with a measure of actual performance during both training and tapering provides validation of the model for athletes and nonathletes alike. This enables specific model parameters to be estimated and can be used to optimize future training regimens for any individual.","container-title":"Journal of Applied Physiology","DOI":"10.1152/jappl.1990.69.3.1171","ISSN":"8750-7587, 1522-1601","issue":"3","journalAbbreviation":"Journal of Applied Physiology","language":"en","page":"1171-1177","source":"DOI.org (Crossref)","title":"Modeling human performance in running","volume":"69","author":[{"family":"Morton","given":"R. H."},{"family":"Fitz-Clarke","given":"J. R."},{"family":"Banister","given":"E. W."}],"issued":{"date-parts":[["1990",9,1]]}}}],"schema":"https://github.com/citation-style-language/schema/raw/master/csl-citation.json"} </w:instrText>
      </w:r>
      <w:r w:rsidR="00C46796">
        <w:rPr>
          <w:rFonts w:ascii="Times New Roman" w:hAnsi="Times New Roman" w:cs="Times New Roman"/>
          <w:noProof/>
        </w:rPr>
        <w:fldChar w:fldCharType="separate"/>
      </w:r>
      <w:r w:rsidR="00C46796">
        <w:rPr>
          <w:rFonts w:ascii="Times New Roman" w:hAnsi="Times New Roman" w:cs="Times New Roman"/>
          <w:noProof/>
        </w:rPr>
        <w:t>(Morton et al., 1990)</w:t>
      </w:r>
      <w:r w:rsidR="00C46796">
        <w:rPr>
          <w:rFonts w:ascii="Times New Roman" w:hAnsi="Times New Roman" w:cs="Times New Roman"/>
          <w:noProof/>
        </w:rPr>
        <w:fldChar w:fldCharType="end"/>
      </w:r>
      <w:r>
        <w:rPr>
          <w:rFonts w:ascii="Times New Roman" w:hAnsi="Times New Roman" w:cs="Times New Roman"/>
        </w:rPr>
        <w:t xml:space="preserve">. The computation of this training load metric accounts for the duration of the training session as well as the HR prior, during, and maximal value achieved. The TRIMP equation is as follows: </w:t>
      </w:r>
    </w:p>
    <w:p w14:paraId="1F7187A2" w14:textId="77777777" w:rsidR="003F3D08" w:rsidRPr="00AB600A" w:rsidRDefault="003F3D08" w:rsidP="003F3D08">
      <w:pPr>
        <w:spacing w:line="480" w:lineRule="auto"/>
        <w:ind w:firstLine="720"/>
        <w:jc w:val="both"/>
        <w:rPr>
          <w:rFonts w:ascii="Times New Roman" w:hAnsi="Times New Roman" w:cs="Times New Roman"/>
        </w:rPr>
      </w:pPr>
      <m:oMathPara>
        <m:oMath>
          <m:r>
            <w:rPr>
              <w:rFonts w:ascii="Cambria Math" w:hAnsi="Cambria Math" w:cstheme="minorHAnsi"/>
            </w:rPr>
            <m:t>Baniste</m:t>
          </m:r>
          <m:sSup>
            <m:sSupPr>
              <m:ctrlPr>
                <w:rPr>
                  <w:rFonts w:ascii="Cambria Math" w:hAnsi="Cambria Math" w:cstheme="minorHAnsi"/>
                  <w:i/>
                </w:rPr>
              </m:ctrlPr>
            </m:sSupPr>
            <m:e>
              <m:r>
                <w:rPr>
                  <w:rFonts w:ascii="Cambria Math" w:hAnsi="Cambria Math" w:cstheme="minorHAnsi"/>
                </w:rPr>
                <m:t>r</m:t>
              </m:r>
            </m:e>
            <m:sup>
              <m:r>
                <w:rPr>
                  <w:rFonts w:ascii="Cambria Math" w:hAnsi="Cambria Math" w:cstheme="minorHAnsi"/>
                </w:rPr>
                <m:t>'</m:t>
              </m:r>
            </m:sup>
          </m:sSup>
          <m:r>
            <w:rPr>
              <w:rFonts w:ascii="Cambria Math" w:hAnsi="Cambria Math" w:cstheme="minorHAnsi"/>
            </w:rPr>
            <m:t>s TRIMP=Training Duration</m:t>
          </m:r>
          <m:d>
            <m:dPr>
              <m:ctrlPr>
                <w:rPr>
                  <w:rFonts w:ascii="Cambria Math" w:hAnsi="Cambria Math" w:cstheme="minorHAnsi"/>
                  <w:i/>
                </w:rPr>
              </m:ctrlPr>
            </m:dPr>
            <m:e>
              <m:r>
                <w:rPr>
                  <w:rFonts w:ascii="Cambria Math" w:hAnsi="Cambria Math" w:cstheme="minorHAnsi"/>
                </w:rPr>
                <m:t>mins</m:t>
              </m:r>
            </m:e>
          </m:d>
          <m:r>
            <w:rPr>
              <w:rFonts w:ascii="Cambria Math" w:hAnsi="Cambria Math" w:cstheme="minorHAnsi"/>
            </w:rPr>
            <m:t xml:space="preserve"> X </m:t>
          </m:r>
          <m:d>
            <m:dPr>
              <m:ctrlPr>
                <w:rPr>
                  <w:rFonts w:ascii="Cambria Math" w:hAnsi="Cambria Math" w:cstheme="minorHAnsi"/>
                  <w:i/>
                </w:rPr>
              </m:ctrlPr>
            </m:dPr>
            <m:e>
              <m:r>
                <w:rPr>
                  <w:rFonts w:ascii="Cambria Math" w:hAnsi="Cambria Math" w:cstheme="minorHAnsi"/>
                </w:rPr>
                <m:t>∆HR ratio</m:t>
              </m:r>
            </m:e>
          </m:d>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rPr>
                <m:t>b</m:t>
              </m:r>
              <m:d>
                <m:dPr>
                  <m:ctrlPr>
                    <w:rPr>
                      <w:rFonts w:ascii="Cambria Math" w:hAnsi="Cambria Math" w:cstheme="minorHAnsi"/>
                      <w:i/>
                    </w:rPr>
                  </m:ctrlPr>
                </m:dPr>
                <m:e>
                  <m:r>
                    <w:rPr>
                      <w:rFonts w:ascii="Cambria Math" w:hAnsi="Cambria Math" w:cstheme="minorHAnsi"/>
                    </w:rPr>
                    <m:t>∆HR ratio</m:t>
                  </m:r>
                </m:e>
              </m:d>
            </m:sup>
          </m:sSup>
        </m:oMath>
      </m:oMathPara>
    </w:p>
    <w:p w14:paraId="616D06F9" w14:textId="77777777" w:rsidR="003F3D08" w:rsidRPr="00E23CB1" w:rsidRDefault="003F3D08" w:rsidP="003F3D08">
      <w:pPr>
        <w:jc w:val="both"/>
        <w:rPr>
          <w:rFonts w:ascii="Times New Roman" w:hAnsi="Times New Roman" w:cs="Times New Roman"/>
          <w:sz w:val="20"/>
          <w:szCs w:val="20"/>
        </w:rPr>
      </w:pPr>
      <w:r w:rsidRPr="00E23CB1">
        <w:rPr>
          <w:rFonts w:ascii="Times New Roman" w:hAnsi="Times New Roman" w:cs="Times New Roman"/>
          <w:b/>
          <w:sz w:val="20"/>
          <w:szCs w:val="20"/>
        </w:rPr>
        <w:t>Note:</w:t>
      </w:r>
      <w:r w:rsidRPr="00E23CB1">
        <w:rPr>
          <w:rFonts w:ascii="Times New Roman" w:hAnsi="Times New Roman" w:cs="Times New Roman"/>
          <w:i/>
          <w:sz w:val="20"/>
          <w:szCs w:val="20"/>
        </w:rPr>
        <w:t xml:space="preserve"> </w:t>
      </w:r>
      <w:r w:rsidRPr="00E23CB1">
        <w:rPr>
          <w:rFonts w:ascii="Times New Roman" w:hAnsi="Times New Roman" w:cs="Times New Roman"/>
          <w:sz w:val="20"/>
          <w:szCs w:val="20"/>
        </w:rPr>
        <w:t>b = sex factor (female = 1.67; males = 1.92); e= base of the natural logarithm (constant of 2.712); HR ratio = (</w:t>
      </w:r>
      <w:proofErr w:type="spellStart"/>
      <w:r w:rsidRPr="00E23CB1">
        <w:rPr>
          <w:rFonts w:ascii="Times New Roman" w:hAnsi="Times New Roman" w:cs="Times New Roman"/>
          <w:sz w:val="20"/>
          <w:szCs w:val="20"/>
        </w:rPr>
        <w:t>HR</w:t>
      </w:r>
      <w:r w:rsidRPr="00E23CB1">
        <w:rPr>
          <w:rFonts w:ascii="Times New Roman" w:hAnsi="Times New Roman" w:cs="Times New Roman"/>
          <w:sz w:val="20"/>
          <w:szCs w:val="20"/>
          <w:vertAlign w:val="subscript"/>
        </w:rPr>
        <w:t>exercise</w:t>
      </w:r>
      <w:proofErr w:type="spellEnd"/>
      <w:r w:rsidRPr="00E23CB1">
        <w:rPr>
          <w:rFonts w:ascii="Times New Roman" w:hAnsi="Times New Roman" w:cs="Times New Roman"/>
          <w:sz w:val="20"/>
          <w:szCs w:val="20"/>
        </w:rPr>
        <w:t xml:space="preserve"> -</w:t>
      </w:r>
      <w:proofErr w:type="spellStart"/>
      <w:r w:rsidRPr="00E23CB1">
        <w:rPr>
          <w:rFonts w:ascii="Times New Roman" w:hAnsi="Times New Roman" w:cs="Times New Roman"/>
          <w:sz w:val="20"/>
          <w:szCs w:val="20"/>
        </w:rPr>
        <w:t>HR</w:t>
      </w:r>
      <w:r w:rsidRPr="00E23CB1">
        <w:rPr>
          <w:rFonts w:ascii="Times New Roman" w:hAnsi="Times New Roman" w:cs="Times New Roman"/>
          <w:sz w:val="20"/>
          <w:szCs w:val="20"/>
          <w:vertAlign w:val="subscript"/>
        </w:rPr>
        <w:t>rest</w:t>
      </w:r>
      <w:proofErr w:type="spellEnd"/>
      <w:r w:rsidRPr="00E23CB1">
        <w:rPr>
          <w:rFonts w:ascii="Times New Roman" w:hAnsi="Times New Roman" w:cs="Times New Roman"/>
          <w:sz w:val="20"/>
          <w:szCs w:val="20"/>
        </w:rPr>
        <w:t>)/ HR</w:t>
      </w:r>
      <w:r w:rsidRPr="00E23CB1">
        <w:rPr>
          <w:rFonts w:ascii="Times New Roman" w:hAnsi="Times New Roman" w:cs="Times New Roman"/>
          <w:sz w:val="20"/>
          <w:szCs w:val="20"/>
          <w:vertAlign w:val="subscript"/>
        </w:rPr>
        <w:t>max</w:t>
      </w:r>
      <w:r w:rsidRPr="00E23CB1">
        <w:rPr>
          <w:rFonts w:ascii="Times New Roman" w:hAnsi="Times New Roman" w:cs="Times New Roman"/>
          <w:sz w:val="20"/>
          <w:szCs w:val="20"/>
        </w:rPr>
        <w:t xml:space="preserve"> – </w:t>
      </w:r>
      <w:proofErr w:type="spellStart"/>
      <w:r w:rsidRPr="00E23CB1">
        <w:rPr>
          <w:rFonts w:ascii="Times New Roman" w:hAnsi="Times New Roman" w:cs="Times New Roman"/>
          <w:sz w:val="20"/>
          <w:szCs w:val="20"/>
        </w:rPr>
        <w:t>HR</w:t>
      </w:r>
      <w:r w:rsidRPr="00E23CB1">
        <w:rPr>
          <w:rFonts w:ascii="Times New Roman" w:hAnsi="Times New Roman" w:cs="Times New Roman"/>
          <w:sz w:val="20"/>
          <w:szCs w:val="20"/>
          <w:vertAlign w:val="subscript"/>
        </w:rPr>
        <w:t>rest</w:t>
      </w:r>
      <w:proofErr w:type="spellEnd"/>
      <w:r w:rsidRPr="00E23CB1">
        <w:rPr>
          <w:rFonts w:ascii="Times New Roman" w:hAnsi="Times New Roman" w:cs="Times New Roman"/>
          <w:sz w:val="20"/>
          <w:szCs w:val="20"/>
        </w:rPr>
        <w:t xml:space="preserve">), with </w:t>
      </w:r>
      <w:proofErr w:type="spellStart"/>
      <w:r w:rsidRPr="00E23CB1">
        <w:rPr>
          <w:rFonts w:ascii="Times New Roman" w:hAnsi="Times New Roman" w:cs="Times New Roman"/>
          <w:sz w:val="20"/>
          <w:szCs w:val="20"/>
        </w:rPr>
        <w:t>HR</w:t>
      </w:r>
      <w:r w:rsidRPr="00E23CB1">
        <w:rPr>
          <w:rFonts w:ascii="Times New Roman" w:hAnsi="Times New Roman" w:cs="Times New Roman"/>
          <w:sz w:val="20"/>
          <w:szCs w:val="20"/>
          <w:vertAlign w:val="subscript"/>
        </w:rPr>
        <w:t>exercise</w:t>
      </w:r>
      <w:proofErr w:type="spellEnd"/>
      <w:r w:rsidRPr="00E23CB1">
        <w:rPr>
          <w:rFonts w:ascii="Times New Roman" w:hAnsi="Times New Roman" w:cs="Times New Roman"/>
          <w:sz w:val="20"/>
          <w:szCs w:val="20"/>
        </w:rPr>
        <w:t xml:space="preserve"> meaning HR during the training session, </w:t>
      </w:r>
      <w:proofErr w:type="spellStart"/>
      <w:r w:rsidRPr="00E23CB1">
        <w:rPr>
          <w:rFonts w:ascii="Times New Roman" w:hAnsi="Times New Roman" w:cs="Times New Roman"/>
          <w:sz w:val="20"/>
          <w:szCs w:val="20"/>
        </w:rPr>
        <w:t>HR</w:t>
      </w:r>
      <w:r w:rsidRPr="00E23CB1">
        <w:rPr>
          <w:rFonts w:ascii="Times New Roman" w:hAnsi="Times New Roman" w:cs="Times New Roman"/>
          <w:sz w:val="20"/>
          <w:szCs w:val="20"/>
          <w:vertAlign w:val="subscript"/>
        </w:rPr>
        <w:t>Rest</w:t>
      </w:r>
      <w:proofErr w:type="spellEnd"/>
      <w:r w:rsidRPr="00E23CB1">
        <w:rPr>
          <w:rFonts w:ascii="Times New Roman" w:hAnsi="Times New Roman" w:cs="Times New Roman"/>
          <w:sz w:val="20"/>
          <w:szCs w:val="20"/>
          <w:vertAlign w:val="subscript"/>
        </w:rPr>
        <w:t xml:space="preserve"> </w:t>
      </w:r>
      <w:r w:rsidRPr="00E23CB1">
        <w:rPr>
          <w:rFonts w:ascii="Times New Roman" w:hAnsi="Times New Roman" w:cs="Times New Roman"/>
          <w:sz w:val="20"/>
          <w:szCs w:val="20"/>
        </w:rPr>
        <w:t>meaning HR at rest pre-exercise, and HR</w:t>
      </w:r>
      <w:r w:rsidRPr="00E23CB1">
        <w:rPr>
          <w:rFonts w:ascii="Times New Roman" w:hAnsi="Times New Roman" w:cs="Times New Roman"/>
          <w:sz w:val="20"/>
          <w:szCs w:val="20"/>
          <w:vertAlign w:val="subscript"/>
        </w:rPr>
        <w:t>max</w:t>
      </w:r>
      <w:r w:rsidRPr="00E23CB1">
        <w:rPr>
          <w:rFonts w:ascii="Times New Roman" w:hAnsi="Times New Roman" w:cs="Times New Roman"/>
          <w:sz w:val="20"/>
          <w:szCs w:val="20"/>
        </w:rPr>
        <w:t xml:space="preserve"> meaning HR during maximal exercise testing.</w:t>
      </w:r>
    </w:p>
    <w:p w14:paraId="2EB17658" w14:textId="77777777" w:rsidR="003F3D08" w:rsidRDefault="003F3D08" w:rsidP="003F3D08">
      <w:pPr>
        <w:spacing w:line="480" w:lineRule="auto"/>
        <w:jc w:val="center"/>
        <w:rPr>
          <w:rFonts w:ascii="Times New Roman" w:hAnsi="Times New Roman" w:cs="Times New Roman"/>
          <w:b/>
          <w:bCs/>
        </w:rPr>
      </w:pPr>
    </w:p>
    <w:p w14:paraId="6915D96B" w14:textId="5B1C4B6F" w:rsidR="003F3D08" w:rsidRDefault="003F3D08" w:rsidP="003F3D08">
      <w:pPr>
        <w:spacing w:line="48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This TRIMP model has been utilized within the basketball setting in the attempt to assess relationships that it may have with the </w:t>
      </w:r>
      <w:proofErr w:type="spellStart"/>
      <w:r>
        <w:rPr>
          <w:rFonts w:ascii="Times New Roman" w:hAnsi="Times New Roman" w:cs="Times New Roman"/>
        </w:rPr>
        <w:t>eTL</w:t>
      </w:r>
      <w:proofErr w:type="spellEnd"/>
      <w:r>
        <w:rPr>
          <w:rFonts w:ascii="Times New Roman" w:hAnsi="Times New Roman" w:cs="Times New Roman"/>
        </w:rPr>
        <w:t xml:space="preserve">. For example, </w:t>
      </w:r>
      <w:r w:rsidRPr="005C228B">
        <w:rPr>
          <w:rFonts w:ascii="Times New Roman" w:hAnsi="Times New Roman" w:cs="Times New Roman"/>
        </w:rPr>
        <w:t>Scanlan et al. (2014)</w:t>
      </w:r>
      <w:r>
        <w:rPr>
          <w:rFonts w:ascii="Times New Roman" w:hAnsi="Times New Roman" w:cs="Times New Roman"/>
        </w:rPr>
        <w:t xml:space="preserve"> described a positive </w:t>
      </w:r>
      <w:r>
        <w:rPr>
          <w:rFonts w:ascii="Times New Roman" w:hAnsi="Times New Roman" w:cs="Times New Roman"/>
        </w:rPr>
        <w:lastRenderedPageBreak/>
        <w:t xml:space="preserve">correlation between TRIMP values and </w:t>
      </w:r>
      <w:proofErr w:type="spellStart"/>
      <w:r>
        <w:rPr>
          <w:rFonts w:ascii="Times New Roman" w:hAnsi="Times New Roman" w:cs="Times New Roman"/>
        </w:rPr>
        <w:t>eTL</w:t>
      </w:r>
      <w:proofErr w:type="spellEnd"/>
      <w:r>
        <w:rPr>
          <w:rFonts w:ascii="Times New Roman" w:hAnsi="Times New Roman" w:cs="Times New Roman"/>
        </w:rPr>
        <w:t xml:space="preserve"> capture through accelerometers. Additionally, </w:t>
      </w:r>
      <w:proofErr w:type="spellStart"/>
      <w:r w:rsidRPr="005C228B">
        <w:rPr>
          <w:rFonts w:ascii="Times New Roman" w:hAnsi="Times New Roman" w:cs="Times New Roman"/>
        </w:rPr>
        <w:t>Heishman</w:t>
      </w:r>
      <w:proofErr w:type="spellEnd"/>
      <w:r w:rsidRPr="005C228B">
        <w:rPr>
          <w:rFonts w:ascii="Times New Roman" w:hAnsi="Times New Roman" w:cs="Times New Roman"/>
        </w:rPr>
        <w:t xml:space="preserve"> et al. (2018)</w:t>
      </w:r>
      <w:r>
        <w:rPr>
          <w:rFonts w:ascii="Times New Roman" w:hAnsi="Times New Roman" w:cs="Times New Roman"/>
        </w:rPr>
        <w:t xml:space="preserve"> identified significant (p &lt; 0.001) differences between high and low </w:t>
      </w:r>
      <w:proofErr w:type="spellStart"/>
      <w:r w:rsidRPr="00E606B4">
        <w:rPr>
          <w:rFonts w:ascii="Times New Roman" w:hAnsi="Times New Roman" w:cs="Times New Roman"/>
        </w:rPr>
        <w:t>PlayerLoad</w:t>
      </w:r>
      <w:proofErr w:type="spellEnd"/>
      <w:r w:rsidRPr="00E606B4">
        <w:rPr>
          <w:rFonts w:ascii="Times New Roman" w:hAnsi="Times New Roman" w:cs="Times New Roman"/>
        </w:rPr>
        <w:t>™</w:t>
      </w:r>
      <w:r>
        <w:rPr>
          <w:rFonts w:ascii="Times New Roman" w:hAnsi="Times New Roman" w:cs="Times New Roman"/>
        </w:rPr>
        <w:t xml:space="preserve"> paralleled the significant differences seen within the TRIMP values</w:t>
      </w:r>
      <w:r w:rsidR="005C228B">
        <w:rPr>
          <w:rFonts w:ascii="Times New Roman" w:hAnsi="Times New Roman" w:cs="Times New Roman"/>
        </w:rPr>
        <w:t xml:space="preserve"> </w:t>
      </w:r>
      <w:r w:rsidR="005C228B">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{"citationID":"jDX338NK","properties":{"formattedCitation":"(A. Heishman et al., 2018; Scanlan et al., 2014)","plainCitation":"(A. Heishman et al., 2018; Scanlan et al., 2014)","noteIndex":0},"citationItems":[{"id":267,"uris":["http://zotero.org/users/6327055/items/V555YN52"],"itemData":{"id":267,"type":"article-journal","container-title":"Journal of Strength and Conditioning Research","DOI":"10.1519/JSC.0000000000002413","ISSN":"1064-8011","issue":"5","language":"en","page":"1280-1287","source":"DOI.org (Crossref)","title":"Noninvasive assessment of internal and external player load: Implications for optimizing athletic performance","title-short":"Noninvasive Assessment of Internal and External Player Load","volume":"32","author":[{"family":"Heishman","given":"Aaron"},{"family":"Curtis","given":"Michael"},{"family":"Saliba","given":"Ethan"},{"family":"Hornett","given":"Robert"},{"family":"Malin","given":"Steven"},{"family":"Weltman","given":"Arthur"}],"issued":{"date-parts":[["2018",5]]}}},{"id":459,"uris":["http://zotero.org/users/6327055/items/Y3YYP3H9"],"itemData":{"id":459,"type":"article-journal","container-title":"Journal of Strength and Conditioning Research","DOI":"10.1519/JSC.0000000000000458","ISSN":"1064-8011","issue":"9","language":"en","page":"2397-2405","source":"DOI.org (Crossref)","title":"The relationships between internal and external training load models during basketball training","volume":"28","author":[{"family":"Scanlan","given":"Aaron T."},{"family":"Wen","given":"Neal"},{"family":"Tucker","given":"Patrick S."},{"family":"Dalbo","given":"Vincent J."}],"issued":{"date-parts":[["2014",9]]}}}],"schema":"https://github.com/citation-style-language/schema/raw/master/csl-citation.json"} </w:instrText>
      </w:r>
      <w:r w:rsidR="005C228B">
        <w:rPr>
          <w:rFonts w:ascii="Times New Roman" w:hAnsi="Times New Roman" w:cs="Times New Roman"/>
        </w:rPr>
        <w:fldChar w:fldCharType="separate"/>
      </w:r>
      <w:r w:rsidR="00546507">
        <w:rPr>
          <w:rFonts w:ascii="Times New Roman" w:hAnsi="Times New Roman" w:cs="Times New Roman"/>
          <w:noProof/>
        </w:rPr>
        <w:t>(A. Heishman et al., 2018; Scanlan et al., 2014)</w:t>
      </w:r>
      <w:r w:rsidR="005C228B">
        <w:rPr>
          <w:rFonts w:ascii="Times New Roman" w:hAnsi="Times New Roman" w:cs="Times New Roman"/>
        </w:rPr>
        <w:fldChar w:fldCharType="end"/>
      </w:r>
      <w:r>
        <w:rPr>
          <w:rFonts w:ascii="Times New Roman" w:hAnsi="Times New Roman" w:cs="Times New Roman"/>
        </w:rPr>
        <w:t xml:space="preserve">. Similarly, </w:t>
      </w:r>
      <w:r w:rsidRPr="005C228B">
        <w:rPr>
          <w:rFonts w:ascii="Times New Roman" w:hAnsi="Times New Roman" w:cs="Times New Roman"/>
        </w:rPr>
        <w:t>Aoki et al. (2017)</w:t>
      </w:r>
      <w:r>
        <w:rPr>
          <w:rFonts w:ascii="Times New Roman" w:hAnsi="Times New Roman" w:cs="Times New Roman"/>
        </w:rPr>
        <w:t xml:space="preserve"> found that internal load may be influenced more so by the volume of work, whereas the external load may be influenced greater by the intensity of the exercise</w:t>
      </w:r>
      <w:r w:rsidR="005C228B">
        <w:rPr>
          <w:rFonts w:ascii="Times New Roman" w:hAnsi="Times New Roman" w:cs="Times New Roman"/>
        </w:rPr>
        <w:t xml:space="preserve"> </w:t>
      </w:r>
      <w:r w:rsidR="005C228B">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{"citationID":"VhJLvmSk","properties":{"formattedCitation":"(Aoki et al., 2017)","plainCitation":"(Aoki et al., 2017)","noteIndex":0},"citationItems":[{"id":462,"uris":["http://zotero.org/users/6327055/items/8PCJ6LE7"],"itemData":{"id":462,"type":"article-journal","container-title":"Journal of Strength and Conditioning Research","DOI":"10.1519/JSC.0000000000001507","ISSN":"1064-8011","issue":"2","language":"en","page":"348-358","source":"DOI.org (Crossref)","title":"Monitoring training loads in professional basketball players engaged in a periodized training program","volume":"31","author":[{"family":"Aoki","given":"Marcelo S."},{"family":"Ronda","given":"Lorena T."},{"family":"Marcelino","given":"Pablo R."},{"family":"Drago","given":"Gustavo"},{"family":"Carling","given":"Chris"},{"family":"Bradley","given":"Paul S."},{"family":"Moreira","given":"Alexandre"}],"issued":{"date-parts":[["2017",2]]}}}],"schema":"https://github.com/citation-style-language/schema/raw/master/csl-citation.json"} </w:instrText>
      </w:r>
      <w:r w:rsidR="005C228B">
        <w:rPr>
          <w:rFonts w:ascii="Times New Roman" w:hAnsi="Times New Roman" w:cs="Times New Roman"/>
        </w:rPr>
        <w:fldChar w:fldCharType="separate"/>
      </w:r>
      <w:r w:rsidR="005C228B">
        <w:rPr>
          <w:rFonts w:ascii="Times New Roman" w:hAnsi="Times New Roman" w:cs="Times New Roman"/>
          <w:noProof/>
        </w:rPr>
        <w:t>(Aoki et al., 2017)</w:t>
      </w:r>
      <w:r w:rsidR="005C228B">
        <w:rPr>
          <w:rFonts w:ascii="Times New Roman" w:hAnsi="Times New Roman" w:cs="Times New Roman"/>
        </w:rPr>
        <w:fldChar w:fldCharType="end"/>
      </w:r>
      <w:r>
        <w:rPr>
          <w:rFonts w:ascii="Times New Roman" w:hAnsi="Times New Roman" w:cs="Times New Roman"/>
        </w:rPr>
        <w:t xml:space="preserve">. Despite the correlation, both methods of monitoring are capable of providing useful independent information from the training stimulus. Although the addition of another monitoring tool could prove to be useful, some limitations that can effect HR monitoring have shown be through emotions, hydration, nutrition, and environmental factors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{"citationID":"TdxPILij","properties":{"formattedCitation":"(Berkelmans et al., 2018)","plainCitation":"(Berkelmans et al., 2018)","noteIndex":0},"citationItems":[{"id":301,"uris":["http://zotero.org/users/6327055/items/X7MYHJSS"],"itemData":{"id":301,"type":"article-journal","container-title":"Journal of Strength and Conditioning Research","DOI":"10.1519/JSC.0000000000002194","ISSN":"1064-8011","issue":"8","language":"en","page":"2383-2399","source":"DOI.org (Crossref)","title":"Heart rate monitoring in basketball: applications, player responses, and practical recommendations","title-short":"Heart Rate Monitoring in Basketball","volume":"32","author":[{"family":"Berkelmans","given":"Daniel M."},{"family":"Dalbo","given":"Vincent J."},{"family":"Kean","given":"Crystal O."},{"family":"Milanović","given":"Zoran"},{"family":"Stojanović","given":"Emilija"},{"family":"Stojiljković","given":"Nenad"},{"family":"Scanlan","given":"Aaron T."}],"issued":{"date-parts":[["2018",8]]}}}],"schema":"https://github.com/citation-style-language/schema/raw/master/csl-citation.json"} </w:instrText>
      </w:r>
      <w:r w:rsidR="00C46796">
        <w:rPr>
          <w:rFonts w:ascii="Times New Roman" w:hAnsi="Times New Roman" w:cs="Times New Roman"/>
          <w:noProof/>
        </w:rPr>
        <w:fldChar w:fldCharType="separate"/>
      </w:r>
      <w:r w:rsidR="00C46796">
        <w:rPr>
          <w:rFonts w:ascii="Times New Roman" w:hAnsi="Times New Roman" w:cs="Times New Roman"/>
          <w:noProof/>
        </w:rPr>
        <w:t>(Berkelmans et al., 2018)</w:t>
      </w:r>
      <w:r w:rsidR="00C46796">
        <w:rPr>
          <w:rFonts w:ascii="Times New Roman" w:hAnsi="Times New Roman" w:cs="Times New Roman"/>
          <w:noProof/>
        </w:rPr>
        <w:fldChar w:fldCharType="end"/>
      </w:r>
      <w:r>
        <w:rPr>
          <w:rFonts w:ascii="Times New Roman" w:hAnsi="Times New Roman" w:cs="Times New Roman"/>
        </w:rPr>
        <w:t>.</w:t>
      </w:r>
      <w:r w:rsidR="00E9682B">
        <w:rPr>
          <w:rFonts w:ascii="Times New Roman" w:hAnsi="Times New Roman" w:cs="Times New Roman"/>
        </w:rPr>
        <w:t xml:space="preserve"> The intensity of the training session can be characterized by dividing the TRIMP by the duration to represent TRIMP per minute (TRIMP/</w:t>
      </w:r>
      <w:r w:rsidR="00511B2C">
        <w:rPr>
          <w:rFonts w:ascii="Times New Roman" w:hAnsi="Times New Roman" w:cs="Times New Roman"/>
        </w:rPr>
        <w:t>M</w:t>
      </w:r>
      <w:r w:rsidR="00E9682B">
        <w:rPr>
          <w:rFonts w:ascii="Times New Roman" w:hAnsi="Times New Roman" w:cs="Times New Roman"/>
        </w:rPr>
        <w:t>in) and exhibit the internal response experienced.</w:t>
      </w:r>
    </w:p>
    <w:p w14:paraId="0642DAB5" w14:textId="7973FCA4" w:rsidR="003F3D08" w:rsidRDefault="003F3D08" w:rsidP="00F829B9">
      <w:pPr>
        <w:pStyle w:val="Heading2"/>
      </w:pPr>
      <w:bookmarkStart w:id="31" w:name="_Toc99267610"/>
      <w:r w:rsidRPr="00906A98">
        <w:t>Endocrine Responses to Training</w:t>
      </w:r>
      <w:bookmarkEnd w:id="31"/>
    </w:p>
    <w:p w14:paraId="4DCCF665" w14:textId="4BBED1B3" w:rsidR="003F3D08" w:rsidRPr="009C3788" w:rsidRDefault="003F3D08" w:rsidP="003F3D08">
      <w:pPr>
        <w:spacing w:line="48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The endocrine system is greatly involved in the maintenance and regulation of balancing several physiological systems. The effort to improve aspects relating to health and performance is often done through a disruption in homeostasis from a stressor in the form of exercise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{"citationID":"WgMSSIVU","properties":{"formattedCitation":"(Hackney &amp; Lane, 2015)","plainCitation":"(Hackney &amp; Lane, 2015)","noteIndex":0},"citationItems":[{"id":152,"uris":["http://zotero.org/users/6327055/items/EK6SMPW2"],"itemData":{"id":152,"type":"chapter","container-title":"Progress in Molecular Biology and Translational Science","ISBN":"978-0-12-803991-5","language":"en","note":"DOI: 10.1016/bs.pmbts.2015.07.001","page":"293-311","publisher":"Elsevier","source":"DOI.org (Crossref)","title":"Exercise and the regulation of endocrine hormones","URL":"https://linkinghub.elsevier.com/retrieve/pii/S1877117315001337","volume":"135","author":[{"family":"Hackney","given":"Anthony C."},{"family":"Lane","given":"Amy R."}],"accessed":{"date-parts":[["2021",3,1]]},"issued":{"date-parts":[["2015"]]}}}],"schema":"https://github.com/citation-style-language/schema/raw/master/csl-citation.json"} </w:instrText>
      </w:r>
      <w:r w:rsidR="00C46796">
        <w:rPr>
          <w:rFonts w:ascii="Times New Roman" w:hAnsi="Times New Roman" w:cs="Times New Roman"/>
          <w:noProof/>
        </w:rPr>
        <w:fldChar w:fldCharType="separate"/>
      </w:r>
      <w:r w:rsidR="00C46796">
        <w:rPr>
          <w:rFonts w:ascii="Times New Roman" w:hAnsi="Times New Roman" w:cs="Times New Roman"/>
          <w:noProof/>
        </w:rPr>
        <w:t>(Hackney &amp; Lane, 2015)</w:t>
      </w:r>
      <w:r w:rsidR="00C46796">
        <w:rPr>
          <w:rFonts w:ascii="Times New Roman" w:hAnsi="Times New Roman" w:cs="Times New Roman"/>
          <w:noProof/>
        </w:rPr>
        <w:fldChar w:fldCharType="end"/>
      </w:r>
      <w:r>
        <w:rPr>
          <w:rFonts w:ascii="Times New Roman" w:hAnsi="Times New Roman" w:cs="Times New Roman"/>
        </w:rPr>
        <w:t xml:space="preserve">. Acute endocrine responses from training sessions occur due to a variety of different reasons but have been shown to usually be proportional to intensities of the session. Chronic exposures are dependent upon the intensity, duration, and frequency and can result in positive physiological adaptations, however, stagnation from insufficient stimulus or maladaptation from excessive work completed may lead to non-functional overreaching, and eventually overtraining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{"citationID":"EKcP0JSa","properties":{"formattedCitation":"(Angeli et al., 2004; Hackney &amp; Lane, 2015; Kraemer &amp; Ratamess, 2005)","plainCitation":"(Angeli et al., 2004; Hackney &amp; Lane, 2015; Kraemer &amp; Ratamess, 2005)","noteIndex":0},"citationItems":[{"id":168,"uris":["http://zotero.org/users/6327055/items/AT4MIV4U"],"itemData":{"id":168,"type":"article-journal","container-title":"Journal of Endocrinological Investigation","DOI":"10.1007/BF03347487","ISSN":"0391-4097, 1720-8386","issue":"6","journalAbbreviation":"J Endocrinol Invest","language":"en","page":"603-612","source":"DOI.org (Crossref)","title":"The overtraining syndrome in athletes: a stress-related disorder","title-short":"The overtraining syndrome in athletes","volume":"27","author":[{"family":"Angeli","given":"A."},{"family":"Minetto","given":"M."},{"family":"Dovio","given":"A."},{"family":"Paccotti","given":"P."}],"issued":{"date-parts":[["2004",6]]}}},{"id":152,"uris":["http://zotero.org/users/6327055/items/EK6SMPW2"],"itemData":{"id":152,"type":"chapter","container-title":"Progress in Molecular Biology and Translational Science","ISBN":"978-0-12-803991-5","language":"en","note":"DOI: 10.1016/bs.pmbts.2015.07.001","page":"293-311","publisher":"Elsevier","source":"DOI.org (Crossref)","title":"Exercise and the regulation of endocrine hormones","URL":"https://linkinghub.elsevier.com/retrieve/pii/S1877117315001337","volume":"135","author":[{"family":"Hackney","given":"Anthony C."},{"family":"Lane","given":"Amy R."}],"accessed":{"date-parts":[["2021",3,1]]},"issued":{"date-parts":[["2015"]]}}},{"id":129,"uris":["http://zotero.org/users/6327055/items/SPBDA3V8"],"itemData":{"id":129,"type":"article-journal","container-title":"Sports Medicine","DOI":"10.2165/00007256-200535040-00004","ISSN":"0112-1642","issue":"4","journalAbbreviation":"Sports Medicine","language":"en","page":"339-361","source":"DOI.org (Crossref)","title":"Hormonal responses and adaptations to resistance exercise and training:","title-short":"Hormonal Responses and Adaptations to Resistance Exercise and Training","volume":"35","author":[{"family":"Kraemer","given":"William J"},{"family":"Ratamess","given":"Nicholas A"}],"issued":{"date-parts":[["2005"]]}}}],"schema":"https://github.com/citation-style-language/schema/raw/master/csl-citation.json"} </w:instrText>
      </w:r>
      <w:r w:rsidR="00C46796">
        <w:rPr>
          <w:rFonts w:ascii="Times New Roman" w:hAnsi="Times New Roman" w:cs="Times New Roman"/>
          <w:noProof/>
        </w:rPr>
        <w:fldChar w:fldCharType="separate"/>
      </w:r>
      <w:r w:rsidR="00C46796">
        <w:rPr>
          <w:rFonts w:ascii="Times New Roman" w:hAnsi="Times New Roman" w:cs="Times New Roman"/>
          <w:noProof/>
        </w:rPr>
        <w:t>(Angeli et al., 2004; Hackney &amp; Lane, 2015; Kraemer &amp; Ratamess, 2005)</w:t>
      </w:r>
      <w:r w:rsidR="00C46796">
        <w:rPr>
          <w:rFonts w:ascii="Times New Roman" w:hAnsi="Times New Roman" w:cs="Times New Roman"/>
          <w:noProof/>
        </w:rPr>
        <w:fldChar w:fldCharType="end"/>
      </w:r>
      <w:r>
        <w:rPr>
          <w:rFonts w:ascii="Times New Roman" w:hAnsi="Times New Roman" w:cs="Times New Roman"/>
        </w:rPr>
        <w:t xml:space="preserve">. Therefore, monitoring </w:t>
      </w:r>
      <w:r>
        <w:rPr>
          <w:rFonts w:ascii="Times New Roman" w:hAnsi="Times New Roman" w:cs="Times New Roman"/>
        </w:rPr>
        <w:lastRenderedPageBreak/>
        <w:t xml:space="preserve">hormonal responses to training responses as well as through a training phase may provide practitioners insight into the physiological adjustments of the athletes. </w:t>
      </w:r>
    </w:p>
    <w:p w14:paraId="4B1553B6" w14:textId="4D04CB7A" w:rsidR="003F3D08" w:rsidRPr="00FC08AB" w:rsidRDefault="003F3D08" w:rsidP="00FC08AB">
      <w:pPr>
        <w:pStyle w:val="Heading3"/>
        <w:spacing w:line="480" w:lineRule="auto"/>
        <w:rPr>
          <w:rFonts w:ascii="Times New Roman" w:hAnsi="Times New Roman" w:cs="Times New Roman"/>
          <w:b/>
          <w:bCs/>
          <w:i/>
          <w:iCs/>
          <w:color w:val="000000" w:themeColor="text1"/>
        </w:rPr>
      </w:pPr>
      <w:bookmarkStart w:id="32" w:name="_Toc99267611"/>
      <w:r w:rsidRPr="00FC08AB">
        <w:rPr>
          <w:rFonts w:ascii="Times New Roman" w:hAnsi="Times New Roman" w:cs="Times New Roman"/>
          <w:b/>
          <w:bCs/>
          <w:i/>
          <w:iCs/>
          <w:color w:val="000000" w:themeColor="text1"/>
        </w:rPr>
        <w:t>Testosterone</w:t>
      </w:r>
      <w:bookmarkEnd w:id="32"/>
    </w:p>
    <w:p w14:paraId="0C3950DA" w14:textId="2F43580C" w:rsidR="003F3D08" w:rsidRDefault="003F3D08" w:rsidP="003F3D08">
      <w:pPr>
        <w:spacing w:line="480" w:lineRule="auto"/>
        <w:jc w:val="both"/>
        <w:rPr>
          <w:rFonts w:ascii="Times New Roman" w:hAnsi="Times New Roman" w:cs="Times New Roman"/>
        </w:rPr>
      </w:pPr>
      <w:r>
        <w:rPr>
          <w:rFonts w:ascii="Times New Roman" w:hAnsi="Times New Roman" w:cs="Times New Roman"/>
          <w:i/>
          <w:iCs/>
        </w:rPr>
        <w:tab/>
      </w:r>
      <w:r>
        <w:rPr>
          <w:rFonts w:ascii="Times New Roman" w:hAnsi="Times New Roman" w:cs="Times New Roman"/>
        </w:rPr>
        <w:t>T</w:t>
      </w:r>
      <w:r w:rsidR="0018651C">
        <w:rPr>
          <w:rFonts w:ascii="Times New Roman" w:hAnsi="Times New Roman" w:cs="Times New Roman"/>
        </w:rPr>
        <w:t>estosterone (T)</w:t>
      </w:r>
      <w:r>
        <w:rPr>
          <w:rFonts w:ascii="Times New Roman" w:hAnsi="Times New Roman" w:cs="Times New Roman"/>
        </w:rPr>
        <w:t xml:space="preserve"> is an androgenic steroid hormone that is mainly controlled and regulated by the hypothalamic-pituitary axis and is thought to possess abilities of anabolism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{"citationID":"5BwLLNhs","properties":{"formattedCitation":"(Fry &amp; Kraemer, 1997)","plainCitation":"(Fry &amp; Kraemer, 1997)","noteIndex":0},"citationItems":[{"id":307,"uris":["http://zotero.org/users/6327055/items/BXK53BM5"],"itemData":{"id":307,"type":"article-journal","container-title":"Sports Medicine","DOI":"10.2165/00007256-199723020-00004","ISSN":"0112-1642","issue":"2","journalAbbreviation":"Sports Medicine","language":"en","page":"106-129","source":"DOI.org (Crossref)","title":"Resistance exercise overtraining and overreaching: neuroendocrine responses","title-short":"Resistance Exercise Overtraining and Overreaching","volume":"23","author":[{"family":"Fry","given":"Andrew C."},{"family":"Kraemer","given":"William J."}],"issued":{"date-parts":[["1997",2]]}}}],"schema":"https://github.com/citation-style-language/schema/raw/master/csl-citation.json"} </w:instrText>
      </w:r>
      <w:r w:rsidR="00C46796">
        <w:rPr>
          <w:rFonts w:ascii="Times New Roman" w:hAnsi="Times New Roman" w:cs="Times New Roman"/>
          <w:noProof/>
        </w:rPr>
        <w:fldChar w:fldCharType="separate"/>
      </w:r>
      <w:r w:rsidR="00C46796">
        <w:rPr>
          <w:rFonts w:ascii="Times New Roman" w:hAnsi="Times New Roman" w:cs="Times New Roman"/>
          <w:noProof/>
        </w:rPr>
        <w:t>(Fry &amp; Kraemer, 1997)</w:t>
      </w:r>
      <w:r w:rsidR="00C46796">
        <w:rPr>
          <w:rFonts w:ascii="Times New Roman" w:hAnsi="Times New Roman" w:cs="Times New Roman"/>
          <w:noProof/>
        </w:rPr>
        <w:fldChar w:fldCharType="end"/>
      </w:r>
      <w:r>
        <w:rPr>
          <w:rFonts w:ascii="Times New Roman" w:hAnsi="Times New Roman" w:cs="Times New Roman"/>
        </w:rPr>
        <w:t xml:space="preserve">. </w:t>
      </w:r>
      <w:r w:rsidR="00B436BD">
        <w:rPr>
          <w:rFonts w:ascii="Times New Roman" w:hAnsi="Times New Roman" w:cs="Times New Roman"/>
        </w:rPr>
        <w:t xml:space="preserve">Systemic T can be taken up through either membrane bound or cytoplasmic androgen receptors which stimulates myocellular signaling </w:t>
      </w:r>
      <w:r w:rsidR="00335BBA">
        <w:rPr>
          <w:rFonts w:ascii="Times New Roman" w:hAnsi="Times New Roman" w:cs="Times New Roman"/>
        </w:rPr>
        <w:t xml:space="preserve">through various pathways including the mammalian target of rapamycin (mTOR) </w:t>
      </w:r>
      <w:r w:rsidR="00B436BD">
        <w:rPr>
          <w:rFonts w:ascii="Times New Roman" w:hAnsi="Times New Roman" w:cs="Times New Roman"/>
        </w:rPr>
        <w:t xml:space="preserve">for alterations in gene expression, </w:t>
      </w:r>
      <w:r w:rsidR="00335BBA">
        <w:rPr>
          <w:rFonts w:ascii="Times New Roman" w:hAnsi="Times New Roman" w:cs="Times New Roman"/>
        </w:rPr>
        <w:t xml:space="preserve">cell proliferation, autophagy, </w:t>
      </w:r>
      <w:r w:rsidR="00B436BD">
        <w:rPr>
          <w:rFonts w:ascii="Times New Roman" w:hAnsi="Times New Roman" w:cs="Times New Roman"/>
        </w:rPr>
        <w:t xml:space="preserve">fiber type, and other mechanisms incorporated in the regulation of skeletal muscle </w:t>
      </w:r>
      <w:r w:rsidR="00B436BD">
        <w:rPr>
          <w:rFonts w:ascii="Times New Roman" w:hAnsi="Times New Roman" w:cs="Times New Roman"/>
        </w:rPr>
        <w:fldChar w:fldCharType="begin"/>
      </w:r>
      <w:r w:rsidR="00B436BD">
        <w:rPr>
          <w:rFonts w:ascii="Times New Roman" w:hAnsi="Times New Roman" w:cs="Times New Roman"/>
        </w:rPr>
        <w:instrText xml:space="preserve"> ADDIN ZOTERO_ITEM CSL_CITATION {"citationID":"Jorl8546","properties":{"formattedCitation":"(Gharahdaghi et al., 2021)","plainCitation":"(Gharahdaghi et al., 2021)","noteIndex":0},"citationItems":[{"id":607,"uris":["http://zotero.org/users/6327055/items/2FGPN3BC"],"itemData":{"id":607,"type":"article-journal","abstract":"Maintenance of skeletal muscle mass throughout the life course is key for the regulation of health, with physical activity a critical component of this, in part, due to its inﬂuence upon key hormones such as testosterone, estrogen, growth hormone (GH), and insulin-like growth factor (IGF). Despite the importance of these hormones for the regulation of skeletal muscle mass in response to different types of exercise, their interaction with the processes controlling muscle mass remain unclear. This review presents evidence on the importance of these hormones in the regulation of skeletal muscle mass and their responses, and involvement in muscle adaptation to resistance exercise. Highlighting the key role testosterone plays as a primary anabolic hormone in muscle adaptation following exercise training, through its interaction with anabolic signaling pathways and other hormones via the androgen receptor (AR), this review also describes the potential importance of ﬂuctuations in other hormones such as GH and IGF-1 in concert with dietary amino acid availability; and the role of estrogen, under the inﬂuence of the menstrual cycle and menopause, being especially important in adaptive exercise responses in women. Finally, the downstream mechanisms by which these hormones impact regulation of muscle protein turnover (synthesis and breakdown), and thus muscle mass are discussed. Advances in our understanding of hormones that impact protein turnover throughout life offers great relevance, not just for athletes, but also for the general and clinical populations alike.","container-title":"Frontiers in Physiology","DOI":"10.3389/fphys.2020.621226","ISSN":"1664-042X","journalAbbreviation":"Front. Physiol.","language":"en","page":"621226","source":"DOI.org (Crossref)","title":"Links between testosterone, oestrogen, and the growth hormone/insulin-like growth factor axis and resistance exercise muscle adaptations","volume":"11","author":[{"family":"Gharahdaghi","given":"Nima"},{"family":"Phillips","given":"Bethan E."},{"family":"Szewczyk","given":"Nathaniel J."},{"family":"Smith","given":"Ken"},{"family":"Wilkinson","given":"Daniel J."},{"family":"Atherton","given":"Philip J."}],"issued":{"date-parts":[["2021",1,15]]}}}],"schema":"https://github.com/citation-style-language/schema/raw/master/csl-citation.json"} </w:instrText>
      </w:r>
      <w:r w:rsidR="00B436BD">
        <w:rPr>
          <w:rFonts w:ascii="Times New Roman" w:hAnsi="Times New Roman" w:cs="Times New Roman"/>
        </w:rPr>
        <w:fldChar w:fldCharType="separate"/>
      </w:r>
      <w:r w:rsidR="00B436BD">
        <w:rPr>
          <w:rFonts w:ascii="Times New Roman" w:hAnsi="Times New Roman" w:cs="Times New Roman"/>
          <w:noProof/>
        </w:rPr>
        <w:t>(Gharahdaghi et al., 2021)</w:t>
      </w:r>
      <w:r w:rsidR="00B436BD">
        <w:rPr>
          <w:rFonts w:ascii="Times New Roman" w:hAnsi="Times New Roman" w:cs="Times New Roman"/>
        </w:rPr>
        <w:fldChar w:fldCharType="end"/>
      </w:r>
      <w:r w:rsidR="00B436BD">
        <w:rPr>
          <w:rFonts w:ascii="Times New Roman" w:hAnsi="Times New Roman" w:cs="Times New Roman"/>
        </w:rPr>
        <w:t xml:space="preserve">. </w:t>
      </w:r>
      <w:r>
        <w:rPr>
          <w:rFonts w:ascii="Times New Roman" w:hAnsi="Times New Roman" w:cs="Times New Roman"/>
        </w:rPr>
        <w:t xml:space="preserve">T has been commonly thought to be an indicator of anabolic status due to the relationship in increases in concentration and increases in </w:t>
      </w:r>
      <w:r w:rsidR="00362C5F">
        <w:rPr>
          <w:rFonts w:ascii="Times New Roman" w:hAnsi="Times New Roman" w:cs="Times New Roman"/>
        </w:rPr>
        <w:t>protein synthesis and decreases in protein degradation</w:t>
      </w:r>
      <w:r w:rsidR="00D75EC6">
        <w:rPr>
          <w:rFonts w:ascii="Times New Roman" w:hAnsi="Times New Roman" w:cs="Times New Roman"/>
        </w:rPr>
        <w:t>. Furthermore, effects on bone, connective tissue, and neural tissue development has shown to be increased leading</w:t>
      </w:r>
      <w:r w:rsidR="00362C5F">
        <w:rPr>
          <w:rFonts w:ascii="Times New Roman" w:hAnsi="Times New Roman" w:cs="Times New Roman"/>
        </w:rPr>
        <w:t xml:space="preserve"> to </w:t>
      </w:r>
      <w:r>
        <w:rPr>
          <w:rFonts w:ascii="Times New Roman" w:hAnsi="Times New Roman" w:cs="Times New Roman"/>
        </w:rPr>
        <w:t>muscular strength</w:t>
      </w:r>
      <w:r w:rsidR="00D75EC6">
        <w:rPr>
          <w:rFonts w:ascii="Times New Roman" w:hAnsi="Times New Roman" w:cs="Times New Roman"/>
        </w:rPr>
        <w:t>, power, endurance,</w:t>
      </w:r>
      <w:r>
        <w:rPr>
          <w:rFonts w:ascii="Times New Roman" w:hAnsi="Times New Roman" w:cs="Times New Roman"/>
        </w:rPr>
        <w:t xml:space="preserve"> and growth </w:t>
      </w:r>
      <w:r w:rsidR="00D75EC6">
        <w:rPr>
          <w:rFonts w:ascii="Times New Roman" w:hAnsi="Times New Roman" w:cs="Times New Roman"/>
        </w:rPr>
        <w:t xml:space="preserve">within a dose-dependent manner </w:t>
      </w:r>
      <w:r w:rsidR="00C46796">
        <w:rPr>
          <w:rFonts w:ascii="Times New Roman" w:hAnsi="Times New Roman" w:cs="Times New Roman"/>
          <w:noProof/>
        </w:rPr>
        <w:fldChar w:fldCharType="begin"/>
      </w:r>
      <w:r w:rsidR="00D75EC6">
        <w:rPr>
          <w:rFonts w:ascii="Times New Roman" w:hAnsi="Times New Roman" w:cs="Times New Roman"/>
          <w:noProof/>
        </w:rPr>
        <w:instrText xml:space="preserve"> ADDIN ZOTERO_ITEM CSL_CITATION {"citationID":"8qnAeOLQ","properties":{"formattedCitation":"(Gharahdaghi et al., 2021; Kraemer &amp; Ratamess, 2005)","plainCitation":"(Gharahdaghi et al., 2021; Kraemer &amp; Ratamess, 2005)","noteIndex":0},"citationItems":[{"id":607,"uris":["http://zotero.org/users/6327055/items/2FGPN3BC"],"itemData":{"id":607,"type":"article-journal","abstract":"Maintenance of skeletal muscle mass throughout the life course is key for the regulation of health, with physical activity a critical component of this, in part, due to its inﬂuence upon key hormones such as testosterone, estrogen, growth hormone (GH), and insulin-like growth factor (IGF). Despite the importance of these hormones for the regulation of skeletal muscle mass in response to different types of exercise, their interaction with the processes controlling muscle mass remain unclear. This review presents evidence on the importance of these hormones in the regulation of skeletal muscle mass and their responses, and involvement in muscle adaptation to resistance exercise. Highlighting the key role testosterone plays as a primary anabolic hormone in muscle adaptation following exercise training, through its interaction with anabolic signaling pathways and other hormones via the androgen receptor (AR), this review also describes the potential importance of ﬂuctuations in other hormones such as GH and IGF-1 in concert with dietary amino acid availability; and the role of estrogen, under the inﬂuence of the menstrual cycle and menopause, being especially important in adaptive exercise responses in women. Finally, the downstream mechanisms by which these hormones impact regulation of muscle protein turnover (synthesis and breakdown), and thus muscle mass are discussed. Advances in our understanding of hormones that impact protein turnover throughout life offers great relevance, not just for athletes, but also for the general and clinical populations alike.","container-title":"Frontiers in Physiology","DOI":"10.3389/fphys.2020.621226","ISSN":"1664-042X","journalAbbreviation":"Front. Physiol.","language":"en","page":"621226","source":"DOI.org (Crossref)","title":"Links between testosterone, oestrogen, and the growth hormone/insulin-like growth factor axis and resistance exercise muscle adaptations","volume":"11","author":[{"family":"Gharahdaghi","given":"Nima"},{"family":"Phillips","given":"Bethan E."},{"family":"Szewczyk","given":"Nathaniel J."},{"family":"Smith","given":"Ken"},{"family":"Wilkinson","given":"Daniel J."},{"family":"Atherton","given":"Philip J."}],"issued":{"date-parts":[["2021",1,15]]}}},{"id":129,"uris":["http://zotero.org/users/6327055/items/SPBDA3V8"],"itemData":{"id":129,"type":"article-journal","container-title":"Sports Medicine","DOI":"10.2165/00007256-200535040-00004","ISSN":"0112-1642","issue":"4","journalAbbreviation":"Sports Medicine","language":"en","page":"339-361","source":"DOI.org (Crossref)","title":"Hormonal responses and adaptations to resistance exercise and training:","title-short":"Hormonal Responses and Adaptations to Resistance Exercise and Training","volume":"35","author":[{"family":"Kraemer","given":"William J"},{"family":"Ratamess","given":"Nicholas A"}],"issued":{"date-parts":[["2005"]]}}}],"schema":"https://github.com/citation-style-language/schema/raw/master/csl-citation.json"} </w:instrText>
      </w:r>
      <w:r w:rsidR="00C46796">
        <w:rPr>
          <w:rFonts w:ascii="Times New Roman" w:hAnsi="Times New Roman" w:cs="Times New Roman"/>
          <w:noProof/>
        </w:rPr>
        <w:fldChar w:fldCharType="separate"/>
      </w:r>
      <w:r w:rsidR="00D75EC6">
        <w:rPr>
          <w:rFonts w:ascii="Times New Roman" w:hAnsi="Times New Roman" w:cs="Times New Roman"/>
          <w:noProof/>
        </w:rPr>
        <w:t>(Gharahdaghi et al., 2021; Kraemer &amp; Ratamess, 2005)</w:t>
      </w:r>
      <w:r w:rsidR="00C46796">
        <w:rPr>
          <w:rFonts w:ascii="Times New Roman" w:hAnsi="Times New Roman" w:cs="Times New Roman"/>
          <w:noProof/>
        </w:rPr>
        <w:fldChar w:fldCharType="end"/>
      </w:r>
      <w:r>
        <w:rPr>
          <w:rFonts w:ascii="Times New Roman" w:hAnsi="Times New Roman" w:cs="Times New Roman"/>
        </w:rPr>
        <w:t>.</w:t>
      </w:r>
      <w:r w:rsidR="00D75EC6">
        <w:rPr>
          <w:rFonts w:ascii="Times New Roman" w:hAnsi="Times New Roman" w:cs="Times New Roman"/>
        </w:rPr>
        <w:t xml:space="preserve"> </w:t>
      </w:r>
      <w:r w:rsidR="00085376">
        <w:rPr>
          <w:rFonts w:ascii="Times New Roman" w:hAnsi="Times New Roman" w:cs="Times New Roman"/>
        </w:rPr>
        <w:t xml:space="preserve">Additionally, T displays </w:t>
      </w:r>
      <w:r w:rsidR="00D75EC6">
        <w:rPr>
          <w:rFonts w:ascii="Times New Roman" w:hAnsi="Times New Roman" w:cs="Times New Roman"/>
        </w:rPr>
        <w:t xml:space="preserve">support to anabolism </w:t>
      </w:r>
      <w:r w:rsidR="00085376">
        <w:rPr>
          <w:rFonts w:ascii="Times New Roman" w:hAnsi="Times New Roman" w:cs="Times New Roman"/>
        </w:rPr>
        <w:t xml:space="preserve">indirectly through stimulating the secretion of other anabolic hormones </w:t>
      </w:r>
      <w:r w:rsidR="00085376">
        <w:rPr>
          <w:rFonts w:ascii="Times New Roman" w:hAnsi="Times New Roman" w:cs="Times New Roman"/>
        </w:rPr>
        <w:fldChar w:fldCharType="begin"/>
      </w:r>
      <w:r w:rsidR="00085376">
        <w:rPr>
          <w:rFonts w:ascii="Times New Roman" w:hAnsi="Times New Roman" w:cs="Times New Roman"/>
        </w:rPr>
        <w:instrText xml:space="preserve"> ADDIN ZOTERO_ITEM CSL_CITATION {"citationID":"Kb4jbOb2","properties":{"formattedCitation":"(Fry &amp; Kraemer, 1997; Kraemer &amp; Ratamess, 2005)","plainCitation":"(Fry &amp; Kraemer, 1997; Kraemer &amp; Ratamess, 2005)","noteIndex":0},"citationItems":[{"id":307,"uris":["http://zotero.org/users/6327055/items/BXK53BM5"],"itemData":{"id":307,"type":"article-journal","container-title":"Sports Medicine","DOI":"10.2165/00007256-199723020-00004","ISSN":"0112-1642","issue":"2","journalAbbreviation":"Sports Medicine","language":"en","page":"106-129","source":"DOI.org (Crossref)","title":"Resistance exercise overtraining and overreaching: neuroendocrine responses","title-short":"Resistance Exercise Overtraining and Overreaching","volume":"23","author":[{"family":"Fry","given":"Andrew C."},{"family":"Kraemer","given":"William J."}],"issued":{"date-parts":[["1997",2]]}}},{"id":129,"uris":["http://zotero.org/users/6327055/items/SPBDA3V8"],"itemData":{"id":129,"type":"article-journal","container-title":"Sports Medicine","DOI":"10.2165/00007256-200535040-00004","ISSN":"0112-1642","issue":"4","journalAbbreviation":"Sports Medicine","language":"en","page":"339-361","source":"DOI.org (Crossref)","title":"Hormonal responses and adaptations to resistance exercise and training:","title-short":"Hormonal Responses and Adaptations to Resistance Exercise and Training","volume":"35","author":[{"family":"Kraemer","given":"William J"},{"family":"Ratamess","given":"Nicholas A"}],"issued":{"date-parts":[["2005"]]}}}],"schema":"https://github.com/citation-style-language/schema/raw/master/csl-citation.json"} </w:instrText>
      </w:r>
      <w:r w:rsidR="00085376">
        <w:rPr>
          <w:rFonts w:ascii="Times New Roman" w:hAnsi="Times New Roman" w:cs="Times New Roman"/>
        </w:rPr>
        <w:fldChar w:fldCharType="separate"/>
      </w:r>
      <w:r w:rsidR="00085376">
        <w:rPr>
          <w:rFonts w:ascii="Times New Roman" w:hAnsi="Times New Roman" w:cs="Times New Roman"/>
          <w:noProof/>
        </w:rPr>
        <w:t>(Fry &amp; Kraemer, 1997; Kraemer &amp; Ratamess, 2005)</w:t>
      </w:r>
      <w:r w:rsidR="00085376">
        <w:rPr>
          <w:rFonts w:ascii="Times New Roman" w:hAnsi="Times New Roman" w:cs="Times New Roman"/>
        </w:rPr>
        <w:fldChar w:fldCharType="end"/>
      </w:r>
      <w:r w:rsidR="00085376">
        <w:rPr>
          <w:rFonts w:ascii="Times New Roman" w:hAnsi="Times New Roman" w:cs="Times New Roman"/>
        </w:rPr>
        <w:t xml:space="preserve">. </w:t>
      </w:r>
      <w:r>
        <w:rPr>
          <w:rFonts w:ascii="Times New Roman" w:hAnsi="Times New Roman" w:cs="Times New Roman"/>
        </w:rPr>
        <w:t xml:space="preserve">Interestingly, with improvements in training status, </w:t>
      </w:r>
      <w:r w:rsidR="00D813B2">
        <w:rPr>
          <w:rFonts w:ascii="Times New Roman" w:hAnsi="Times New Roman" w:cs="Times New Roman"/>
        </w:rPr>
        <w:t>it</w:t>
      </w:r>
      <w:r>
        <w:rPr>
          <w:rFonts w:ascii="Times New Roman" w:hAnsi="Times New Roman" w:cs="Times New Roman"/>
        </w:rPr>
        <w:t xml:space="preserve"> has be shown that the </w:t>
      </w:r>
      <w:r w:rsidR="00F16521">
        <w:rPr>
          <w:rFonts w:ascii="Times New Roman" w:hAnsi="Times New Roman" w:cs="Times New Roman"/>
        </w:rPr>
        <w:t xml:space="preserve">T </w:t>
      </w:r>
      <w:r>
        <w:rPr>
          <w:rFonts w:ascii="Times New Roman" w:hAnsi="Times New Roman" w:cs="Times New Roman"/>
        </w:rPr>
        <w:t xml:space="preserve">response after a bout of exercise is enhanced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{"citationID":"fgTMRykj","properties":{"formattedCitation":"(Pliauga et al., 2015)","plainCitation":"(Pliauga et al., 2015)","noteIndex":0},"citationItems":[{"id":362,"uris":["http://zotero.org/users/6327055/items/MV7J8JRT"],"itemData":{"id":362,"type":"article-journal","abstract":"Despite extensive data regarding the demands of playing basketball, the relative importance of factors that cause fatigue and muscle potentiation has been explored only tentatively and remains unclear. The aim of this experimental field study was to assess changes in leg muscle power and relate these changes to body temperature modifications and indices of exercise-induced muscle damage in response to a simulated basketball game. College-level male basketball players (n=10) were divided into two teams to play a simulated basketball game. Ten-meter sprint and vertical counter-movement jump tests, core body temperature and creatine-kinase activity were measured within 48 h after the game. The participants’ body temperatures increased after a warm-up (1.9%, p&lt;0.05), continued to increase throughout the game, and reached 39.4 ± 0.4ºC after the fourth quarter (p&lt;0.05). The increase in temperature during the warm-up was accompanied by an improvement in the 10-meter sprint time (5.5%, p&lt;0.05) and jump height (3.8%, p&lt;0.05). The players were able to maintain leg power up to the fourth quarter, i.e., during the major part of the basketball game. There was a significant increase in creatine-kinase at 24 h (&gt;200%, p&lt;0.05) and 48 h (&gt;30%, p&lt;0.05) after the game, indicating damage to the players’ muscles. The basketball players’ sprint and jump performance appear to be at least in part associated with body temperature changes, which might contribute to counteract fatigue during the larger part of a basketball game.","container-title":"Journal of Human Kinetics","DOI":"10.1515/hukin-2015-0045","ISSN":"1899-7562","issue":"1","language":"en","page":"167-175","source":"DOI.org (Crossref)","title":"The effect of a simulated basketball game on players’ sprint and jump performance, temperature and muscle damage","volume":"46","author":[{"family":"Pliauga","given":"Vytautas"},{"family":"Kamandulis","given":"Sigitas"},{"family":"Dargevičiūtė","given":"Gintarė"},{"family":"Jaszczanin","given":"Jan"},{"family":"Klizienė","given":"Irina"},{"family":"Stanislovaitienė","given":"Jūratė"},{"family":"Stanislovaitis","given":"Aleksas"}],"issued":{"date-parts":[["2015",6,1]]}}}],"schema":"https://github.com/citation-style-language/schema/raw/master/csl-citation.json"} </w:instrText>
      </w:r>
      <w:r w:rsidR="00C46796">
        <w:rPr>
          <w:rFonts w:ascii="Times New Roman" w:hAnsi="Times New Roman" w:cs="Times New Roman"/>
          <w:noProof/>
        </w:rPr>
        <w:fldChar w:fldCharType="separate"/>
      </w:r>
      <w:r w:rsidR="00C46796">
        <w:rPr>
          <w:rFonts w:ascii="Times New Roman" w:hAnsi="Times New Roman" w:cs="Times New Roman"/>
          <w:noProof/>
        </w:rPr>
        <w:t>(Pliauga et al., 2015)</w:t>
      </w:r>
      <w:r w:rsidR="00C46796">
        <w:rPr>
          <w:rFonts w:ascii="Times New Roman" w:hAnsi="Times New Roman" w:cs="Times New Roman"/>
          <w:noProof/>
        </w:rPr>
        <w:fldChar w:fldCharType="end"/>
      </w:r>
      <w:r>
        <w:rPr>
          <w:rFonts w:ascii="Times New Roman" w:hAnsi="Times New Roman" w:cs="Times New Roman"/>
        </w:rPr>
        <w:t xml:space="preserve">. Additionally, engagement in exercise incorporating more muscle mass has found to produce a higher </w:t>
      </w:r>
      <w:r w:rsidR="00F16521">
        <w:rPr>
          <w:rFonts w:ascii="Times New Roman" w:hAnsi="Times New Roman" w:cs="Times New Roman"/>
        </w:rPr>
        <w:t xml:space="preserve">T </w:t>
      </w:r>
      <w:r>
        <w:rPr>
          <w:rFonts w:ascii="Times New Roman" w:hAnsi="Times New Roman" w:cs="Times New Roman"/>
        </w:rPr>
        <w:t xml:space="preserve">response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{"citationID":"dUY4V69t","properties":{"formattedCitation":"(Kraemer &amp; Ratamess, 2005)","plainCitation":"(Kraemer &amp; Ratamess, 2005)","noteIndex":0},"citationItems":[{"id":129,"uris":["http://zotero.org/users/6327055/items/SPBDA3V8"],"itemData":{"id":129,"type":"article-journal","container-title":"Sports Medicine","DOI":"10.2165/00007256-200535040-00004","ISSN":"0112-1642","issue":"4","journalAbbreviation":"Sports Medicine","language":"en","page":"339-361","source":"DOI.org (Crossref)","title":"Hormonal responses and adaptations to resistance exercise and training:","title-short":"Hormonal Responses and Adaptations to Resistance Exercise and Training","volume":"35","author":[{"family":"Kraemer","given":"William J"},{"family":"Ratamess","given":"Nicholas A"}],"issued":{"date-parts":[["2005"]]}}}],"schema":"https://github.com/citation-style-language/schema/raw/master/csl-citation.json"} </w:instrText>
      </w:r>
      <w:r w:rsidR="00C46796">
        <w:rPr>
          <w:rFonts w:ascii="Times New Roman" w:hAnsi="Times New Roman" w:cs="Times New Roman"/>
          <w:noProof/>
        </w:rPr>
        <w:fldChar w:fldCharType="separate"/>
      </w:r>
      <w:r w:rsidR="00C46796">
        <w:rPr>
          <w:rFonts w:ascii="Times New Roman" w:hAnsi="Times New Roman" w:cs="Times New Roman"/>
          <w:noProof/>
        </w:rPr>
        <w:t>(Kraemer &amp; Ratamess, 2005)</w:t>
      </w:r>
      <w:r w:rsidR="00C46796">
        <w:rPr>
          <w:rFonts w:ascii="Times New Roman" w:hAnsi="Times New Roman" w:cs="Times New Roman"/>
          <w:noProof/>
        </w:rPr>
        <w:fldChar w:fldCharType="end"/>
      </w:r>
      <w:r>
        <w:rPr>
          <w:rFonts w:ascii="Times New Roman" w:hAnsi="Times New Roman" w:cs="Times New Roman"/>
        </w:rPr>
        <w:t xml:space="preserve">. This is similar in that an increase in load or number of sets completed within resistance training has been shown to enhance the magnitude of the </w:t>
      </w:r>
      <w:r w:rsidR="00F16521">
        <w:rPr>
          <w:rFonts w:ascii="Times New Roman" w:hAnsi="Times New Roman" w:cs="Times New Roman"/>
        </w:rPr>
        <w:t xml:space="preserve">T </w:t>
      </w:r>
      <w:r>
        <w:rPr>
          <w:rFonts w:ascii="Times New Roman" w:hAnsi="Times New Roman" w:cs="Times New Roman"/>
        </w:rPr>
        <w:t xml:space="preserve">response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{"citationID":"TlyGGywJ","properties":{"formattedCitation":"(Kraemer &amp; Ratamess, 2005)","plainCitation":"(Kraemer &amp; Ratamess, 2005)","noteIndex":0},"citationItems":[{"id":129,"uris":["http://zotero.org/users/6327055/items/SPBDA3V8"],"itemData":{"id":129,"type":"article-journal","container-title":"Sports Medicine","DOI":"10.2165/00007256-200535040-00004","ISSN":"0112-1642","issue":"4","journalAbbreviation":"Sports Medicine","language":"en","page":"339-361","source":"DOI.org (Crossref)","title":"Hormonal responses and adaptations to resistance exercise and training:","title-short":"Hormonal Responses and Adaptations to Resistance Exercise and Training","volume":"35","author":[{"family":"Kraemer","given":"William J"},{"family":"Ratamess","given":"Nicholas A"}],"issued":{"date-parts":[["2005"]]}}}],"schema":"https://github.com/citation-style-language/schema/raw/master/csl-citation.json"} </w:instrText>
      </w:r>
      <w:r w:rsidR="00C46796">
        <w:rPr>
          <w:rFonts w:ascii="Times New Roman" w:hAnsi="Times New Roman" w:cs="Times New Roman"/>
          <w:noProof/>
        </w:rPr>
        <w:fldChar w:fldCharType="separate"/>
      </w:r>
      <w:r w:rsidR="00C46796">
        <w:rPr>
          <w:rFonts w:ascii="Times New Roman" w:hAnsi="Times New Roman" w:cs="Times New Roman"/>
          <w:noProof/>
        </w:rPr>
        <w:t>(Kraemer &amp; Ratamess, 2005)</w:t>
      </w:r>
      <w:r w:rsidR="00C46796">
        <w:rPr>
          <w:rFonts w:ascii="Times New Roman" w:hAnsi="Times New Roman" w:cs="Times New Roman"/>
          <w:noProof/>
        </w:rPr>
        <w:fldChar w:fldCharType="end"/>
      </w:r>
      <w:r>
        <w:rPr>
          <w:rFonts w:ascii="Times New Roman" w:hAnsi="Times New Roman" w:cs="Times New Roman"/>
        </w:rPr>
        <w:t xml:space="preserve">. Although the common perception of increases in </w:t>
      </w:r>
      <w:r w:rsidR="00F16521">
        <w:rPr>
          <w:rFonts w:ascii="Times New Roman" w:hAnsi="Times New Roman" w:cs="Times New Roman"/>
        </w:rPr>
        <w:t xml:space="preserve">T </w:t>
      </w:r>
      <w:r>
        <w:rPr>
          <w:rFonts w:ascii="Times New Roman" w:hAnsi="Times New Roman" w:cs="Times New Roman"/>
        </w:rPr>
        <w:t xml:space="preserve">come from resistance training, maximal endurance exercise has also induced increases in </w:t>
      </w:r>
      <w:r w:rsidR="00F16521">
        <w:rPr>
          <w:rFonts w:ascii="Times New Roman" w:hAnsi="Times New Roman" w:cs="Times New Roman"/>
        </w:rPr>
        <w:t>T</w:t>
      </w:r>
      <w:r>
        <w:rPr>
          <w:rFonts w:ascii="Times New Roman" w:hAnsi="Times New Roman" w:cs="Times New Roman"/>
        </w:rPr>
        <w:t xml:space="preserve"> but suggest that duration and intensity may be key in this response </w:t>
      </w:r>
      <w:r w:rsidR="00C46796">
        <w:rPr>
          <w:rFonts w:ascii="Times New Roman" w:hAnsi="Times New Roman" w:cs="Times New Roman"/>
          <w:noProof/>
        </w:rPr>
        <w:lastRenderedPageBreak/>
        <w:fldChar w:fldCharType="begin"/>
      </w:r>
      <w:r w:rsidR="00546507">
        <w:rPr>
          <w:rFonts w:ascii="Times New Roman" w:hAnsi="Times New Roman" w:cs="Times New Roman"/>
          <w:noProof/>
        </w:rPr>
        <w:instrText xml:space="preserve"> ADDIN ZOTERO_ITEM CSL_CITATION {"citationID":"N7KhB5mK","properties":{"formattedCitation":"(Hackney, 1989; Hackney &amp; Lane, 2015)","plainCitation":"(Hackney, 1989; Hackney &amp; Lane, 2015)","noteIndex":0},"citationItems":[{"id":160,"uris":["http://zotero.org/users/6327055/items/D5JCG42G"],"itemData":{"id":160,"type":"article-journal","container-title":"Sports Medicine","DOI":"10.2165/00007256-198908020-00004","ISSN":"0112-1642","issue":"2","journalAbbreviation":"Sports Medicine","language":"en","page":"117-127","source":"DOI.org (Crossref)","title":"Endurance training and testosterone levels:","title-short":"Endurance Training and Testosterone Levels","volume":"8","author":[{"family":"Hackney","given":"Anthony C."}],"issued":{"date-parts":[["1989",8]]}}},{"id":152,"uris":["http://zotero.org/users/6327055/items/EK6SMPW2"],"itemData":{"id":152,"type":"chapter","container-title":"Progress in Molecular Biology and Translational Science","ISBN":"978-0-12-803991-5","language":"en","note":"DOI: 10.1016/bs.pmbts.2015.07.001","page":"293-311","publisher":"Elsevier","source":"DOI.org (Crossref)","title":"Exercise and the regulation of endocrine hormones","URL":"https://linkinghub.elsevier.com/retrieve/pii/S1877117315001337","volume":"135","author":[{"family":"Hackney","given":"Anthony C."},{"family":"Lane","given":"Amy R."}],"accessed":{"date-parts":[["2021",3,1]]},"issued":{"date-parts":[["2015"]]}}}],"schema":"https://github.com/citation-style-language/schema/raw/master/csl-citation.json"} </w:instrText>
      </w:r>
      <w:r w:rsidR="00C46796">
        <w:rPr>
          <w:rFonts w:ascii="Times New Roman" w:hAnsi="Times New Roman" w:cs="Times New Roman"/>
          <w:noProof/>
        </w:rPr>
        <w:fldChar w:fldCharType="separate"/>
      </w:r>
      <w:r w:rsidR="00D24379">
        <w:rPr>
          <w:rFonts w:ascii="Times New Roman" w:hAnsi="Times New Roman" w:cs="Times New Roman"/>
          <w:noProof/>
        </w:rPr>
        <w:t>(Hackney, 1989; Hackney &amp; Lane, 2015)</w:t>
      </w:r>
      <w:r w:rsidR="00C46796">
        <w:rPr>
          <w:rFonts w:ascii="Times New Roman" w:hAnsi="Times New Roman" w:cs="Times New Roman"/>
          <w:noProof/>
        </w:rPr>
        <w:fldChar w:fldCharType="end"/>
      </w:r>
      <w:r>
        <w:rPr>
          <w:rFonts w:ascii="Times New Roman" w:hAnsi="Times New Roman" w:cs="Times New Roman"/>
        </w:rPr>
        <w:t xml:space="preserve">. Previous literature has found that the </w:t>
      </w:r>
      <w:r w:rsidR="00F16521">
        <w:rPr>
          <w:rFonts w:ascii="Times New Roman" w:hAnsi="Times New Roman" w:cs="Times New Roman"/>
        </w:rPr>
        <w:t xml:space="preserve">T </w:t>
      </w:r>
      <w:r>
        <w:rPr>
          <w:rFonts w:ascii="Times New Roman" w:hAnsi="Times New Roman" w:cs="Times New Roman"/>
        </w:rPr>
        <w:t xml:space="preserve">concentrations within a cohort of collegiate male basketball players ranged from 0.37 – 0.69 nmol/L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{"citationID":"KJtQZFh3","properties":{"formattedCitation":"(Andre et al., 2018)","plainCitation":"(Andre et al., 2018)","noteIndex":0},"citationItems":[{"id":127,"uris":["http://zotero.org/users/6327055/items/NJLLP2DZ"],"itemData":{"id":127,"type":"article-journal","abstract":"International Journal of Exercise Science 11(6): 439-451, 2018. The purpose of this study was to monitor weekly the salivary free testosterone (FT), cortisol (C), and the FT/C ratio in elite men NCAA Division I basketball athletes across an entire season. Twelve athletes gave salivary samples for 30 consecutive weeks, beginning in the pre-season and ending one week after the end of post-season competition. Samples were assayed for FT and C. Additionally, a composite value (CBD) composed of Z-scores for weekly practice minutes, game minutes, resistance training repetitions, academic demands, and travel schedules was determined. One-way RM ANOVAs were used to determine which weekly values were different (α=.05) from the season mean. For FT, 10 weeks were different from the season average (5.1 nmol/L). For C, 11 weeks were different from the season mean (9.0 nmol/L). For FT/C, weeks 7 (p=.007), 17 (p=.007), and 25 (p=.005) were different from the season mean (FT/C=0.69). During Wk7, at the start of regular season play, FT/C was above, while CBD was below the season means. During Wk17, which was leading into a series of important conference games, FT/C was below, while CBD was not different from season means. During Wk25, which was one week before the conference tournament, FT/C was below, while CBD was above season means. The methods of this study can be used for monitoring athlete responses and adaptations to sport-specific training and competition; specifically, for evaluating responses to challenging pre-season training, recovery for regular season play, and how they physiologically cope with the competitive season.","container-title":"International Journal of Exercise Science","issue":"6","language":"en","note":"Purpose: Monitor weekly salivary biomarkers in elite men NCAA Division 1 basketball players throughout an entire season. Additionally, the salivary biomarkers were compared to other demands for collegiate basketball training and competition, to examin their relationships. \nResearch Question: What is the weekly hormonal response to training? How do other stimuli within the magnitude of the training sessions and aspects of the season effect the hormonal response? \nMethods \nStudy Design: This study was observational with a colllection of saliva upon arrival from each participant prior to the afternoon practice across 30 weeks of the training and competitive season. Aspects such as playing/practice minutes, travel, resistance exercise volume, and academia were collected. \nSample: 12 male NCAA Division 1 American collegiate basketball student athletes \nProtocol: Salivary sample at rest prior to the afternoon practice (1300-1500hrs) in the middle of the week for 27 weeks with the 30 week season. Sample collection began one week before pre-season and concluded one week after post-season. No eating, brushing teeth, or consuming any drink other than water 1 hour prior to collection. Mouth rinse with water and resting for 5 minutes and finally an oral swab to hold in their mouth for 2 minutes.\nValidity/Reliabilty Data: Saliva has been shown to be highly correlated with plasma or serum samples. \nData Collection Procedures: Samples were frozen at -80 degress Celsius. Enzyme immunoassay kits using 96 well microtitre plates from Salimetrics. Separate assay for each athlete. Playing minutes, practice minutes, resistance training volume (total repetitions), travel schedules (scale values based on the time getting back from the trip - 1 = overnight bus before midnight, 2 = overnight flight, 5 = multiple day trip with flight), and academic demands (scale generalized so 0 = no class, 2 = normal academic week, 4 = exam period) were collected. All variables converted to Z scores. \nStatistical Analyses: IBM SPSS 24, 324 total samples with 20 missing from absence and replaced with the team's average for that week. Verification of all assumptions and a 1 way RMANOVA with LSD pairwise comparisons to determine which weekly values were different from the season mean. Relationships between team FT, C, FT/C and team CBD (collegiate basketball demands) scores, and their individual components, throughout the season was done through Pearson correlations. Significant set at 0.05. \nFindings: The FT (free testosterone) was seen to be different from the season mean in 10 weeks, C (cortisol) was different in 11 weeks, and FT/C (FT/C ratio) was different in weeks 7 (more than 3 SD above with CBD significantly below season averages), 17-before important games (more than 2.5 SD below season average and no difference in CBD), and 25-before conference tournament (FT/C more than 1 SD below and CBD significantly above season averages). There was a significant negative correlation between FT/C and game minutes. \nConclusions: The increases in C at the beginning is likely due to the intense preseason. The large increase in FT/C in week 7 suggests that the athletes were recovered from preseason prior to the first week of regular season competition but there was no increase in FT meaning there was a reduction in C. The decrease in FT/C at week 17 could suggest that the season was beginning to have an effect physiologically on the athletes and was supported by the negative correlation of FT/C and game minutes. There was another decrease in FT/C at the start of postseason competition but a return to baseline once competition play stopped. This is likely due to the decreases in FT leading to the reduction in FT/C but C also varied significantly through the collection showing that the demands are stressful. The CBD was very unpredictable but when examined individually a significant inverse correlation between FT/C and game minutes was found. Monitoring FT/C changes may provide insight into health, performance, and recovery. \nFurther Research: Collect performance data in conjuction with the biomarker samples to examine if performance changes occur and relate to the biomarkers. \nRelevant Studies: \nGaviglio CM, Cook CJ. Relationship between midweek training measures of testosterone and cortisol concentrations and game outcome in professional rugby union matches. J Strength Cond Res 28(12):3447-3452, 2014.\nBalsalobre-Fernández C, Tejero-González CM, del Campo-Vecino J. Relationships between training load, salivary cortisol responses and performance during season training in middle and long distance runners. PLoS ONE 9(8), 2014.\nHoffman JR, Epstein S, Yarom Y, Zigel L, Einbinder M. Hormonal and biochemical changes in elite basketball players during a 4-week training camp. J Strength Cond Res 13(3):280-285, 1999.\nKraemer WJ, Ratamess NA. Hormonal responses and adaptations to resistance exercise and training. Sports Med 35(4):339-361, 2005.","page":"439-451","source":"Zotero","title":"Weekly salivary biomarkers across a season for elite men collegiate basketball players","volume":"11","author":[{"family":"Andre","given":"Matthew J"},{"family":"Fry","given":"Andrew C"},{"family":"Luebbers","given":"Paul E"},{"family":"Hudy","given":"Andrea"},{"family":"Dietz","given":"Partricia R"},{"family":"Cain","given":"Glenn J"}],"issued":{"date-parts":[["2018"]]}}}],"schema":"https://github.com/citation-style-language/schema/raw/master/csl-citation.json"} </w:instrText>
      </w:r>
      <w:r w:rsidR="00C46796">
        <w:rPr>
          <w:rFonts w:ascii="Times New Roman" w:hAnsi="Times New Roman" w:cs="Times New Roman"/>
          <w:noProof/>
        </w:rPr>
        <w:fldChar w:fldCharType="separate"/>
      </w:r>
      <w:r w:rsidR="00C46796">
        <w:rPr>
          <w:rFonts w:ascii="Times New Roman" w:hAnsi="Times New Roman" w:cs="Times New Roman"/>
          <w:noProof/>
        </w:rPr>
        <w:t>(Andre et al., 2018)</w:t>
      </w:r>
      <w:r w:rsidR="00C46796">
        <w:rPr>
          <w:rFonts w:ascii="Times New Roman" w:hAnsi="Times New Roman" w:cs="Times New Roman"/>
          <w:noProof/>
        </w:rPr>
        <w:fldChar w:fldCharType="end"/>
      </w:r>
      <w:r>
        <w:rPr>
          <w:rFonts w:ascii="Times New Roman" w:hAnsi="Times New Roman" w:cs="Times New Roman"/>
        </w:rPr>
        <w:t xml:space="preserve">. </w:t>
      </w:r>
    </w:p>
    <w:p w14:paraId="0DDF659C" w14:textId="0D18770D" w:rsidR="003F3D08" w:rsidRPr="00FC08AB" w:rsidRDefault="003F3D08" w:rsidP="00FC08AB">
      <w:pPr>
        <w:pStyle w:val="Heading3"/>
        <w:spacing w:line="480" w:lineRule="auto"/>
        <w:rPr>
          <w:rFonts w:ascii="Times New Roman" w:hAnsi="Times New Roman" w:cs="Times New Roman"/>
          <w:b/>
          <w:bCs/>
          <w:i/>
          <w:iCs/>
          <w:color w:val="000000" w:themeColor="text1"/>
        </w:rPr>
      </w:pPr>
      <w:bookmarkStart w:id="33" w:name="_Toc99267612"/>
      <w:r w:rsidRPr="00FC08AB">
        <w:rPr>
          <w:rFonts w:ascii="Times New Roman" w:hAnsi="Times New Roman" w:cs="Times New Roman"/>
          <w:b/>
          <w:bCs/>
          <w:i/>
          <w:iCs/>
          <w:color w:val="000000" w:themeColor="text1"/>
        </w:rPr>
        <w:t>Cortisol</w:t>
      </w:r>
      <w:bookmarkEnd w:id="33"/>
    </w:p>
    <w:p w14:paraId="4E49BDCE" w14:textId="1A46F746" w:rsidR="003F3D08" w:rsidRPr="00493BD6" w:rsidRDefault="003F3D08" w:rsidP="003F3D08">
      <w:pPr>
        <w:spacing w:line="480" w:lineRule="auto"/>
        <w:jc w:val="both"/>
        <w:rPr>
          <w:rFonts w:ascii="Times New Roman" w:hAnsi="Times New Roman" w:cs="Times New Roman"/>
        </w:rPr>
      </w:pPr>
      <w:r>
        <w:rPr>
          <w:rFonts w:ascii="Times New Roman" w:hAnsi="Times New Roman" w:cs="Times New Roman"/>
          <w:i/>
          <w:iCs/>
        </w:rPr>
        <w:tab/>
      </w:r>
      <w:r>
        <w:rPr>
          <w:rFonts w:ascii="Times New Roman" w:hAnsi="Times New Roman" w:cs="Times New Roman"/>
        </w:rPr>
        <w:t>C</w:t>
      </w:r>
      <w:r w:rsidR="0018651C">
        <w:rPr>
          <w:rFonts w:ascii="Times New Roman" w:hAnsi="Times New Roman" w:cs="Times New Roman"/>
        </w:rPr>
        <w:t>ortisol (C)</w:t>
      </w:r>
      <w:r>
        <w:rPr>
          <w:rFonts w:ascii="Times New Roman" w:hAnsi="Times New Roman" w:cs="Times New Roman"/>
        </w:rPr>
        <w:t xml:space="preserve"> is a glucocorticoid steroid hormone </w:t>
      </w:r>
      <w:r w:rsidR="001C474A">
        <w:rPr>
          <w:rFonts w:ascii="Times New Roman" w:hAnsi="Times New Roman" w:cs="Times New Roman"/>
        </w:rPr>
        <w:t>released from the adrenal cortex of the hypothalamic-pituitary adrenal (HPA) axis</w:t>
      </w:r>
      <w:r w:rsidR="00C907CF">
        <w:rPr>
          <w:rFonts w:ascii="Times New Roman" w:hAnsi="Times New Roman" w:cs="Times New Roman"/>
        </w:rPr>
        <w:t xml:space="preserve"> </w:t>
      </w:r>
      <w:r w:rsidR="00C907CF">
        <w:rPr>
          <w:rFonts w:ascii="Times New Roman" w:hAnsi="Times New Roman" w:cs="Times New Roman"/>
        </w:rPr>
        <w:fldChar w:fldCharType="begin"/>
      </w:r>
      <w:r w:rsidR="00C907CF">
        <w:rPr>
          <w:rFonts w:ascii="Times New Roman" w:hAnsi="Times New Roman" w:cs="Times New Roman"/>
        </w:rPr>
        <w:instrText xml:space="preserve"> ADDIN ZOTERO_ITEM CSL_CITATION {"citationID":"iljRbK6Y","properties":{"formattedCitation":"(Kraemer &amp; Ratamess, 2005; Papacosta &amp; Nassis, 2011)","plainCitation":"(Kraemer &amp; Ratamess, 2005; Papacosta &amp; Nassis, 2011)","noteIndex":0},"citationItems":[{"id":129,"uris":["http://zotero.org/users/6327055/items/SPBDA3V8"],"itemData":{"id":129,"type":"article-journal","container-title":"Sports Medicine","DOI":"10.2165/00007256-200535040-00004","ISSN":"0112-1642","issue":"4","journalAbbreviation":"Sports Medicine","language":"en","page":"339-361","source":"DOI.org (Crossref)","title":"Hormonal responses and adaptations to resistance exercise and training:","title-short":"Hormonal Responses and Adaptations to Resistance Exercise and Training","volume":"35","author":[{"family":"Kraemer","given":"William J"},{"family":"Ratamess","given":"Nicholas A"}],"issued":{"date-parts":[["2005"]]}}},{"id":380,"uris":["http://zotero.org/users/6327055/items/E7MHQ2CJ"],"itemData":{"id":380,"type":"article-journal","abstract":"Objectives: This paper discusses the use of saliva analysis as a tool for monitoring steroid, peptide, and immune markers of sports training. Design: Salivary gland physiology, regarding the regulation and stimulation of saliva secretion, as well as methodological issues including saliva collection, storage and analysis are addressed in this paper. The effects of exercise on saliva composition are then considered. Method: Exercise elicits changes in salivary levels of steroid hormones, immunoglobulins, antimicrobial proteins and enzymes. Cortisol, testosterone and dehydroepiandrosterone can be assessed in saliva, providing a non-invasive option to assess the catabolic and anabolic effects of exercise. Validation studies using blood and salivary measures of steroid hormones are addressed in this paper. Effects of acute exercise and training on salivary immunoglobulins (SIgA, SIgM, SIgG) and salivary antimicrobial proteins, including </w:instrText>
      </w:r>
      <w:r w:rsidR="00C907CF">
        <w:rPr>
          <w:rFonts w:ascii="Segoe UI Symbol" w:hAnsi="Segoe UI Symbol" w:cs="Segoe UI Symbol"/>
        </w:rPr>
        <w:instrText>␣</w:instrText>
      </w:r>
      <w:r w:rsidR="00C907CF">
        <w:rPr>
          <w:rFonts w:ascii="Times New Roman" w:hAnsi="Times New Roman" w:cs="Times New Roman"/>
        </w:rPr>
        <w:instrText xml:space="preserve">-amylase, lysozyme and lactoferrin, are also discussed. Results: Analysis of cortisol and testosterone in saliva may help detect the onset of non-functional overreaching and subsequently may help to prevent the development of overtraining syndrome. Assessment of salivary immunoglobulins and antimicrobial proteins has been shown to successfully represent the effects of exercise on mucosal immunity. Increases in SIgA and antimicrobial proteins concentration and/or secretion rate are associated with acute exercise whereas conversely, decreases have been reported in athletes over a training season leaving the athlete susceptible for upper respiratory tract infections. Conclusions: The measurement of physiological biomarkers in whole saliva can provide a signiﬁcant tool for assessing the immunological and endocrinological status associated with exercise and training.","container-title":"Journal of Science and Medicine in Sport","DOI":"10.1016/j.jsams.2011.03.004","ISSN":"14402440","issue":"5","journalAbbreviation":"Journal of Science and Medicine in Sport","language":"en","page":"424-434","source":"DOI.org (Crossref)","title":"Saliva as a tool for monitoring steroid, peptide and immune markers in sport and exercise science","volume":"14","author":[{"family":"Papacosta","given":"Elena"},{"family":"Nassis","given":"George P."}],"issued":{"date-parts":[["2011",9]]}}}],"schema":"https://github.com/citation-style-language/schema/raw/master/csl-citation.json"} </w:instrText>
      </w:r>
      <w:r w:rsidR="00C907CF">
        <w:rPr>
          <w:rFonts w:ascii="Times New Roman" w:hAnsi="Times New Roman" w:cs="Times New Roman"/>
        </w:rPr>
        <w:fldChar w:fldCharType="separate"/>
      </w:r>
      <w:r w:rsidR="00C907CF">
        <w:rPr>
          <w:rFonts w:ascii="Times New Roman" w:hAnsi="Times New Roman" w:cs="Times New Roman"/>
          <w:noProof/>
        </w:rPr>
        <w:t>(Kraemer &amp; Ratamess, 2005; Papacosta &amp; Nassis, 2011)</w:t>
      </w:r>
      <w:r w:rsidR="00C907CF">
        <w:rPr>
          <w:rFonts w:ascii="Times New Roman" w:hAnsi="Times New Roman" w:cs="Times New Roman"/>
        </w:rPr>
        <w:fldChar w:fldCharType="end"/>
      </w:r>
      <w:r w:rsidR="001C474A">
        <w:rPr>
          <w:rFonts w:ascii="Times New Roman" w:hAnsi="Times New Roman" w:cs="Times New Roman"/>
        </w:rPr>
        <w:t>. C</w:t>
      </w:r>
      <w:r>
        <w:rPr>
          <w:rFonts w:ascii="Times New Roman" w:hAnsi="Times New Roman" w:cs="Times New Roman"/>
        </w:rPr>
        <w:t xml:space="preserve"> is the primary catabolic hormone typically seen to be responsive to physical and psychological stressors and associated with increases in protein degradation</w:t>
      </w:r>
      <w:r w:rsidR="004E5E85">
        <w:rPr>
          <w:rFonts w:ascii="Times New Roman" w:hAnsi="Times New Roman" w:cs="Times New Roman"/>
        </w:rPr>
        <w:t xml:space="preserve">, decreases in protein synthesis, </w:t>
      </w:r>
      <w:proofErr w:type="spellStart"/>
      <w:r w:rsidR="004E5E85">
        <w:rPr>
          <w:rFonts w:ascii="Times New Roman" w:hAnsi="Times New Roman" w:cs="Times New Roman"/>
        </w:rPr>
        <w:t>stimulation</w:t>
      </w:r>
      <w:proofErr w:type="spellEnd"/>
      <w:r w:rsidR="004E5E85">
        <w:rPr>
          <w:rFonts w:ascii="Times New Roman" w:hAnsi="Times New Roman" w:cs="Times New Roman"/>
        </w:rPr>
        <w:t xml:space="preserve"> of lipolysis in adipose tissue,</w:t>
      </w:r>
      <w:r>
        <w:rPr>
          <w:rFonts w:ascii="Times New Roman" w:hAnsi="Times New Roman" w:cs="Times New Roman"/>
        </w:rPr>
        <w:t xml:space="preserve"> and inhibition of the inflammatory and immunological processes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{"citationID":"4vn1t6wb","properties":{"formattedCitation":"(Kraemer &amp; Ratamess, 2005)","plainCitation":"(Kraemer &amp; Ratamess, 2005)","noteIndex":0},"citationItems":[{"id":129,"uris":["http://zotero.org/users/6327055/items/SPBDA3V8"],"itemData":{"id":129,"type":"article-journal","container-title":"Sports Medicine","DOI":"10.2165/00007256-200535040-00004","ISSN":"0112-1642","issue":"4","journalAbbreviation":"Sports Medicine","language":"en","page":"339-361","source":"DOI.org (Crossref)","title":"Hormonal responses and adaptations to resistance exercise and training:","title-short":"Hormonal Responses and Adaptations to Resistance Exercise and Training","volume":"35","author":[{"family":"Kraemer","given":"William J"},{"family":"Ratamess","given":"Nicholas A"}],"issued":{"date-parts":[["2005"]]}}}],"schema":"https://github.com/citation-style-language/schema/raw/master/csl-citation.json"} </w:instrText>
      </w:r>
      <w:r w:rsidR="00C46796">
        <w:rPr>
          <w:rFonts w:ascii="Times New Roman" w:hAnsi="Times New Roman" w:cs="Times New Roman"/>
          <w:noProof/>
        </w:rPr>
        <w:fldChar w:fldCharType="separate"/>
      </w:r>
      <w:r w:rsidR="00C46796">
        <w:rPr>
          <w:rFonts w:ascii="Times New Roman" w:hAnsi="Times New Roman" w:cs="Times New Roman"/>
          <w:noProof/>
        </w:rPr>
        <w:t>(Kraemer &amp; Ratamess, 2005)</w:t>
      </w:r>
      <w:r w:rsidR="00C46796">
        <w:rPr>
          <w:rFonts w:ascii="Times New Roman" w:hAnsi="Times New Roman" w:cs="Times New Roman"/>
          <w:noProof/>
        </w:rPr>
        <w:fldChar w:fldCharType="end"/>
      </w:r>
      <w:r>
        <w:rPr>
          <w:rFonts w:ascii="Times New Roman" w:hAnsi="Times New Roman" w:cs="Times New Roman"/>
        </w:rPr>
        <w:t xml:space="preserve">. Increases in </w:t>
      </w:r>
      <w:r w:rsidR="0018651C">
        <w:rPr>
          <w:rFonts w:ascii="Times New Roman" w:hAnsi="Times New Roman" w:cs="Times New Roman"/>
        </w:rPr>
        <w:t>C</w:t>
      </w:r>
      <w:r>
        <w:rPr>
          <w:rFonts w:ascii="Times New Roman" w:hAnsi="Times New Roman" w:cs="Times New Roman"/>
        </w:rPr>
        <w:t xml:space="preserve"> have been shown following acute bouts of resistance training as well as a correlation with increases in blood lactate levels, indicating that the intensity of a training session may influence the magnitude of a </w:t>
      </w:r>
      <w:r w:rsidR="0018651C">
        <w:rPr>
          <w:rFonts w:ascii="Times New Roman" w:hAnsi="Times New Roman" w:cs="Times New Roman"/>
        </w:rPr>
        <w:t>C</w:t>
      </w:r>
      <w:r>
        <w:rPr>
          <w:rFonts w:ascii="Times New Roman" w:hAnsi="Times New Roman" w:cs="Times New Roman"/>
        </w:rPr>
        <w:t xml:space="preserve"> response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{"citationID":"Np8HvRJQ","properties":{"formattedCitation":"(Kraemer &amp; Ratamess, 2005)","plainCitation":"(Kraemer &amp; Ratamess, 2005)","noteIndex":0},"citationItems":[{"id":129,"uris":["http://zotero.org/users/6327055/items/SPBDA3V8"],"itemData":{"id":129,"type":"article-journal","container-title":"Sports Medicine","DOI":"10.2165/00007256-200535040-00004","ISSN":"0112-1642","issue":"4","journalAbbreviation":"Sports Medicine","language":"en","page":"339-361","source":"DOI.org (Crossref)","title":"Hormonal responses and adaptations to resistance exercise and training:","title-short":"Hormonal Responses and Adaptations to Resistance Exercise and Training","volume":"35","author":[{"family":"Kraemer","given":"William J"},{"family":"Ratamess","given":"Nicholas A"}],"issued":{"date-parts":[["2005"]]}}}],"schema":"https://github.com/citation-style-language/schema/raw/master/csl-citation.json"} </w:instrText>
      </w:r>
      <w:r w:rsidR="00C46796">
        <w:rPr>
          <w:rFonts w:ascii="Times New Roman" w:hAnsi="Times New Roman" w:cs="Times New Roman"/>
          <w:noProof/>
        </w:rPr>
        <w:fldChar w:fldCharType="separate"/>
      </w:r>
      <w:r w:rsidR="00C46796">
        <w:rPr>
          <w:rFonts w:ascii="Times New Roman" w:hAnsi="Times New Roman" w:cs="Times New Roman"/>
          <w:noProof/>
        </w:rPr>
        <w:t>(Kraemer &amp; Ratamess, 2005)</w:t>
      </w:r>
      <w:r w:rsidR="00C46796">
        <w:rPr>
          <w:rFonts w:ascii="Times New Roman" w:hAnsi="Times New Roman" w:cs="Times New Roman"/>
          <w:noProof/>
        </w:rPr>
        <w:fldChar w:fldCharType="end"/>
      </w:r>
      <w:r>
        <w:rPr>
          <w:rFonts w:ascii="Times New Roman" w:hAnsi="Times New Roman" w:cs="Times New Roman"/>
        </w:rPr>
        <w:t>.</w:t>
      </w:r>
      <w:r w:rsidRPr="00AF724D">
        <w:rPr>
          <w:rFonts w:ascii="Times New Roman" w:hAnsi="Times New Roman" w:cs="Times New Roman"/>
        </w:rPr>
        <w:t xml:space="preserve"> </w:t>
      </w:r>
      <w:r>
        <w:rPr>
          <w:rFonts w:ascii="Times New Roman" w:hAnsi="Times New Roman" w:cs="Times New Roman"/>
        </w:rPr>
        <w:t xml:space="preserve">Additionally, elevations within </w:t>
      </w:r>
      <w:r w:rsidR="0018651C">
        <w:rPr>
          <w:rFonts w:ascii="Times New Roman" w:hAnsi="Times New Roman" w:cs="Times New Roman"/>
        </w:rPr>
        <w:t>C</w:t>
      </w:r>
      <w:r>
        <w:rPr>
          <w:rFonts w:ascii="Times New Roman" w:hAnsi="Times New Roman" w:cs="Times New Roman"/>
        </w:rPr>
        <w:t xml:space="preserve"> responses were also observed when the number of sets was increased or the rest period was shortened during resistance exercise </w:t>
      </w:r>
      <w:r w:rsidR="003C38A1">
        <w:rPr>
          <w:rFonts w:ascii="Times New Roman" w:hAnsi="Times New Roman" w:cs="Times New Roman"/>
        </w:rPr>
        <w:t xml:space="preserve">leading to a higher overall amount of stress placed on the individual </w:t>
      </w:r>
      <w:r w:rsidR="00C46796">
        <w:rPr>
          <w:rFonts w:ascii="Times New Roman" w:hAnsi="Times New Roman" w:cs="Times New Roman"/>
          <w:noProof/>
        </w:rPr>
        <w:fldChar w:fldCharType="begin"/>
      </w:r>
      <w:r w:rsidR="003C38A1">
        <w:rPr>
          <w:rFonts w:ascii="Times New Roman" w:hAnsi="Times New Roman" w:cs="Times New Roman"/>
          <w:noProof/>
        </w:rPr>
        <w:instrText xml:space="preserve"> ADDIN ZOTERO_ITEM CSL_CITATION {"citationID":"hUizPwWt","properties":{"formattedCitation":"(Hackney &amp; Lane, 2015; Kraemer et al., 2020; Kraemer &amp; Ratamess, 2005)","plainCitation":"(Hackney &amp; Lane, 2015; Kraemer et al., 2020; Kraemer &amp; Ratamess, 2005)","noteIndex":0},"citationItems":[{"id":152,"uris":["http://zotero.org/users/6327055/items/EK6SMPW2"],"itemData":{"id":152,"type":"chapter","container-title":"Progress in Molecular Biology and Translational Science","ISBN":"978-0-12-803991-5","language":"en","note":"DOI: 10.1016/bs.pmbts.2015.07.001","page":"293-311","publisher":"Elsevier","source":"DOI.org (Crossref)","title":"Exercise and the regulation of endocrine hormones","URL":"https://linkinghub.elsevier.com/retrieve/pii/S1877117315001337","volume":"135","author":[{"family":"Hackney","given":"Anthony C."},{"family":"Lane","given":"Amy R."}],"accessed":{"date-parts":[["2021",3,1]]},"issued":{"date-parts":[["2015"]]}}},{"id":605,"uris":["http://zotero.org/users/6327055/items/K6MDES3W"],"itemData":{"id":605,"type":"article-journal","container-title":"Frontiers in Endocrinology","DOI":"10.3389/fendo.2020.00033","ISSN":"1664-2392","journalAbbreviation":"Front. Endocrinol.","language":"en","page":"33","source":"DOI.org (Crossref)","title":"Growth hormone(s), testosterone, insulin-like growth factors, and cortisol: roles and integration for cellular development and growth with exercise","title-short":"Growth Hormone(s), Testosterone, Insulin-Like Growth Factors, and Cortisol","volume":"11","author":[{"family":"Kraemer","given":"William J."},{"family":"Ratamess","given":"Nicholas A."},{"family":"Hymer","given":"Wesley C."},{"family":"Nindl","given":"Bradley C."},{"family":"Fragala","given":"Maren S."}],"issued":{"date-parts":[["2020",2,25]]}}},{"id":129,"uris":["http://zotero.org/users/6327055/items/SPBDA3V8"],"itemData":{"id":129,"type":"article-journal","container-title":"Sports Medicine","DOI":"10.2165/00007256-200535040-00004","ISSN":"0112-1642","issue":"4","journalAbbreviation":"Sports Medicine","language":"en","page":"339-361","source":"DOI.org (Crossref)","title":"Hormonal responses and adaptations to resistance exercise and training:","title-short":"Hormonal Responses and Adaptations to Resistance Exercise and Training","volume":"35","author":[{"family":"Kraemer","given":"William J"},{"family":"Ratamess","given":"Nicholas A"}],"issued":{"date-parts":[["2005"]]}}}],"schema":"https://github.com/citation-style-language/schema/raw/master/csl-citation.json"} </w:instrText>
      </w:r>
      <w:r w:rsidR="00C46796">
        <w:rPr>
          <w:rFonts w:ascii="Times New Roman" w:hAnsi="Times New Roman" w:cs="Times New Roman"/>
          <w:noProof/>
        </w:rPr>
        <w:fldChar w:fldCharType="separate"/>
      </w:r>
      <w:r w:rsidR="003C38A1">
        <w:rPr>
          <w:rFonts w:ascii="Times New Roman" w:hAnsi="Times New Roman" w:cs="Times New Roman"/>
          <w:noProof/>
        </w:rPr>
        <w:t>(Hackney &amp; Lane, 2015; Kraemer et al., 2020; Kraemer &amp; Ratamess, 2005)</w:t>
      </w:r>
      <w:r w:rsidR="00C46796">
        <w:rPr>
          <w:rFonts w:ascii="Times New Roman" w:hAnsi="Times New Roman" w:cs="Times New Roman"/>
          <w:noProof/>
        </w:rPr>
        <w:fldChar w:fldCharType="end"/>
      </w:r>
      <w:r>
        <w:rPr>
          <w:rFonts w:ascii="Times New Roman" w:hAnsi="Times New Roman" w:cs="Times New Roman"/>
        </w:rPr>
        <w:t xml:space="preserve">. Support was also found </w:t>
      </w:r>
      <w:r w:rsidRPr="005C228B">
        <w:rPr>
          <w:rFonts w:ascii="Times New Roman" w:hAnsi="Times New Roman" w:cs="Times New Roman"/>
        </w:rPr>
        <w:t xml:space="preserve">in </w:t>
      </w:r>
      <w:proofErr w:type="spellStart"/>
      <w:r w:rsidRPr="005C228B">
        <w:rPr>
          <w:rFonts w:ascii="Times New Roman" w:hAnsi="Times New Roman" w:cs="Times New Roman"/>
        </w:rPr>
        <w:t>Kindermann</w:t>
      </w:r>
      <w:proofErr w:type="spellEnd"/>
      <w:r w:rsidRPr="005C228B">
        <w:rPr>
          <w:rFonts w:ascii="Times New Roman" w:hAnsi="Times New Roman" w:cs="Times New Roman"/>
        </w:rPr>
        <w:t xml:space="preserve"> et al.</w:t>
      </w:r>
      <w:r>
        <w:rPr>
          <w:rFonts w:ascii="Times New Roman" w:hAnsi="Times New Roman" w:cs="Times New Roman"/>
        </w:rPr>
        <w:t xml:space="preserve"> findings of increases in </w:t>
      </w:r>
      <w:r w:rsidR="0018651C">
        <w:rPr>
          <w:rFonts w:ascii="Times New Roman" w:hAnsi="Times New Roman" w:cs="Times New Roman"/>
        </w:rPr>
        <w:t>C</w:t>
      </w:r>
      <w:r>
        <w:rPr>
          <w:rFonts w:ascii="Times New Roman" w:hAnsi="Times New Roman" w:cs="Times New Roman"/>
        </w:rPr>
        <w:t xml:space="preserve"> post-exercise following high-intensity aerobic exercise of </w:t>
      </w:r>
      <w:r w:rsidR="0017601F">
        <w:rPr>
          <w:rFonts w:ascii="Times New Roman" w:hAnsi="Times New Roman" w:cs="Times New Roman"/>
        </w:rPr>
        <w:t xml:space="preserve">approximately </w:t>
      </w:r>
      <w:r>
        <w:rPr>
          <w:rFonts w:ascii="Times New Roman" w:hAnsi="Times New Roman" w:cs="Times New Roman"/>
        </w:rPr>
        <w:t xml:space="preserve"> </w:t>
      </w:r>
      <w:r w:rsidR="0017601F">
        <w:rPr>
          <w:rFonts w:ascii="Times New Roman" w:hAnsi="Times New Roman" w:cs="Times New Roman"/>
        </w:rPr>
        <w:t>75</w:t>
      </w:r>
      <w:r>
        <w:rPr>
          <w:rFonts w:ascii="Times New Roman" w:hAnsi="Times New Roman" w:cs="Times New Roman"/>
        </w:rPr>
        <w:t>%</w:t>
      </w:r>
      <w:r w:rsidR="0017601F">
        <w:rPr>
          <w:rFonts w:ascii="Times New Roman" w:hAnsi="Times New Roman" w:cs="Times New Roman"/>
        </w:rPr>
        <w:t xml:space="preserve"> of maximal oxygen uptake indicating the duration and intensity contributed to the increases in C</w:t>
      </w:r>
      <w:r>
        <w:rPr>
          <w:rFonts w:ascii="Times New Roman" w:hAnsi="Times New Roman" w:cs="Times New Roman"/>
        </w:rPr>
        <w:t xml:space="preserve">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{"citationID":"TP3wRQvN","properties":{"formattedCitation":"(Kindermann et al., 1982)","plainCitation":"(Kindermann et al., 1982)","noteIndex":0},"citationItems":[{"id":372,"uris":["http://zotero.org/users/6327055/items/5HGDIVXY"],"itemData":{"id":372,"type":"article-journal","abstract":"Seventeen male physical education students performed three types of treadmill exercise: (1) progressive exercise to exhaustion, (2) prolonged exercise of 50 rain duration at the anaerobic threshold of 4 mmol 91-1 blood lactate (AE), (3) a single bout of short-term high-intensity exercise at 156% of maximal exercise capacity in the progressive test, leading to exhaustion within 1.5 min (ANE).","container-title":"European Journal of Applied Physiology and Occupational Physiology","DOI":"10.1007/BF00441300","ISSN":"0301-5548, 1439-6327","issue":"3","journalAbbreviation":"Europ. J. Appl. Physiol.","language":"en","page":"389-399","source":"DOI.org (Crossref)","title":"Catecholamines, growth hormone, cortisol, insulin, and sex hormones in anaerobic and aerobic exercise","volume":"49","author":[{"family":"Kindermann","given":"W."},{"family":"Schnabel","given":"A."},{"family":"Schmitt","given":"W. M."},{"family":"Biro","given":"G."},{"family":"Cassens","given":"J."},{"family":"Weber","given":"F."}],"issued":{"date-parts":[["1982",9]]}}}],"schema":"https://github.com/citation-style-language/schema/raw/master/csl-citation.json"} </w:instrText>
      </w:r>
      <w:r w:rsidR="00C46796">
        <w:rPr>
          <w:rFonts w:ascii="Times New Roman" w:hAnsi="Times New Roman" w:cs="Times New Roman"/>
          <w:noProof/>
        </w:rPr>
        <w:fldChar w:fldCharType="separate"/>
      </w:r>
      <w:r w:rsidR="00C46796">
        <w:rPr>
          <w:rFonts w:ascii="Times New Roman" w:hAnsi="Times New Roman" w:cs="Times New Roman"/>
          <w:noProof/>
        </w:rPr>
        <w:t>(Kindermann et al., 1982)</w:t>
      </w:r>
      <w:r w:rsidR="00C46796">
        <w:rPr>
          <w:rFonts w:ascii="Times New Roman" w:hAnsi="Times New Roman" w:cs="Times New Roman"/>
          <w:noProof/>
        </w:rPr>
        <w:fldChar w:fldCharType="end"/>
      </w:r>
      <w:r w:rsidR="0017601F">
        <w:rPr>
          <w:rFonts w:ascii="Times New Roman" w:hAnsi="Times New Roman" w:cs="Times New Roman"/>
        </w:rPr>
        <w:t xml:space="preserve">. </w:t>
      </w:r>
      <w:r>
        <w:rPr>
          <w:rFonts w:ascii="Times New Roman" w:hAnsi="Times New Roman" w:cs="Times New Roman"/>
        </w:rPr>
        <w:t xml:space="preserve">The increases in </w:t>
      </w:r>
      <w:r w:rsidR="0018651C">
        <w:rPr>
          <w:rFonts w:ascii="Times New Roman" w:hAnsi="Times New Roman" w:cs="Times New Roman"/>
        </w:rPr>
        <w:t>C</w:t>
      </w:r>
      <w:r>
        <w:rPr>
          <w:rFonts w:ascii="Times New Roman" w:hAnsi="Times New Roman" w:cs="Times New Roman"/>
        </w:rPr>
        <w:t xml:space="preserve"> following acute training sessions may be a reflection of metabolic stress</w:t>
      </w:r>
      <w:r w:rsidR="0017601F">
        <w:rPr>
          <w:rFonts w:ascii="Times New Roman" w:hAnsi="Times New Roman" w:cs="Times New Roman"/>
        </w:rPr>
        <w:t>,</w:t>
      </w:r>
      <w:r>
        <w:rPr>
          <w:rFonts w:ascii="Times New Roman" w:hAnsi="Times New Roman" w:cs="Times New Roman"/>
        </w:rPr>
        <w:t xml:space="preserve"> tissue regeneration</w:t>
      </w:r>
      <w:r w:rsidR="0017601F">
        <w:rPr>
          <w:rFonts w:ascii="Times New Roman" w:hAnsi="Times New Roman" w:cs="Times New Roman"/>
        </w:rPr>
        <w:t xml:space="preserve">, or even emotional stress leading to </w:t>
      </w:r>
      <w:r w:rsidR="000B61D7">
        <w:rPr>
          <w:rFonts w:ascii="Times New Roman" w:hAnsi="Times New Roman" w:cs="Times New Roman"/>
        </w:rPr>
        <w:t>stimulation</w:t>
      </w:r>
      <w:r w:rsidR="0017601F">
        <w:rPr>
          <w:rFonts w:ascii="Times New Roman" w:hAnsi="Times New Roman" w:cs="Times New Roman"/>
        </w:rPr>
        <w:t xml:space="preserve"> of the </w:t>
      </w:r>
      <w:proofErr w:type="spellStart"/>
      <w:r w:rsidR="0017601F">
        <w:rPr>
          <w:rFonts w:ascii="Times New Roman" w:hAnsi="Times New Roman" w:cs="Times New Roman"/>
        </w:rPr>
        <w:t>sympatho</w:t>
      </w:r>
      <w:proofErr w:type="spellEnd"/>
      <w:r w:rsidR="0017601F">
        <w:rPr>
          <w:rFonts w:ascii="Times New Roman" w:hAnsi="Times New Roman" w:cs="Times New Roman"/>
        </w:rPr>
        <w:t>-adrenal response</w:t>
      </w:r>
      <w:r>
        <w:rPr>
          <w:rFonts w:ascii="Times New Roman" w:hAnsi="Times New Roman" w:cs="Times New Roman"/>
        </w:rPr>
        <w:t xml:space="preserve">, whereas chronic disruptions in homeostasis of </w:t>
      </w:r>
      <w:r w:rsidR="0018651C">
        <w:rPr>
          <w:rFonts w:ascii="Times New Roman" w:hAnsi="Times New Roman" w:cs="Times New Roman"/>
        </w:rPr>
        <w:t>C</w:t>
      </w:r>
      <w:r>
        <w:rPr>
          <w:rFonts w:ascii="Times New Roman" w:hAnsi="Times New Roman" w:cs="Times New Roman"/>
        </w:rPr>
        <w:t xml:space="preserve"> levels could interfere with protein metabolism </w:t>
      </w:r>
      <w:r w:rsidR="00C46796">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{"citationID":"e3Wr6ov0","properties":{"formattedCitation":"(Casto &amp; Edwards, 2016; Kindermann et al., 1982; Kraemer &amp; Ratamess, 2005)","plainCitation":"(Casto &amp; Edwards, 2016; Kindermann et al., 1982; Kraemer &amp; Ratamess, 2005)","noteIndex":0},"citationItems":[{"id":124,"uris":["http://zotero.org/users/6327055/items/69AMW6MU"],"itemData":{"id":124,"type":"article-journal","abstract":"Testosterone and cortisol ﬁgure prominently in the research literature having to do with human competition. In this review, we track the history of this literature, concentrating particularly on major theoretical and empirical contributions, and provide commentary on what we see as important unresolved issues. In men and women, athletic competition is typically associated with an increase in testosterone (T) and cortisol (C). Hormone changes in response to non-athletic competition are less predictable. Person (e.g., power motivation, mood, aggressiveness, social anxiety, sex, and baseline levels of T and C) and context (e.g., whether a competition is won or lost, the closeness of the competition, whether the outcome is perceived as being inﬂuenced by ability vs. chance, provocations) factors can inﬂuence hormone responses to competition. From early on, studies pointed to a positive relationship between T and dominance motivation/status striving. Recent research, however, suggests that this relationship only holds for individuals with low levels of C – this is the core idea of the dual-hormone hypothesis, and it is certain that the broadest applications of the hypothesis have not yet been realized. Individuals differ with respect to the extent to which they embrace competition, but the hormonal correlates of competitiveness remain largely unexplored. Although rapid increases in both T and C associated with competition are likely adaptive, we still know very little about the psychological beneﬁts of these hormonal changes. Administration studies have and will continue to contribute to this inquiry. We close with a discussion of what, we think, are important methodological and mechanistic issues for future research.","container-title":"Hormones and Behavior","DOI":"10.1016/j.yhbeh.2016.04.004","ISSN":"0018506X","journalAbbreviation":"Hormones and Behavior","language":"en","page":"21-37","source":"DOI.org (Crossref)","title":"Testosterone, cortisol, and human competition","volume":"82","author":[{"family":"Casto","given":"Kathleen V."},{"family":"Edwards","given":"David A."}],"issued":{"date-parts":[["2016",6]]}}},{"id":372,"uris":["http://zotero.org/users/6327055/items/5HGDIVXY"],"itemData":{"id":372,"type":"article-journal","abstract":"Seventeen male physical education students performed three types of treadmill exercise: (1) progressive exercise to exhaustion, (2) prolonged exercise of 50 rain duration at the anaerobic threshold of 4 mmol 91-1 blood lactate (AE), (3) a single bout of short-term high-intensity exercise at 156% of maximal exercise capacity in the progressive test, leading to exhaustion within 1.5 min (ANE).","container-title":"European Journal of Applied Physiology and Occupational Physiology","DOI":"10.1007/BF00441300","ISSN":"0301-5548, 1439-6327","issue":"3","journalAbbreviation":"Europ. J. Appl. Physiol.","language":"en","page":"389-399","source":"DOI.org (Crossref)","title":"Catecholamines, growth hormone, cortisol, insulin, and sex hormones in anaerobic and aerobic exercise","volume":"49","author":[{"family":"Kindermann","given":"W."},{"family":"Schnabel","given":"A."},{"family":"Schmitt","given":"W. M."},{"family":"Biro","given":"G."},{"family":"Cassens","given":"J."},{"family":"Weber","given":"F."}],"issued":{"date-parts":[["1982",9]]}}},{"id":129,"uris":["http://zotero.org/users/6327055/items/SPBDA3V8"],"itemData":{"id":129,"type":"article-journal","container-title":"Sports Medicine","DOI":"10.2165/00007256-200535040-00004","ISSN":"0112-1642","issue":"4","journalAbbreviation":"Sports Medicine","language":"en","page":"339-361","source":"DOI.org (Crossref)","title":"Hormonal responses and adaptations to resistance exercise and training:","title-short":"Hormonal Responses and Adaptations to Resistance Exercise and Training","volume":"35","author":[{"family":"Kraemer","given":"William J"},{"family":"Ratamess","given":"Nicholas A"}],"issued":{"date-parts":[["2005"]]}}}],"schema":"https://github.com/citation-style-language/schema/raw/master/csl-citation.json"} </w:instrText>
      </w:r>
      <w:r w:rsidR="00C46796">
        <w:rPr>
          <w:rFonts w:ascii="Times New Roman" w:hAnsi="Times New Roman" w:cs="Times New Roman"/>
          <w:noProof/>
        </w:rPr>
        <w:fldChar w:fldCharType="separate"/>
      </w:r>
      <w:r w:rsidR="000B61D7">
        <w:rPr>
          <w:rFonts w:ascii="Times New Roman" w:hAnsi="Times New Roman" w:cs="Times New Roman"/>
          <w:noProof/>
        </w:rPr>
        <w:t>(Casto &amp; Edwards, 2016; Kindermann et al., 1982; Kraemer &amp; Ratamess, 2005)</w:t>
      </w:r>
      <w:r w:rsidR="00C46796">
        <w:rPr>
          <w:rFonts w:ascii="Times New Roman" w:hAnsi="Times New Roman" w:cs="Times New Roman"/>
          <w:noProof/>
        </w:rPr>
        <w:fldChar w:fldCharType="end"/>
      </w:r>
      <w:r>
        <w:rPr>
          <w:rFonts w:ascii="Times New Roman" w:hAnsi="Times New Roman" w:cs="Times New Roman"/>
        </w:rPr>
        <w:t xml:space="preserve">. </w:t>
      </w:r>
      <w:r w:rsidR="00666D19">
        <w:rPr>
          <w:rFonts w:ascii="Times New Roman" w:hAnsi="Times New Roman" w:cs="Times New Roman"/>
        </w:rPr>
        <w:t xml:space="preserve">Moreover, following acute exercise there is an increased tissue sensitivity to </w:t>
      </w:r>
      <w:r w:rsidR="00666D19">
        <w:rPr>
          <w:rFonts w:ascii="Times New Roman" w:hAnsi="Times New Roman" w:cs="Times New Roman"/>
        </w:rPr>
        <w:lastRenderedPageBreak/>
        <w:t xml:space="preserve">glucocorticoids to help counteract inflammatory responses, cytokine synthesis, and muscle damage, however, when chronically exposed, there is a potential adaptation of the HPA axis that could result in altered sensitivity to </w:t>
      </w:r>
      <w:r w:rsidR="00406461">
        <w:rPr>
          <w:rFonts w:ascii="Times New Roman" w:hAnsi="Times New Roman" w:cs="Times New Roman"/>
        </w:rPr>
        <w:t>C</w:t>
      </w:r>
      <w:r w:rsidR="00666D19">
        <w:rPr>
          <w:rFonts w:ascii="Times New Roman" w:hAnsi="Times New Roman" w:cs="Times New Roman"/>
        </w:rPr>
        <w:t xml:space="preserve"> </w:t>
      </w:r>
      <w:r w:rsidR="00666D19">
        <w:rPr>
          <w:rFonts w:ascii="Times New Roman" w:hAnsi="Times New Roman" w:cs="Times New Roman"/>
        </w:rPr>
        <w:fldChar w:fldCharType="begin"/>
      </w:r>
      <w:r w:rsidR="00666D19">
        <w:rPr>
          <w:rFonts w:ascii="Times New Roman" w:hAnsi="Times New Roman" w:cs="Times New Roman"/>
        </w:rPr>
        <w:instrText xml:space="preserve"> ADDIN ZOTERO_ITEM CSL_CITATION {"citationID":"LOrua52R","properties":{"formattedCitation":"(Kraemer et al., 2020)","plainCitation":"(Kraemer et al., 2020)","noteIndex":0},"citationItems":[{"id":605,"uris":["http://zotero.org/users/6327055/items/K6MDES3W"],"itemData":{"id":605,"type":"article-journal","container-title":"Frontiers in Endocrinology","DOI":"10.3389/fendo.2020.00033","ISSN":"1664-2392","journalAbbreviation":"Front. Endocrinol.","language":"en","page":"33","source":"DOI.org (Crossref)","title":"Growth hormone(s), testosterone, insulin-like growth factors, and cortisol: roles and integration for cellular development and growth with exercise","title-short":"Growth Hormone(s), Testosterone, Insulin-Like Growth Factors, and Cortisol","volume":"11","author":[{"family":"Kraemer","given":"William J."},{"family":"Ratamess","given":"Nicholas A."},{"family":"Hymer","given":"Wesley C."},{"family":"Nindl","given":"Bradley C."},{"family":"Fragala","given":"Maren S."}],"issued":{"date-parts":[["2020",2,25]]}}}],"schema":"https://github.com/citation-style-language/schema/raw/master/csl-citation.json"} </w:instrText>
      </w:r>
      <w:r w:rsidR="00666D19">
        <w:rPr>
          <w:rFonts w:ascii="Times New Roman" w:hAnsi="Times New Roman" w:cs="Times New Roman"/>
        </w:rPr>
        <w:fldChar w:fldCharType="separate"/>
      </w:r>
      <w:r w:rsidR="00666D19">
        <w:rPr>
          <w:rFonts w:ascii="Times New Roman" w:hAnsi="Times New Roman" w:cs="Times New Roman"/>
          <w:noProof/>
        </w:rPr>
        <w:t>(Kraemer et al., 2020)</w:t>
      </w:r>
      <w:r w:rsidR="00666D19">
        <w:rPr>
          <w:rFonts w:ascii="Times New Roman" w:hAnsi="Times New Roman" w:cs="Times New Roman"/>
        </w:rPr>
        <w:fldChar w:fldCharType="end"/>
      </w:r>
      <w:r w:rsidR="00666D19">
        <w:rPr>
          <w:rFonts w:ascii="Times New Roman" w:hAnsi="Times New Roman" w:cs="Times New Roman"/>
        </w:rPr>
        <w:t xml:space="preserve">. </w:t>
      </w:r>
      <w:r w:rsidR="00C0424D">
        <w:rPr>
          <w:rFonts w:ascii="Times New Roman" w:hAnsi="Times New Roman" w:cs="Times New Roman"/>
        </w:rPr>
        <w:t xml:space="preserve">These increases have been shown to be consistent and as early as immediately post-exercise lasting to 15 minutes post-exercise of a submaximal cycling protocol for 30 minutes at 75% of </w:t>
      </w:r>
      <w:r w:rsidR="00C0424D" w:rsidRPr="00C0424D">
        <w:rPr>
          <w:rFonts w:ascii="Times New Roman" w:hAnsi="Times New Roman" w:cs="Times New Roman"/>
        </w:rPr>
        <w:t>VO</w:t>
      </w:r>
      <w:r w:rsidR="00C0424D">
        <w:rPr>
          <w:rFonts w:ascii="Times New Roman" w:hAnsi="Times New Roman" w:cs="Times New Roman"/>
          <w:vertAlign w:val="subscript"/>
        </w:rPr>
        <w:t xml:space="preserve">2max </w:t>
      </w:r>
      <w:r w:rsidR="00C0424D">
        <w:rPr>
          <w:rFonts w:ascii="Times New Roman" w:hAnsi="Times New Roman" w:cs="Times New Roman"/>
          <w:vertAlign w:val="subscript"/>
        </w:rPr>
        <w:fldChar w:fldCharType="begin"/>
      </w:r>
      <w:r w:rsidR="00A05ADB">
        <w:rPr>
          <w:rFonts w:ascii="Times New Roman" w:hAnsi="Times New Roman" w:cs="Times New Roman"/>
          <w:vertAlign w:val="subscript"/>
        </w:rPr>
        <w:instrText xml:space="preserve"> ADDIN ZOTERO_ITEM CSL_CITATION {"citationID":"2lLOWeSP","properties":{"formattedCitation":"(O\\uc0\\u8217{}Connor &amp; Corrigan, 1987)","plainCitation":"(O’Connor &amp; Corrigan, 1987)","noteIndex":0},"citationItems":[{"id":382,"uris":["http://zotero.org/users/6327055/items/AWW6TY9D"],"itemData":{"id":382,"type":"article-journal","abstract":"The purpose of this study was to examine the response of salivary cortisol to acute exercise, and to directly compare serum and salivary cortisol responses to sub-maximal exercise. Eight males volunteered to participate in the study. On three separate days following the assessment of maximum oxygen uptake (VO2max), the subjects exercised on a bicycle ergometer at 75% of their VO2max for 30 min. On a fourth day, the subjects rested quietly, and this served as a control condition. On each of these days, five serial samples of either blood, saliva, or both blood and saliva were obtained at 15-min intervals before, during, and after exercise. Sub-maximal exercise elicited a significant (P &lt; 0.05) increase in both serum and salivary cortisol above resting control levels immediately and 15 min following exercise under all exercise conditions. In addition, significant correlations (allP &lt; 0.01) were observed between serum and salivary cortisol at each of the five sampling periods. The correlations were as follows; r = 0.89 at −15 min; r = 0.60 at O min; r = 0.72 at 15 min; r = 0.90 at 30 min; and r = 0.93 after 15 min of recovery. Saliva was also obtained immediately before and 5 min following the assessment of V̇O2max and there was a significant (P &lt; 0.05) increase in post-V̇O2max. test (1.07 ± 0.12 Mg·dl−1) compared to pre-test (0.71 ± 0.06 ·g-dl−1) salivary cortisol levels. The results of this experiment indicate that salivary cortisol is a potentially valid measure of serum cortisol response to short-term cycling.","container-title":"Medicine &amp; Science in Sports &amp; Exercise","ISSN":"0195-9131","issue":"3","language":"en-US","page":"224–228","source":"journals.lww.com","title":"Influence of short-term cycling on salivary cortisol levels","volume":"19","author":[{"family":"O'Connor","given":"Patrick J."},{"family":"Corrigan","given":"Donald L."}],"issued":{"date-parts":[["1987",6]]}}}],"schema":"https://github.com/citation-style-language/schema/raw/master/csl-citation.json"} </w:instrText>
      </w:r>
      <w:r w:rsidR="00C0424D">
        <w:rPr>
          <w:rFonts w:ascii="Times New Roman" w:hAnsi="Times New Roman" w:cs="Times New Roman"/>
          <w:vertAlign w:val="subscript"/>
        </w:rPr>
        <w:fldChar w:fldCharType="separate"/>
      </w:r>
      <w:r w:rsidR="00A05ADB" w:rsidRPr="00A05ADB">
        <w:rPr>
          <w:rFonts w:ascii="Times New Roman" w:hAnsi="Times New Roman" w:cs="Times New Roman"/>
        </w:rPr>
        <w:t>(O’Connor &amp; Corrigan, 1987)</w:t>
      </w:r>
      <w:r w:rsidR="00C0424D">
        <w:rPr>
          <w:rFonts w:ascii="Times New Roman" w:hAnsi="Times New Roman" w:cs="Times New Roman"/>
          <w:vertAlign w:val="subscript"/>
        </w:rPr>
        <w:fldChar w:fldCharType="end"/>
      </w:r>
      <w:r w:rsidR="00C0424D">
        <w:rPr>
          <w:rFonts w:ascii="Times New Roman" w:hAnsi="Times New Roman" w:cs="Times New Roman"/>
        </w:rPr>
        <w:t xml:space="preserve">. </w:t>
      </w:r>
      <w:r w:rsidR="00C0424D">
        <w:rPr>
          <w:rFonts w:ascii="Times New Roman" w:hAnsi="Times New Roman" w:cs="Times New Roman"/>
          <w:vertAlign w:val="subscript"/>
        </w:rPr>
        <w:t xml:space="preserve"> </w:t>
      </w:r>
      <w:r w:rsidR="002B3F23" w:rsidRPr="00C0424D">
        <w:rPr>
          <w:rFonts w:ascii="Times New Roman" w:hAnsi="Times New Roman" w:cs="Times New Roman"/>
        </w:rPr>
        <w:t>Whereas</w:t>
      </w:r>
      <w:r w:rsidR="002B3F23">
        <w:rPr>
          <w:rFonts w:ascii="Times New Roman" w:hAnsi="Times New Roman" w:cs="Times New Roman"/>
        </w:rPr>
        <w:t xml:space="preserve">, chronic training may help to alleviate the spike in </w:t>
      </w:r>
      <w:r w:rsidR="0018651C">
        <w:rPr>
          <w:rFonts w:ascii="Times New Roman" w:hAnsi="Times New Roman" w:cs="Times New Roman"/>
        </w:rPr>
        <w:t xml:space="preserve">C </w:t>
      </w:r>
      <w:r w:rsidR="002B3F23">
        <w:rPr>
          <w:rFonts w:ascii="Times New Roman" w:hAnsi="Times New Roman" w:cs="Times New Roman"/>
        </w:rPr>
        <w:t xml:space="preserve">levels from an acute bout of exercise by decreasing the </w:t>
      </w:r>
      <w:r w:rsidR="0018651C">
        <w:rPr>
          <w:rFonts w:ascii="Times New Roman" w:hAnsi="Times New Roman" w:cs="Times New Roman"/>
        </w:rPr>
        <w:t>C</w:t>
      </w:r>
      <w:r w:rsidR="002B3F23">
        <w:rPr>
          <w:rFonts w:ascii="Times New Roman" w:hAnsi="Times New Roman" w:cs="Times New Roman"/>
        </w:rPr>
        <w:t xml:space="preserve"> levels resulting in no deviation from resting levels </w:t>
      </w:r>
      <w:r w:rsidR="006A19C7">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{"citationID":"TwnBPEs7","properties":{"formattedCitation":"(Halson &amp; Jeukendrup, 2004; Urhausen et al., 1995; Viru &amp; Viru, 2004)","plainCitation":"(Halson &amp; Jeukendrup, 2004; Urhausen et al., 1995; Viru &amp; Viru, 2004)","noteIndex":0},"citationItems":[{"id":262,"uris":["http://zotero.org/users/6327055/items/JAYYKGH3"],"itemData":{"id":262,"type":"article-journal","container-title":"Sports Medicine","DOI":"10.2165/00007256-200434140-00003","ISSN":"0112-1642","issue":"14","journalAbbreviation":"Sports Medicine","language":"en","page":"967-981","source":"DOI.org (Crossref)","title":"Does overtraining exist?: an analysis of overreaching and overtraining research","title-short":"Does Overtraining Exist?","volume":"34","author":[{"family":"Halson","given":"Shona L"},{"family":"Jeukendrup","given":"Asker E"}],"issued":{"date-parts":[["2004"]]}}},{"id":464,"uris":["http://zotero.org/users/6327055/items/R83ZRJHV"],"itemData":{"id":464,"type":"article-journal","container-title":"Sports Medicine","DOI":"10.2165/00007256-199520040-00004","ISSN":"0112-1642","issue":"4","journalAbbreviation":"Sports Medicine","language":"en","page":"251-276","source":"DOI.org (Crossref)","title":"Blood hormones as markers of training stress and overtraining","title-short":"Blood Hormones as Markers of Training Stress and Overtraining","volume":"20","author":[{"family":"Urhausen","given":"Axel"},{"family":"Gabriel","given":"Holger"},{"family":"Kindermann","given":"Wilfried"}],"issued":{"date-parts":[["1995",10]]}}},{"id":378,"uris":["http://zotero.org/users/6327055/items/8VVM8ZZ4"],"itemData":{"id":378,"type":"article-journal","container-title":"International Journal of Sports Medicine","DOI":"10.1055/s-2004-821068","ISSN":"0172-4622, 1439-3964","issue":"6","journalAbbreviation":"Int J Sports Med","language":"en","page":"461-464","source":"DOI.org (Crossref)","title":"Cortisol - essential adaptation hormone in exercise","volume":"25","author":[{"family":"Viru","given":"A."},{"family":"Viru","given":"M."}],"issued":{"date-parts":[["2004",8]]}}}],"schema":"https://github.com/citation-style-language/schema/raw/master/csl-citation.json"} </w:instrText>
      </w:r>
      <w:r w:rsidR="006A19C7">
        <w:rPr>
          <w:rFonts w:ascii="Times New Roman" w:hAnsi="Times New Roman" w:cs="Times New Roman"/>
        </w:rPr>
        <w:fldChar w:fldCharType="separate"/>
      </w:r>
      <w:r w:rsidR="00234801">
        <w:rPr>
          <w:rFonts w:ascii="Times New Roman" w:hAnsi="Times New Roman" w:cs="Times New Roman"/>
          <w:noProof/>
        </w:rPr>
        <w:t>(Halson &amp; Jeukendrup, 2004; Urhausen et al., 1995; Viru &amp; Viru, 2004)</w:t>
      </w:r>
      <w:r w:rsidR="006A19C7">
        <w:rPr>
          <w:rFonts w:ascii="Times New Roman" w:hAnsi="Times New Roman" w:cs="Times New Roman"/>
        </w:rPr>
        <w:fldChar w:fldCharType="end"/>
      </w:r>
      <w:r w:rsidR="00C06776">
        <w:rPr>
          <w:rFonts w:ascii="Times New Roman" w:hAnsi="Times New Roman" w:cs="Times New Roman"/>
        </w:rPr>
        <w:t>.</w:t>
      </w:r>
      <w:r w:rsidR="002B3F23">
        <w:rPr>
          <w:rFonts w:ascii="Times New Roman" w:hAnsi="Times New Roman" w:cs="Times New Roman"/>
        </w:rPr>
        <w:t xml:space="preserve"> </w:t>
      </w:r>
      <w:r w:rsidR="00D343FE">
        <w:rPr>
          <w:rFonts w:ascii="Times New Roman" w:hAnsi="Times New Roman" w:cs="Times New Roman"/>
        </w:rPr>
        <w:t>Additionally, c</w:t>
      </w:r>
      <w:r w:rsidR="008A23AA">
        <w:rPr>
          <w:rFonts w:ascii="Times New Roman" w:hAnsi="Times New Roman" w:cs="Times New Roman"/>
        </w:rPr>
        <w:t>hronic</w:t>
      </w:r>
      <w:r w:rsidR="00D343FE">
        <w:rPr>
          <w:rFonts w:ascii="Times New Roman" w:hAnsi="Times New Roman" w:cs="Times New Roman"/>
        </w:rPr>
        <w:t xml:space="preserve"> intermittent exposures to glucocorticoids appear to aid in </w:t>
      </w:r>
      <w:proofErr w:type="spellStart"/>
      <w:r w:rsidR="00D343FE">
        <w:rPr>
          <w:rFonts w:ascii="Times New Roman" w:hAnsi="Times New Roman" w:cs="Times New Roman"/>
        </w:rPr>
        <w:t>sarcolemmal</w:t>
      </w:r>
      <w:proofErr w:type="spellEnd"/>
      <w:r w:rsidR="00D343FE">
        <w:rPr>
          <w:rFonts w:ascii="Times New Roman" w:hAnsi="Times New Roman" w:cs="Times New Roman"/>
        </w:rPr>
        <w:t xml:space="preserve"> repair and muscular recovery and performance </w:t>
      </w:r>
      <w:r w:rsidR="00D343FE">
        <w:rPr>
          <w:rFonts w:ascii="Times New Roman" w:hAnsi="Times New Roman" w:cs="Times New Roman"/>
        </w:rPr>
        <w:fldChar w:fldCharType="begin"/>
      </w:r>
      <w:r w:rsidR="00D343FE">
        <w:rPr>
          <w:rFonts w:ascii="Times New Roman" w:hAnsi="Times New Roman" w:cs="Times New Roman"/>
        </w:rPr>
        <w:instrText xml:space="preserve"> ADDIN ZOTERO_ITEM CSL_CITATION {"citationID":"BP0RXEZI","properties":{"formattedCitation":"(Kraemer et al., 2020)","plainCitation":"(Kraemer et al., 2020)","noteIndex":0},"citationItems":[{"id":605,"uris":["http://zotero.org/users/6327055/items/K6MDES3W"],"itemData":{"id":605,"type":"article-journal","container-title":"Frontiers in Endocrinology","DOI":"10.3389/fendo.2020.00033","ISSN":"1664-2392","journalAbbreviation":"Front. Endocrinol.","language":"en","page":"33","source":"DOI.org (Crossref)","title":"Growth hormone(s), testosterone, insulin-like growth factors, and cortisol: roles and integration for cellular development and growth with exercise","title-short":"Growth Hormone(s), Testosterone, Insulin-Like Growth Factors, and Cortisol","volume":"11","author":[{"family":"Kraemer","given":"William J."},{"family":"Ratamess","given":"Nicholas A."},{"family":"Hymer","given":"Wesley C."},{"family":"Nindl","given":"Bradley C."},{"family":"Fragala","given":"Maren S."}],"issued":{"date-parts":[["2020",2,25]]}}}],"schema":"https://github.com/citation-style-language/schema/raw/master/csl-citation.json"} </w:instrText>
      </w:r>
      <w:r w:rsidR="00D343FE">
        <w:rPr>
          <w:rFonts w:ascii="Times New Roman" w:hAnsi="Times New Roman" w:cs="Times New Roman"/>
        </w:rPr>
        <w:fldChar w:fldCharType="separate"/>
      </w:r>
      <w:r w:rsidR="00D343FE">
        <w:rPr>
          <w:rFonts w:ascii="Times New Roman" w:hAnsi="Times New Roman" w:cs="Times New Roman"/>
          <w:noProof/>
        </w:rPr>
        <w:t>(Kraemer et al., 2020)</w:t>
      </w:r>
      <w:r w:rsidR="00D343FE">
        <w:rPr>
          <w:rFonts w:ascii="Times New Roman" w:hAnsi="Times New Roman" w:cs="Times New Roman"/>
        </w:rPr>
        <w:fldChar w:fldCharType="end"/>
      </w:r>
      <w:r w:rsidR="00D343FE">
        <w:rPr>
          <w:rFonts w:ascii="Times New Roman" w:hAnsi="Times New Roman" w:cs="Times New Roman"/>
        </w:rPr>
        <w:t xml:space="preserve">. </w:t>
      </w:r>
      <w:r>
        <w:rPr>
          <w:rFonts w:ascii="Times New Roman" w:hAnsi="Times New Roman" w:cs="Times New Roman"/>
        </w:rPr>
        <w:t xml:space="preserve">Previous literature has found that the </w:t>
      </w:r>
      <w:r w:rsidR="0018651C">
        <w:rPr>
          <w:rFonts w:ascii="Times New Roman" w:hAnsi="Times New Roman" w:cs="Times New Roman"/>
        </w:rPr>
        <w:t>C</w:t>
      </w:r>
      <w:r>
        <w:rPr>
          <w:rFonts w:ascii="Times New Roman" w:hAnsi="Times New Roman" w:cs="Times New Roman"/>
        </w:rPr>
        <w:t xml:space="preserve"> concentrations within a cohort of collegiate male basketball players ranged from 6.9 – 20.3 nmol/L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{"citationID":"TxM2yAV1","properties":{"formattedCitation":"(Andre et al., 2018)","plainCitation":"(Andre et al., 2018)","noteIndex":0},"citationItems":[{"id":127,"uris":["http://zotero.org/users/6327055/items/NJLLP2DZ"],"itemData":{"id":127,"type":"article-journal","abstract":"International Journal of Exercise Science 11(6): 439-451, 2018. The purpose of this study was to monitor weekly the salivary free testosterone (FT), cortisol (C), and the FT/C ratio in elite men NCAA Division I basketball athletes across an entire season. Twelve athletes gave salivary samples for 30 consecutive weeks, beginning in the pre-season and ending one week after the end of post-season competition. Samples were assayed for FT and C. Additionally, a composite value (CBD) composed of Z-scores for weekly practice minutes, game minutes, resistance training repetitions, academic demands, and travel schedules was determined. One-way RM ANOVAs were used to determine which weekly values were different (α=.05) from the season mean. For FT, 10 weeks were different from the season average (5.1 nmol/L). For C, 11 weeks were different from the season mean (9.0 nmol/L). For FT/C, weeks 7 (p=.007), 17 (p=.007), and 25 (p=.005) were different from the season mean (FT/C=0.69). During Wk7, at the start of regular season play, FT/C was above, while CBD was below the season means. During Wk17, which was leading into a series of important conference games, FT/C was below, while CBD was not different from season means. During Wk25, which was one week before the conference tournament, FT/C was below, while CBD was above season means. The methods of this study can be used for monitoring athlete responses and adaptations to sport-specific training and competition; specifically, for evaluating responses to challenging pre-season training, recovery for regular season play, and how they physiologically cope with the competitive season.","container-title":"International Journal of Exercise Science","issue":"6","language":"en","note":"Purpose: Monitor weekly salivary biomarkers in elite men NCAA Division 1 basketball players throughout an entire season. Additionally, the salivary biomarkers were compared to other demands for collegiate basketball training and competition, to examin their relationships. \nResearch Question: What is the weekly hormonal response to training? How do other stimuli within the magnitude of the training sessions and aspects of the season effect the hormonal response? \nMethods \nStudy Design: This study was observational with a colllection of saliva upon arrival from each participant prior to the afternoon practice across 30 weeks of the training and competitive season. Aspects such as playing/practice minutes, travel, resistance exercise volume, and academia were collected. \nSample: 12 male NCAA Division 1 American collegiate basketball student athletes \nProtocol: Salivary sample at rest prior to the afternoon practice (1300-1500hrs) in the middle of the week for 27 weeks with the 30 week season. Sample collection began one week before pre-season and concluded one week after post-season. No eating, brushing teeth, or consuming any drink other than water 1 hour prior to collection. Mouth rinse with water and resting for 5 minutes and finally an oral swab to hold in their mouth for 2 minutes.\nValidity/Reliabilty Data: Saliva has been shown to be highly correlated with plasma or serum samples. \nData Collection Procedures: Samples were frozen at -80 degress Celsius. Enzyme immunoassay kits using 96 well microtitre plates from Salimetrics. Separate assay for each athlete. Playing minutes, practice minutes, resistance training volume (total repetitions), travel schedules (scale values based on the time getting back from the trip - 1 = overnight bus before midnight, 2 = overnight flight, 5 = multiple day trip with flight), and academic demands (scale generalized so 0 = no class, 2 = normal academic week, 4 = exam period) were collected. All variables converted to Z scores. \nStatistical Analyses: IBM SPSS 24, 324 total samples with 20 missing from absence and replaced with the team's average for that week. Verification of all assumptions and a 1 way RMANOVA with LSD pairwise comparisons to determine which weekly values were different from the season mean. Relationships between team FT, C, FT/C and team CBD (collegiate basketball demands) scores, and their individual components, throughout the season was done through Pearson correlations. Significant set at 0.05. \nFindings: The FT (free testosterone) was seen to be different from the season mean in 10 weeks, C (cortisol) was different in 11 weeks, and FT/C (FT/C ratio) was different in weeks 7 (more than 3 SD above with CBD significantly below season averages), 17-before important games (more than 2.5 SD below season average and no difference in CBD), and 25-before conference tournament (FT/C more than 1 SD below and CBD significantly above season averages). There was a significant negative correlation between FT/C and game minutes. \nConclusions: The increases in C at the beginning is likely due to the intense preseason. The large increase in FT/C in week 7 suggests that the athletes were recovered from preseason prior to the first week of regular season competition but there was no increase in FT meaning there was a reduction in C. The decrease in FT/C at week 17 could suggest that the season was beginning to have an effect physiologically on the athletes and was supported by the negative correlation of FT/C and game minutes. There was another decrease in FT/C at the start of postseason competition but a return to baseline once competition play stopped. This is likely due to the decreases in FT leading to the reduction in FT/C but C also varied significantly through the collection showing that the demands are stressful. The CBD was very unpredictable but when examined individually a significant inverse correlation between FT/C and game minutes was found. Monitoring FT/C changes may provide insight into health, performance, and recovery. \nFurther Research: Collect performance data in conjuction with the biomarker samples to examine if performance changes occur and relate to the biomarkers. \nRelevant Studies: \nGaviglio CM, Cook CJ. Relationship between midweek training measures of testosterone and cortisol concentrations and game outcome in professional rugby union matches. J Strength Cond Res 28(12):3447-3452, 2014.\nBalsalobre-Fernández C, Tejero-González CM, del Campo-Vecino J. Relationships between training load, salivary cortisol responses and performance during season training in middle and long distance runners. PLoS ONE 9(8), 2014.\nHoffman JR, Epstein S, Yarom Y, Zigel L, Einbinder M. Hormonal and biochemical changes in elite basketball players during a 4-week training camp. J Strength Cond Res 13(3):280-285, 1999.\nKraemer WJ, Ratamess NA. Hormonal responses and adaptations to resistance exercise and training. Sports Med 35(4):339-361, 2005.","page":"439-451","source":"Zotero","title":"Weekly salivary biomarkers across a season for elite men collegiate basketball players","volume":"11","author":[{"family":"Andre","given":"Matthew J"},{"family":"Fry","given":"Andrew C"},{"family":"Luebbers","given":"Paul E"},{"family":"Hudy","given":"Andrea"},{"family":"Dietz","given":"Partricia R"},{"family":"Cain","given":"Glenn J"}],"issued":{"date-parts":[["2018"]]}}}],"schema":"https://github.com/citation-style-language/schema/raw/master/csl-citation.json"} </w:instrText>
      </w:r>
      <w:r w:rsidR="006A19C7">
        <w:rPr>
          <w:rFonts w:ascii="Times New Roman" w:hAnsi="Times New Roman" w:cs="Times New Roman"/>
          <w:noProof/>
        </w:rPr>
        <w:fldChar w:fldCharType="separate"/>
      </w:r>
      <w:r w:rsidR="006A19C7">
        <w:rPr>
          <w:rFonts w:ascii="Times New Roman" w:hAnsi="Times New Roman" w:cs="Times New Roman"/>
          <w:noProof/>
        </w:rPr>
        <w:t>(Andre et al., 2018)</w:t>
      </w:r>
      <w:r w:rsidR="006A19C7">
        <w:rPr>
          <w:rFonts w:ascii="Times New Roman" w:hAnsi="Times New Roman" w:cs="Times New Roman"/>
          <w:noProof/>
        </w:rPr>
        <w:fldChar w:fldCharType="end"/>
      </w:r>
      <w:r>
        <w:rPr>
          <w:rFonts w:ascii="Times New Roman" w:hAnsi="Times New Roman" w:cs="Times New Roman"/>
        </w:rPr>
        <w:t xml:space="preserve">. </w:t>
      </w:r>
    </w:p>
    <w:p w14:paraId="7E036126" w14:textId="4972C645" w:rsidR="003F3D08" w:rsidRPr="00FC08AB" w:rsidRDefault="003F3D08" w:rsidP="00FC08AB">
      <w:pPr>
        <w:pStyle w:val="Heading3"/>
        <w:spacing w:line="480" w:lineRule="auto"/>
        <w:rPr>
          <w:rFonts w:ascii="Times New Roman" w:hAnsi="Times New Roman" w:cs="Times New Roman"/>
          <w:b/>
          <w:bCs/>
          <w:i/>
          <w:iCs/>
          <w:color w:val="000000" w:themeColor="text1"/>
        </w:rPr>
      </w:pPr>
      <w:bookmarkStart w:id="34" w:name="_Toc99267613"/>
      <w:r w:rsidRPr="00FC08AB">
        <w:rPr>
          <w:rFonts w:ascii="Times New Roman" w:hAnsi="Times New Roman" w:cs="Times New Roman"/>
          <w:b/>
          <w:bCs/>
          <w:i/>
          <w:iCs/>
          <w:color w:val="000000" w:themeColor="text1"/>
        </w:rPr>
        <w:t>T:C Ratio</w:t>
      </w:r>
      <w:bookmarkEnd w:id="34"/>
    </w:p>
    <w:p w14:paraId="62B2DC6C" w14:textId="18B53670" w:rsidR="003F3D08" w:rsidRPr="00650A40" w:rsidRDefault="003F3D08" w:rsidP="003F3D08">
      <w:pPr>
        <w:spacing w:line="480" w:lineRule="auto"/>
        <w:jc w:val="both"/>
        <w:rPr>
          <w:rFonts w:ascii="Times New Roman" w:hAnsi="Times New Roman" w:cs="Times New Roman"/>
        </w:rPr>
      </w:pPr>
      <w:r>
        <w:rPr>
          <w:rFonts w:ascii="Times New Roman" w:hAnsi="Times New Roman" w:cs="Times New Roman"/>
          <w:b/>
          <w:bCs/>
          <w:i/>
          <w:iCs/>
        </w:rPr>
        <w:tab/>
      </w:r>
      <w:r>
        <w:rPr>
          <w:rFonts w:ascii="Times New Roman" w:hAnsi="Times New Roman" w:cs="Times New Roman"/>
        </w:rPr>
        <w:t xml:space="preserve">Assessment for the two hormones, </w:t>
      </w:r>
      <w:r w:rsidR="008C2AC3">
        <w:rPr>
          <w:rFonts w:ascii="Times New Roman" w:hAnsi="Times New Roman" w:cs="Times New Roman"/>
        </w:rPr>
        <w:t>T</w:t>
      </w:r>
      <w:r w:rsidR="009471BC">
        <w:rPr>
          <w:rFonts w:ascii="Times New Roman" w:hAnsi="Times New Roman" w:cs="Times New Roman"/>
        </w:rPr>
        <w:t>estosterone</w:t>
      </w:r>
      <w:r>
        <w:rPr>
          <w:rFonts w:ascii="Times New Roman" w:hAnsi="Times New Roman" w:cs="Times New Roman"/>
        </w:rPr>
        <w:t xml:space="preserve"> and </w:t>
      </w:r>
      <w:r w:rsidR="008C2AC3">
        <w:rPr>
          <w:rFonts w:ascii="Times New Roman" w:hAnsi="Times New Roman" w:cs="Times New Roman"/>
        </w:rPr>
        <w:t>C</w:t>
      </w:r>
      <w:r w:rsidR="009471BC">
        <w:rPr>
          <w:rFonts w:ascii="Times New Roman" w:hAnsi="Times New Roman" w:cs="Times New Roman"/>
        </w:rPr>
        <w:t>ortisol</w:t>
      </w:r>
      <w:r>
        <w:rPr>
          <w:rFonts w:ascii="Times New Roman" w:hAnsi="Times New Roman" w:cs="Times New Roman"/>
        </w:rPr>
        <w:t xml:space="preserve">, coupled together create the </w:t>
      </w:r>
      <w:proofErr w:type="spellStart"/>
      <w:r>
        <w:rPr>
          <w:rFonts w:ascii="Times New Roman" w:hAnsi="Times New Roman" w:cs="Times New Roman"/>
        </w:rPr>
        <w:t>anabolic:catabolic</w:t>
      </w:r>
      <w:proofErr w:type="spellEnd"/>
      <w:r>
        <w:rPr>
          <w:rFonts w:ascii="Times New Roman" w:hAnsi="Times New Roman" w:cs="Times New Roman"/>
        </w:rPr>
        <w:t xml:space="preserve"> balance known as the </w:t>
      </w:r>
      <w:proofErr w:type="spellStart"/>
      <w:r w:rsidR="009471BC">
        <w:rPr>
          <w:rFonts w:ascii="Times New Roman" w:hAnsi="Times New Roman" w:cs="Times New Roman"/>
        </w:rPr>
        <w:t>Testosterone</w:t>
      </w:r>
      <w:r>
        <w:rPr>
          <w:rFonts w:ascii="Times New Roman" w:hAnsi="Times New Roman" w:cs="Times New Roman"/>
        </w:rPr>
        <w:t>:C</w:t>
      </w:r>
      <w:r w:rsidR="009471BC">
        <w:rPr>
          <w:rFonts w:ascii="Times New Roman" w:hAnsi="Times New Roman" w:cs="Times New Roman"/>
        </w:rPr>
        <w:t>ortisol</w:t>
      </w:r>
      <w:proofErr w:type="spellEnd"/>
      <w:r>
        <w:rPr>
          <w:rFonts w:ascii="Times New Roman" w:hAnsi="Times New Roman" w:cs="Times New Roman"/>
        </w:rPr>
        <w:t xml:space="preserve"> </w:t>
      </w:r>
      <w:r w:rsidR="009471BC">
        <w:rPr>
          <w:rFonts w:ascii="Times New Roman" w:hAnsi="Times New Roman" w:cs="Times New Roman"/>
        </w:rPr>
        <w:t xml:space="preserve">(T:C) </w:t>
      </w:r>
      <w:r>
        <w:rPr>
          <w:rFonts w:ascii="Times New Roman" w:hAnsi="Times New Roman" w:cs="Times New Roman"/>
        </w:rPr>
        <w:t xml:space="preserve">ratio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{"citationID":"YMEvo9uu","properties":{"formattedCitation":"(Andre et al., 2018; Halson &amp; Jeukendrup, 2004; Kraemer, 1988; Kraemer et al., 2009; Kraemer &amp; Ratamess, 2005)","plainCitation":"(Andre et al., 2018; Halson &amp; Jeukendrup, 2004; Kraemer, 1988; Kraemer et al., 2009; Kraemer &amp; Ratamess, 2005)","noteIndex":0},"citationItems":[{"id":127,"uris":["http://zotero.org/users/6327055/items/NJLLP2DZ"],"itemData":{"id":127,"type":"article-journal","abstract":"International Journal of Exercise Science 11(6): 439-451, 2018. The purpose of this study was to monitor weekly the salivary free testosterone (FT), cortisol (C), and the FT/C ratio in elite men NCAA Division I basketball athletes across an entire season. Twelve athletes gave salivary samples for 30 consecutive weeks, beginning in the pre-season and ending one week after the end of post-season competition. Samples were assayed for FT and C. Additionally, a composite value (CBD) composed of Z-scores for weekly practice minutes, game minutes, resistance training repetitions, academic demands, and travel schedules was determined. One-way RM ANOVAs were used to determine which weekly values were different (α=.05) from the season mean. For FT, 10 weeks were different from the season average (5.1 nmol/L). For C, 11 weeks were different from the season mean (9.0 nmol/L). For FT/C, weeks 7 (p=.007), 17 (p=.007), and 25 (p=.005) were different from the season mean (FT/C=0.69). During Wk7, at the start of regular season play, FT/C was above, while CBD was below the season means. During Wk17, which was leading into a series of important conference games, FT/C was below, while CBD was not different from season means. During Wk25, which was one week before the conference tournament, FT/C was below, while CBD was above season means. The methods of this study can be used for monitoring athlete responses and adaptations to sport-specific training and competition; specifically, for evaluating responses to challenging pre-season training, recovery for regular season play, and how they physiologically cope with the competitive season.","container-title":"International Journal of Exercise Science","issue":"6","language":"en","note":"Purpose: Monitor weekly salivary biomarkers in elite men NCAA Division 1 basketball players throughout an entire season. Additionally, the salivary biomarkers were compared to other demands for collegiate basketball training and competition, to examin their relationships. \nResearch Question: What is the weekly hormonal response to training? How do other stimuli within the magnitude of the training sessions and aspects of the season effect the hormonal response? \nMethods \nStudy Design: This study was observational with a colllection of saliva upon arrival from each participant prior to the afternoon practice across 30 weeks of the training and competitive season. Aspects such as playing/practice minutes, travel, resistance exercise volume, and academia were collected. \nSample: 12 male NCAA Division 1 American collegiate basketball student athletes \nProtocol: Salivary sample at rest prior to the afternoon practice (1300-1500hrs) in the middle of the week for 27 weeks with the 30 week season. Sample collection began one week before pre-season and concluded one week after post-season. No eating, brushing teeth, or consuming any drink other than water 1 hour prior to collection. Mouth rinse with water and resting for 5 minutes and finally an oral swab to hold in their mouth for 2 minutes.\nValidity/Reliabilty Data: Saliva has been shown to be highly correlated with plasma or serum samples. \nData Collection Procedures: Samples were frozen at -80 degress Celsius. Enzyme immunoassay kits using 96 well microtitre plates from Salimetrics. Separate assay for each athlete. Playing minutes, practice minutes, resistance training volume (total repetitions), travel schedules (scale values based on the time getting back from the trip - 1 = overnight bus before midnight, 2 = overnight flight, 5 = multiple day trip with flight), and academic demands (scale generalized so 0 = no class, 2 = normal academic week, 4 = exam period) were collected. All variables converted to Z scores. \nStatistical Analyses: IBM SPSS 24, 324 total samples with 20 missing from absence and replaced with the team's average for that week. Verification of all assumptions and a 1 way RMANOVA with LSD pairwise comparisons to determine which weekly values were different from the season mean. Relationships between team FT, C, FT/C and team CBD (collegiate basketball demands) scores, and their individual components, throughout the season was done through Pearson correlations. Significant set at 0.05. \nFindings: The FT (free testosterone) was seen to be different from the season mean in 10 weeks, C (cortisol) was different in 11 weeks, and FT/C (FT/C ratio) was different in weeks 7 (more than 3 SD above with CBD significantly below season averages), 17-before important games (more than 2.5 SD below season average and no difference in CBD), and 25-before conference tournament (FT/C more than 1 SD below and CBD significantly above season averages). There was a significant negative correlation between FT/C and game minutes. \nConclusions: The increases in C at the beginning is likely due to the intense preseason. The large increase in FT/C in week 7 suggests that the athletes were recovered from preseason prior to the first week of regular season competition but there was no increase in FT meaning there was a reduction in C. The decrease in FT/C at week 17 could suggest that the season was beginning to have an effect physiologically on the athletes and was supported by the negative correlation of FT/C and game minutes. There was another decrease in FT/C at the start of postseason competition but a return to baseline once competition play stopped. This is likely due to the decreases in FT leading to the reduction in FT/C but C also varied significantly through the collection showing that the demands are stressful. The CBD was very unpredictable but when examined individually a significant inverse correlation between FT/C and game minutes was found. Monitoring FT/C changes may provide insight into health, performance, and recovery. \nFurther Research: Collect performance data in conjuction with the biomarker samples to examine if performance changes occur and relate to the biomarkers. \nRelevant Studies: \nGaviglio CM, Cook CJ. Relationship between midweek training measures of testosterone and cortisol concentrations and game outcome in professional rugby union matches. J Strength Cond Res 28(12):3447-3452, 2014.\nBalsalobre-Fernández C, Tejero-González CM, del Campo-Vecino J. Relationships between training load, salivary cortisol responses and performance during season training in middle and long distance runners. PLoS ONE 9(8), 2014.\nHoffman JR, Epstein S, Yarom Y, Zigel L, Einbinder M. Hormonal and biochemical changes in elite basketball players during a 4-week training camp. J Strength Cond Res 13(3):280-285, 1999.\nKraemer WJ, Ratamess NA. Hormonal responses and adaptations to resistance exercise and training. Sports Med 35(4):339-361, 2005.","page":"439-451","source":"Zotero","title":"Weekly salivary biomarkers across a season for elite men collegiate basketball players","volume":"11","author":[{"family":"Andre","given":"Matthew J"},{"family":"Fry","given":"Andrew C"},{"family":"Luebbers","given":"Paul E"},{"family":"Hudy","given":"Andrea"},{"family":"Dietz","given":"Partricia R"},{"family":"Cain","given":"Glenn J"}],"issued":{"date-parts":[["2018"]]}}},{"id":262,"uris":["http://zotero.org/users/6327055/items/JAYYKGH3"],"itemData":{"id":262,"type":"article-journal","container-title":"Sports Medicine","DOI":"10.2165/00007256-200434140-00003","ISSN":"0112-1642","issue":"14","journalAbbreviation":"Sports Medicine","language":"en","page":"967-981","source":"DOI.org (Crossref)","title":"Does overtraining exist?: an analysis of overreaching and overtraining research","title-short":"Does Overtraining Exist?","volume":"34","author":[{"family":"Halson","given":"Shona L"},{"family":"Jeukendrup","given":"Asker E"}],"issued":{"date-parts":[["2004"]]}}},{"id":162,"uris":["http://zotero.org/users/6327055/items/2XPU97BQ"],"itemData":{"id":162,"type":"article-journal","container-title":"Journal of Strength and Conditioning Research","DOI":"10.1519/JSC.0b013e31819306f2","ISSN":"1064-8011","issue":"1","language":"en","page":"2-10","source":"DOI.org (Crossref)","title":"Recovery from a national collegiate athletic association division I football game: Muscle damage and hormonal status","title-short":"Recovery From a National Collegiate Athletic Association Division I Football Game","volume":"23","author":[{"family":"Kraemer","given":"William J"},{"family":"Spiering","given":"Barry A"},{"family":"Volek","given":"Jeff S"},{"family":"Martin","given":"Gerard J"},{"family":"Howard","given":"Robert L"},{"family":"Ratamess","given":"Nicholas A"},{"family":"Hatfield","given":"Disa L"},{"family":"Vingren","given":"Jakob L"},{"family":"Ho","given":"Jen Yu"},{"family":"Fragala","given":"Maren S"},{"family":"Thomas","given":"Gwendolyn A"},{"family":"French","given":"Duncan N"},{"family":"Anderson","given":"Jeffrey M"},{"family":"Häkkinen","given":"Keijo"},{"family":"Maresh","given":"Carl M"}],"issued":{"date-parts":[["2009",1]]}}},{"id":129,"uris":["http://zotero.org/users/6327055/items/SPBDA3V8"],"itemData":{"id":129,"type":"article-journal","container-title":"Sports Medicine","DOI":"10.2165/00007256-200535040-00004","ISSN":"0112-1642","issue":"4","journalAbbreviation":"Sports Medicine","language":"en","page":"339-361","source":"DOI.org (Crossref)","title":"Hormonal responses and adaptations to resistance exercise and training:","title-short":"Hormonal Responses and Adaptations to Resistance Exercise and Training","volume":"35","author":[{"family":"Kraemer","given":"William J"},{"family":"Ratamess","given":"Nicholas A"}],"issued":{"date-parts":[["2005"]]}}},{"id":131,"uris":["http://zotero.org/users/6327055/items/V9IDF3R7"],"itemData":{"id":131,"type":"article-journal","abstract":"The purpose of this brief review is to examine resistance training responses of selected hormones related to acute stress and growth promoting actions. Hormonal mechanisms appear to be involved with both short-term homeostatic control and long-term cellular adaptations. Few studies have modeled the exercise stimulus in resistance training to determine the role of different exercise variables to the hormonal response. A variety of resistance exercise protocols result in increases in peripheral hormonal concentrations. It appears that single factor variables such as the intensity (% of RM) of exercise and amount of muscle mass utilized in the exercise protocol are important determinants of hormonal responses. The volume (sets x repetitions x intensity) of exercise also appears to be an important determinant of hormonal response. Still, little is known with regard to other single and multiple factor variables (e.g., rest period length) and their relationships to peripheral hormonal alterations. Collectively, such information will allow greater understanding concerning the nature of the exercise stimulus and its relationship to training adaptations resulting from heavy resistance exercise.","container-title":"Medicine and Science in Sports and Exercise","DOI":"10.1249/00005768-198810001-00011","ISSN":"0195-9131","issue":"5 Suppl","language":"eng","note":"PMID: 3057315","page":"S152-157","source":"PubMed","title":"Endocrine responses to resistance exercise","volume":"20","author":[{"family":"Kraemer","given":"W. J."}],"issued":{"date-parts":[["1988",10]]}}}],"schema":"https://github.com/citation-style-language/schema/raw/master/csl-citation.json"} </w:instrText>
      </w:r>
      <w:r w:rsidR="006A19C7">
        <w:rPr>
          <w:rFonts w:ascii="Times New Roman" w:hAnsi="Times New Roman" w:cs="Times New Roman"/>
          <w:noProof/>
        </w:rPr>
        <w:fldChar w:fldCharType="separate"/>
      </w:r>
      <w:r w:rsidR="006B671B">
        <w:rPr>
          <w:rFonts w:ascii="Times New Roman" w:hAnsi="Times New Roman" w:cs="Times New Roman"/>
          <w:noProof/>
        </w:rPr>
        <w:t>(Andre et al., 2018; Halson &amp; Jeukendrup, 2004; Kraemer, 1988; Kraemer et al., 2009; Kraemer &amp; Ratamess, 2005)</w:t>
      </w:r>
      <w:r w:rsidR="006A19C7">
        <w:rPr>
          <w:rFonts w:ascii="Times New Roman" w:hAnsi="Times New Roman" w:cs="Times New Roman"/>
          <w:noProof/>
        </w:rPr>
        <w:fldChar w:fldCharType="end"/>
      </w:r>
      <w:r>
        <w:rPr>
          <w:rFonts w:ascii="Times New Roman" w:hAnsi="Times New Roman" w:cs="Times New Roman"/>
        </w:rPr>
        <w:t xml:space="preserve">. An increase in </w:t>
      </w:r>
      <w:r w:rsidR="009471BC">
        <w:rPr>
          <w:rFonts w:ascii="Times New Roman" w:hAnsi="Times New Roman" w:cs="Times New Roman"/>
        </w:rPr>
        <w:t>T</w:t>
      </w:r>
      <w:r>
        <w:rPr>
          <w:rFonts w:ascii="Times New Roman" w:hAnsi="Times New Roman" w:cs="Times New Roman"/>
        </w:rPr>
        <w:t xml:space="preserve">, decrease in </w:t>
      </w:r>
      <w:r w:rsidR="009471BC">
        <w:rPr>
          <w:rFonts w:ascii="Times New Roman" w:hAnsi="Times New Roman" w:cs="Times New Roman"/>
        </w:rPr>
        <w:t>C</w:t>
      </w:r>
      <w:r>
        <w:rPr>
          <w:rFonts w:ascii="Times New Roman" w:hAnsi="Times New Roman" w:cs="Times New Roman"/>
        </w:rPr>
        <w:t xml:space="preserve">, or a combination of the two processes would infer a state of anabolism, whereas the decrease of </w:t>
      </w:r>
      <w:r w:rsidR="009471BC">
        <w:rPr>
          <w:rFonts w:ascii="Times New Roman" w:hAnsi="Times New Roman" w:cs="Times New Roman"/>
        </w:rPr>
        <w:t>T</w:t>
      </w:r>
      <w:r>
        <w:rPr>
          <w:rFonts w:ascii="Times New Roman" w:hAnsi="Times New Roman" w:cs="Times New Roman"/>
        </w:rPr>
        <w:t xml:space="preserve">, increase in </w:t>
      </w:r>
      <w:r w:rsidR="009471BC">
        <w:rPr>
          <w:rFonts w:ascii="Times New Roman" w:hAnsi="Times New Roman" w:cs="Times New Roman"/>
        </w:rPr>
        <w:t>C</w:t>
      </w:r>
      <w:r>
        <w:rPr>
          <w:rFonts w:ascii="Times New Roman" w:hAnsi="Times New Roman" w:cs="Times New Roman"/>
        </w:rPr>
        <w:t xml:space="preserve">, or the combination of those two processes would infer the state of catabolism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{"citationID":"yAUfSPxh","properties":{"formattedCitation":"(Kraemer &amp; Ratamess, 2005; Viru &amp; Viru, 2004)","plainCitation":"(Kraemer &amp; Ratamess, 2005; Viru &amp; Viru, 2004)","noteIndex":0},"citationItems":[{"id":129,"uris":["http://zotero.org/users/6327055/items/SPBDA3V8"],"itemData":{"id":129,"type":"article-journal","container-title":"Sports Medicine","DOI":"10.2165/00007256-200535040-00004","ISSN":"0112-1642","issue":"4","journalAbbreviation":"Sports Medicine","language":"en","page":"339-361","source":"DOI.org (Crossref)","title":"Hormonal responses and adaptations to resistance exercise and training:","title-short":"Hormonal Responses and Adaptations to Resistance Exercise and Training","volume":"35","author":[{"family":"Kraemer","given":"William J"},{"family":"Ratamess","given":"Nicholas A"}],"issued":{"date-parts":[["2005"]]}}},{"id":378,"uris":["http://zotero.org/users/6327055/items/8VVM8ZZ4"],"itemData":{"id":378,"type":"article-journal","container-title":"International Journal of Sports Medicine","DOI":"10.1055/s-2004-821068","ISSN":"0172-4622, 1439-3964","issue":"6","journalAbbreviation":"Int J Sports Med","language":"en","page":"461-464","source":"DOI.org (Crossref)","title":"Cortisol - essential adaptation hormone in exercise","volume":"25","author":[{"family":"Viru","given":"A."},{"family":"Viru","given":"M."}],"issued":{"date-parts":[["2004",8]]}}}],"schema":"https://github.com/citation-style-language/schema/raw/master/csl-citation.json"} </w:instrText>
      </w:r>
      <w:r w:rsidR="006A19C7">
        <w:rPr>
          <w:rFonts w:ascii="Times New Roman" w:hAnsi="Times New Roman" w:cs="Times New Roman"/>
          <w:noProof/>
        </w:rPr>
        <w:fldChar w:fldCharType="separate"/>
      </w:r>
      <w:r w:rsidR="005E2D6C">
        <w:rPr>
          <w:rFonts w:ascii="Times New Roman" w:hAnsi="Times New Roman" w:cs="Times New Roman"/>
          <w:noProof/>
        </w:rPr>
        <w:t>(Kraemer &amp; Ratamess, 2005; Viru &amp; Viru, 2004)</w:t>
      </w:r>
      <w:r w:rsidR="006A19C7">
        <w:rPr>
          <w:rFonts w:ascii="Times New Roman" w:hAnsi="Times New Roman" w:cs="Times New Roman"/>
          <w:noProof/>
        </w:rPr>
        <w:fldChar w:fldCharType="end"/>
      </w:r>
      <w:r>
        <w:rPr>
          <w:rFonts w:ascii="Times New Roman" w:hAnsi="Times New Roman" w:cs="Times New Roman"/>
        </w:rPr>
        <w:t xml:space="preserve">. </w:t>
      </w:r>
      <w:r w:rsidR="00F52FD3">
        <w:rPr>
          <w:rFonts w:ascii="Times New Roman" w:hAnsi="Times New Roman" w:cs="Times New Roman"/>
        </w:rPr>
        <w:t xml:space="preserve">Additionally, the integrated anabolic and catabolic mechanisms of these hormones could have the ability to influence skeletal muscle performance </w:t>
      </w:r>
      <w:r w:rsidR="00F52FD3">
        <w:rPr>
          <w:rFonts w:ascii="Times New Roman" w:hAnsi="Times New Roman" w:cs="Times New Roman"/>
        </w:rPr>
        <w:fldChar w:fldCharType="begin"/>
      </w:r>
      <w:r w:rsidR="00F52FD3">
        <w:rPr>
          <w:rFonts w:ascii="Times New Roman" w:hAnsi="Times New Roman" w:cs="Times New Roman"/>
        </w:rPr>
        <w:instrText xml:space="preserve"> ADDIN ZOTERO_ITEM CSL_CITATION {"citationID":"t0Lzc8yD","properties":{"formattedCitation":"(Kraemer et al., 2020)","plainCitation":"(Kraemer et al., 2020)","noteIndex":0},"citationItems":[{"id":605,"uris":["http://zotero.org/users/6327055/items/K6MDES3W"],"itemData":{"id":605,"type":"article-journal","container-title":"Frontiers in Endocrinology","DOI":"10.3389/fendo.2020.00033","ISSN":"1664-2392","journalAbbreviation":"Front. Endocrinol.","language":"en","page":"33","source":"DOI.org (Crossref)","title":"Growth hormone(s), testosterone, insulin-like growth factors, and cortisol: roles and integration for cellular development and growth with exercise","title-short":"Growth Hormone(s), Testosterone, Insulin-Like Growth Factors, and Cortisol","volume":"11","author":[{"family":"Kraemer","given":"William J."},{"family":"Ratamess","given":"Nicholas A."},{"family":"Hymer","given":"Wesley C."},{"family":"Nindl","given":"Bradley C."},{"family":"Fragala","given":"Maren S."}],"issued":{"date-parts":[["2020",2,25]]}}}],"schema":"https://github.com/citation-style-language/schema/raw/master/csl-citation.json"} </w:instrText>
      </w:r>
      <w:r w:rsidR="00F52FD3">
        <w:rPr>
          <w:rFonts w:ascii="Times New Roman" w:hAnsi="Times New Roman" w:cs="Times New Roman"/>
        </w:rPr>
        <w:fldChar w:fldCharType="separate"/>
      </w:r>
      <w:r w:rsidR="00F52FD3">
        <w:rPr>
          <w:rFonts w:ascii="Times New Roman" w:hAnsi="Times New Roman" w:cs="Times New Roman"/>
          <w:noProof/>
        </w:rPr>
        <w:t>(Kraemer et al., 2020)</w:t>
      </w:r>
      <w:r w:rsidR="00F52FD3">
        <w:rPr>
          <w:rFonts w:ascii="Times New Roman" w:hAnsi="Times New Roman" w:cs="Times New Roman"/>
        </w:rPr>
        <w:fldChar w:fldCharType="end"/>
      </w:r>
      <w:r w:rsidR="00F52FD3">
        <w:rPr>
          <w:rFonts w:ascii="Times New Roman" w:hAnsi="Times New Roman" w:cs="Times New Roman"/>
        </w:rPr>
        <w:t xml:space="preserve">. </w:t>
      </w:r>
      <w:r>
        <w:rPr>
          <w:rFonts w:ascii="Times New Roman" w:hAnsi="Times New Roman" w:cs="Times New Roman"/>
        </w:rPr>
        <w:t xml:space="preserve">The chronic elevation in stress without sufficient recovery periods can potentially lead to diminished T:C ratios and a 30% reduction in this ratio has been thought to be the threshold to a state of overtraining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{"citationID":"nw8sOgXI","properties":{"formattedCitation":"(Adlercreutz et al., 1986; Meeusen et al., 2004, 2013; Viru &amp; Viru, 2004)","plainCitation":"(Adlercreutz et al., 1986; Meeusen et al., 2004, 2013; Viru &amp; Viru, 2004)","noteIndex":0},"citationItems":[{"id":473,"uris":["http://zotero.org/users/6327055/items/ZABLCE27"],"itemData":{"id":473,"type":"article-journal","container-title":"International Journal of Sports Medicine","DOI":"10.1055/s-2008-1025798","ISSN":"0172-4622, 1439-3964","issue":"S 1","language":"en","page":"S27-S28","source":"DOI.org (Crossref)","title":"Effect of training on plasma anabolic and catabolic steroid hormones and their response during physical exercise","volume":"07","author":[{"family":"Adlercreutz","given":"H."},{"family":"Härkönen","given":"M."},{"family":"Kuoppasalmi","given":"K."},{"family":"Näveri","given":"H."},{"family":"Huhtaniemi","given":"I."},{"family":"Tikkanen","given":"H."},{"family":"Remes","given":"K."},{"family":"Dessypris","given":"A."},{"family":"Karvonen","given":"J."}],"issued":{"date-parts":[["1986",6]]}}},{"id":377,"uris":["http://zotero.org/users/6327055/items/NCDF62SN"],"itemData":{"id":377,"type":"article-journal","container-title":"European Journal of Applied Physiology","DOI":"10.1007/s00421-003-0940-1","ISSN":"1439-6319, 1439-6327","issue":"2-3","journalAbbreviation":"Eur J Appl Physiol","language":"en","page":"140-146","source":"DOI.org (Crossref)","title":"Hormonal responses in athletes: the use of a two bout exercise protocol to detect subtle differences in (over)training status","title-short":"Hormonal responses in athletes","volume":"91","author":[{"family":"Meeusen","given":"R."},{"family":"Piacentini","given":"M. F."},{"family":"Busschaert","given":"B."},{"family":"Buyse","given":"L."},{"family":"De Schutter","given":"G."},{"family":"Stray-Gundersen","given":"J."}],"issued":{"date-parts":[["2004",3]]}}},{"id":376,"uris":["http://zotero.org/users/6327055/items/5AD7EMIK"],"itemData":{"id":376,"type":"article-journal","abstract":"Successful training must involve overload, but also must avoid the combination of excessive overload plus inadequate recovery. Athletes can experience short-term performance decrement, without severe psychological, or lasting other negative symptoms. This Functional Overreaching (FOR) will eventually lead to an improvement in performance after recovery. When athletes do not sufficiently respect the balance between training and recovery, Non-Functional Overreaching (NFOR) can occur. The distinction between NFOR and the Overtraining Syndrome (OTS) is very difficult and will depend on the clinical outcome and exclusion diagnosis. The athlete will often show the same clinical, hormonal and other signs and symptoms. A keyword in the recognition of OTS might be ‘prolonged maladaptation’ not only of the athlete, but also of several biological, neurochemical, and hormonal regulation mechanisms. It is generally thought that symptoms of OTS, such as fatigue, performance decline and mood disturbances, are more severe than those of NFOR. However, there is no scientific evidence to either confirmor refute this suggestion. One approach to understanding the aetiology of OTS involves the exclusion of organic diseases or infections and factors such as dietary caloric restriction (negative energy balance) and insufficient carbohydrate and/or protein intake, iron deficiency, magnesium deficiency, allergies, etc., together with identification of initiating events or triggers. In this paper, we provide the recent status of possible markers for the detection of OTS. Currently several markers (hormones, performance tests, psychological tests, biochemical and immune markers) are used, but none of them meets all criteria to make its use generally accepted.","container-title":"European Journal of Sport Science","DOI":"10.1080/17461391.2012.730061","ISSN":"1746-1391, 1536-7290","issue":"1","journalAbbreviation":"European Journal of Sport Science","language":"en","page":"1-24","source":"DOI.org (Crossref)","title":"Prevention, diagnosis and treatment of the overtraining syndrome: joint consensus statement of the european college of sport science (ecss) and the american college of sports medicine (acsm)","title-short":"Prevention, diagnosis and treatment of the overtraining syndrome","volume":"13","author":[{"family":"Meeusen","given":"Romain"},{"family":"Duclos","given":"Martine"},{"family":"Foster","given":"Carl"},{"family":"Fry","given":"Andrew"},{"family":"Gleeson","given":"Michael"},{"family":"Nieman","given":"David"},{"family":"Raglin","given":"John"},{"family":"Rietjens","given":"Gerard"},{"family":"Steinacker","given":"Jürgen"},{"family":"Urhausen","given":"Axel"}],"issued":{"date-parts":[["2013",1]]}}},{"id":378,"uris":["http://zotero.org/users/6327055/items/8VVM8ZZ4"],"itemData":{"id":378,"type":"article-journal","container-title":"International Journal of Sports Medicine","DOI":"10.1055/s-2004-821068","ISSN":"0172-4622, 1439-3964","issue":"6","journalAbbreviation":"Int J Sports Med","language":"en","page":"461-464","source":"DOI.org (Crossref)","title":"Cortisol - essential adaptation hormone in exercise","volume":"25","author":[{"family":"Viru","given":"A."},{"family":"Viru","given":"M."}],"issued":{"date-parts":[["2004",8]]}}}],"schema":"https://github.com/citation-style-language/schema/raw/master/csl-citation.json"} </w:instrText>
      </w:r>
      <w:r w:rsidR="006A19C7">
        <w:rPr>
          <w:rFonts w:ascii="Times New Roman" w:hAnsi="Times New Roman" w:cs="Times New Roman"/>
          <w:noProof/>
        </w:rPr>
        <w:fldChar w:fldCharType="separate"/>
      </w:r>
      <w:r w:rsidR="00770B1D">
        <w:rPr>
          <w:rFonts w:ascii="Times New Roman" w:hAnsi="Times New Roman" w:cs="Times New Roman"/>
          <w:noProof/>
        </w:rPr>
        <w:t>(Adlercreutz et al., 1986; Meeusen et al., 2004, 2013; Viru &amp; Viru, 2004)</w:t>
      </w:r>
      <w:r w:rsidR="006A19C7">
        <w:rPr>
          <w:rFonts w:ascii="Times New Roman" w:hAnsi="Times New Roman" w:cs="Times New Roman"/>
          <w:noProof/>
        </w:rPr>
        <w:fldChar w:fldCharType="end"/>
      </w:r>
      <w:r>
        <w:rPr>
          <w:rFonts w:ascii="Times New Roman" w:hAnsi="Times New Roman" w:cs="Times New Roman"/>
        </w:rPr>
        <w:t xml:space="preserve">. </w:t>
      </w:r>
      <w:r w:rsidR="005E2D6C">
        <w:rPr>
          <w:rFonts w:ascii="Times New Roman" w:hAnsi="Times New Roman" w:cs="Times New Roman"/>
        </w:rPr>
        <w:t xml:space="preserve">This balance between the two </w:t>
      </w:r>
      <w:r w:rsidR="005E2D6C">
        <w:rPr>
          <w:rFonts w:ascii="Times New Roman" w:hAnsi="Times New Roman" w:cs="Times New Roman"/>
        </w:rPr>
        <w:lastRenderedPageBreak/>
        <w:t xml:space="preserve">hormones competing for the glucocorticoid binding site helps to determine whether the individual will be experiencing anabolic or catabolic actions </w:t>
      </w:r>
      <w:r w:rsidR="005E2D6C">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{"citationID":"p3KFDwDt","properties":{"formattedCitation":"(Mayer &amp; Rosen, 1977)","plainCitation":"(Mayer &amp; Rosen, 1977)","noteIndex":0},"citationItems":[{"id":466,"uris":["http://zotero.org/users/6327055/items/D6684P6N"],"itemData":{"id":466,"type":"article-journal","container-title":"Metabolism","DOI":"10.1016/0026-0495(77)90013-0","ISSN":"00260495","issue":"8","journalAbbreviation":"Metabolism","language":"en","page":"937-962","source":"DOI.org (Crossref)","title":"Interaction of glucocorticoids and androgens with skeletal muscle","volume":"26","author":[{"family":"Mayer","given":"Michael"},{"family":"Rosen","given":"Fred"}],"issued":{"date-parts":[["1977",8]]}}}],"schema":"https://github.com/citation-style-language/schema/raw/master/csl-citation.json"} </w:instrText>
      </w:r>
      <w:r w:rsidR="005E2D6C">
        <w:rPr>
          <w:rFonts w:ascii="Times New Roman" w:hAnsi="Times New Roman" w:cs="Times New Roman"/>
        </w:rPr>
        <w:fldChar w:fldCharType="separate"/>
      </w:r>
      <w:r w:rsidR="005E2D6C">
        <w:rPr>
          <w:rFonts w:ascii="Times New Roman" w:hAnsi="Times New Roman" w:cs="Times New Roman"/>
          <w:noProof/>
        </w:rPr>
        <w:t>(Mayer &amp; Rosen, 1977)</w:t>
      </w:r>
      <w:r w:rsidR="005E2D6C">
        <w:rPr>
          <w:rFonts w:ascii="Times New Roman" w:hAnsi="Times New Roman" w:cs="Times New Roman"/>
        </w:rPr>
        <w:fldChar w:fldCharType="end"/>
      </w:r>
      <w:r w:rsidR="005E2D6C">
        <w:rPr>
          <w:rFonts w:ascii="Times New Roman" w:hAnsi="Times New Roman" w:cs="Times New Roman"/>
        </w:rPr>
        <w:t xml:space="preserve">. </w:t>
      </w:r>
    </w:p>
    <w:p w14:paraId="02BF118D" w14:textId="04818463" w:rsidR="003F3D08" w:rsidRPr="00FC08AB" w:rsidRDefault="003F3D08" w:rsidP="00FC08AB">
      <w:pPr>
        <w:pStyle w:val="Heading3"/>
        <w:spacing w:line="480" w:lineRule="auto"/>
        <w:rPr>
          <w:rFonts w:ascii="Times New Roman" w:hAnsi="Times New Roman" w:cs="Times New Roman"/>
          <w:b/>
          <w:bCs/>
          <w:i/>
          <w:iCs/>
          <w:color w:val="000000" w:themeColor="text1"/>
        </w:rPr>
      </w:pPr>
      <w:bookmarkStart w:id="35" w:name="_Toc99267614"/>
      <w:r w:rsidRPr="00FC08AB">
        <w:rPr>
          <w:rFonts w:ascii="Times New Roman" w:hAnsi="Times New Roman" w:cs="Times New Roman"/>
          <w:b/>
          <w:bCs/>
          <w:i/>
          <w:iCs/>
          <w:color w:val="000000" w:themeColor="text1"/>
        </w:rPr>
        <w:t>Collection Techniques</w:t>
      </w:r>
      <w:bookmarkEnd w:id="35"/>
    </w:p>
    <w:p w14:paraId="7710FA6D" w14:textId="48897F4D" w:rsidR="003F3D08" w:rsidRPr="006F1BCF" w:rsidRDefault="003F3D08" w:rsidP="003F3D08">
      <w:pPr>
        <w:spacing w:line="480" w:lineRule="auto"/>
        <w:jc w:val="both"/>
        <w:rPr>
          <w:rFonts w:ascii="Times New Roman" w:hAnsi="Times New Roman" w:cs="Times New Roman"/>
        </w:rPr>
      </w:pPr>
      <w:r>
        <w:rPr>
          <w:rFonts w:ascii="Times New Roman" w:hAnsi="Times New Roman" w:cs="Times New Roman"/>
          <w:b/>
          <w:bCs/>
          <w:i/>
          <w:iCs/>
        </w:rPr>
        <w:tab/>
      </w:r>
      <w:r>
        <w:rPr>
          <w:rFonts w:ascii="Times New Roman" w:hAnsi="Times New Roman" w:cs="Times New Roman"/>
        </w:rPr>
        <w:t xml:space="preserve">A majority of the studies seeking to monitor the endocrine responses have used serum or plasma, but recently more studies have shown that collection of saliva shows to be a non-invasive method that correlates well with blood values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{"citationID":"1xNK7Rqa","properties":{"formattedCitation":"(Baxendale et al., 1982; Johnson &amp; Joplin, 1987)","plainCitation":"(Baxendale et al., 1982; Johnson &amp; Joplin, 1987)","noteIndex":0},"citationItems":[{"id":123,"uris":["http://zotero.org/users/6327055/items/CF9MYWPK"],"itemData":{"id":123,"type":"article-journal","abstract":"A sensitive radioimmunoassay (RIA) was used to measure salivary testosterone levels in normal women, in patients with polycystic ovaries (PCO), and in women with hirsutism. There was a highly significant correlation (r=0.79, P c 0.001) between the concentration of testosterone in saliva [12.3f7.8 (SD) pg/ml] and the concentration of unbound testosterone in plasma (5.2 f3. I pg/ml) in matched samples collected from 56 women including normals, patients with clinical signs of hyperandrogenism, and women treated with a combination of cyproterone acetate (CA) and ethinyl oestradiol (EE). The unbound plasma testosterone was measured in the dialysate directly using a sensitive RIA. Salivary and plasma testosterone levels in patients with PCO (20.6&amp; 8.5 and 626 fI87 pg/ml respectively,n = 14) and in those with hirsutism (I 3-9f5-6 and 421 k 170 pg/ml, n =30) were significantly higher ( P&lt;0.001) than levels in normal women (7.7f2.6 and 196f68 pg/ml, n =36). Treatment for 3 months with CA and EE resulted in a decrease (mean 68%) in salivary testosterone levels in all patients studied (n= 1 9 , but the suppression of plasma testosterone (mean 34%) was not observed in all cases. It is concluded that measurement of salivary testosterone gives a useful indication of levels of biologically available androgen in hyperandrogenic women, before and during CA/EE therapy.","container-title":"Clinical Endocrinology","DOI":"10.1111/j.1365-2265.1982.tb03176.x","ISSN":"0300-0664, 1365-2265","issue":"6","journalAbbreviation":"Clin Endocrinol","language":"en","page":"595-603","source":"DOI.org (Crossref)","title":"Salivary testosterone: relationship to unbound plasma testosterone in normal and hyperandrogenic women","title-short":"SALIVARY TESTOSTERONE","volume":"16","author":[{"family":"Baxendale","given":"P. M."},{"family":"Jacobs","given":"H. S."},{"family":"James","given":"V. H. T."}],"issued":{"date-parts":[["1982",6]]}}},{"id":166,"uris":["http://zotero.org/users/6327055/items/96NH47D6"],"itemData":{"id":166,"type":"article-journal","abstract":"A direct non-extraction radio~unoassay for salivary testosterone is described using a modified commercial kit procedure that is in use for total serum testosterone (T). Serum free testosterone was also measured by direct radioimmunoassay. A significant correlation (r = 0.83, p &lt; 0.01, n = 194) was obtained between salivary and serum free testosterone in matched serum and saliva samples over a wide range of concentrations. Within- and between-batch precision for the salivary testosterone method was 11% and 188, respectively at a concentration of 170 pmol/l. Recovery of added T was 89% + 15% (X j, 2 SD) and dilution of high samples showed parallelism. Salivary testosterone measured by direct radioimmunoassay offers a simple cheaper alternative to serum free testosterone measurement with the additional advantages of a stress-free non-invasive sampling procedure.","container-title":"Clinica Chimica Acta","language":"en","page":"309-318","source":"Zotero","title":"Direct assay for testosterone in saliva: relationship with a direct serum free testosterone assay","author":[{"family":"Johnson","given":"Stanley G"},{"family":"Joplin","given":"F"}],"issued":{"date-parts":[["1987"]]}}}],"schema":"https://github.com/citation-style-language/schema/raw/master/csl-citation.json"} </w:instrText>
      </w:r>
      <w:r w:rsidR="006A19C7">
        <w:rPr>
          <w:rFonts w:ascii="Times New Roman" w:hAnsi="Times New Roman" w:cs="Times New Roman"/>
          <w:noProof/>
        </w:rPr>
        <w:fldChar w:fldCharType="separate"/>
      </w:r>
      <w:r w:rsidR="006A19C7">
        <w:rPr>
          <w:rFonts w:ascii="Times New Roman" w:hAnsi="Times New Roman" w:cs="Times New Roman"/>
          <w:noProof/>
        </w:rPr>
        <w:t>(Baxendale et al., 1982; Johnson &amp; Joplin, 1987)</w:t>
      </w:r>
      <w:r w:rsidR="006A19C7">
        <w:rPr>
          <w:rFonts w:ascii="Times New Roman" w:hAnsi="Times New Roman" w:cs="Times New Roman"/>
          <w:noProof/>
        </w:rPr>
        <w:fldChar w:fldCharType="end"/>
      </w:r>
      <w:r>
        <w:rPr>
          <w:rFonts w:ascii="Times New Roman" w:hAnsi="Times New Roman" w:cs="Times New Roman"/>
        </w:rPr>
        <w:t xml:space="preserve">. This method allows for large quantities of samples to be collected in a minimal amount of time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{"citationID":"fOw8cv9I","properties":{"formattedCitation":"(Andre et al., 2018; Cormack, Newton, McGuigan, et al., 2008; Rowell et al., 2018)","plainCitation":"(Andre et al., 2018; Cormack, Newton, McGuigan, et al., 2008; Rowell et al., 2018)","noteIndex":0},"citationItems":[{"id":127,"uris":["http://zotero.org/users/6327055/items/NJLLP2DZ"],"itemData":{"id":127,"type":"article-journal","abstract":"International Journal of Exercise Science 11(6): 439-451, 2018. The purpose of this study was to monitor weekly the salivary free testosterone (FT), cortisol (C), and the FT/C ratio in elite men NCAA Division I basketball athletes across an entire season. Twelve athletes gave salivary samples for 30 consecutive weeks, beginning in the pre-season and ending one week after the end of post-season competition. Samples were assayed for FT and C. Additionally, a composite value (CBD) composed of Z-scores for weekly practice minutes, game minutes, resistance training repetitions, academic demands, and travel schedules was determined. One-way RM ANOVAs were used to determine which weekly values were different (α=.05) from the season mean. For FT, 10 weeks were different from the season average (5.1 nmol/L). For C, 11 weeks were different from the season mean (9.0 nmol/L). For FT/C, weeks 7 (p=.007), 17 (p=.007), and 25 (p=.005) were different from the season mean (FT/C=0.69). During Wk7, at the start of regular season play, FT/C was above, while CBD was below the season means. During Wk17, which was leading into a series of important conference games, FT/C was below, while CBD was not different from season means. During Wk25, which was one week before the conference tournament, FT/C was below, while CBD was above season means. The methods of this study can be used for monitoring athlete responses and adaptations to sport-specific training and competition; specifically, for evaluating responses to challenging pre-season training, recovery for regular season play, and how they physiologically cope with the competitive season.","container-title":"International Journal of Exercise Science","issue":"6","language":"en","note":"Purpose: Monitor weekly salivary biomarkers in elite men NCAA Division 1 basketball players throughout an entire season. Additionally, the salivary biomarkers were compared to other demands for collegiate basketball training and competition, to examin their relationships. \nResearch Question: What is the weekly hormonal response to training? How do other stimuli within the magnitude of the training sessions and aspects of the season effect the hormonal response? \nMethods \nStudy Design: This study was observational with a colllection of saliva upon arrival from each participant prior to the afternoon practice across 30 weeks of the training and competitive season. Aspects such as playing/practice minutes, travel, resistance exercise volume, and academia were collected. \nSample: 12 male NCAA Division 1 American collegiate basketball student athletes \nProtocol: Salivary sample at rest prior to the afternoon practice (1300-1500hrs) in the middle of the week for 27 weeks with the 30 week season. Sample collection began one week before pre-season and concluded one week after post-season. No eating, brushing teeth, or consuming any drink other than water 1 hour prior to collection. Mouth rinse with water and resting for 5 minutes and finally an oral swab to hold in their mouth for 2 minutes.\nValidity/Reliabilty Data: Saliva has been shown to be highly correlated with plasma or serum samples. \nData Collection Procedures: Samples were frozen at -80 degress Celsius. Enzyme immunoassay kits using 96 well microtitre plates from Salimetrics. Separate assay for each athlete. Playing minutes, practice minutes, resistance training volume (total repetitions), travel schedules (scale values based on the time getting back from the trip - 1 = overnight bus before midnight, 2 = overnight flight, 5 = multiple day trip with flight), and academic demands (scale generalized so 0 = no class, 2 = normal academic week, 4 = exam period) were collected. All variables converted to Z scores. \nStatistical Analyses: IBM SPSS 24, 324 total samples with 20 missing from absence and replaced with the team's average for that week. Verification of all assumptions and a 1 way RMANOVA with LSD pairwise comparisons to determine which weekly values were different from the season mean. Relationships between team FT, C, FT/C and team CBD (collegiate basketball demands) scores, and their individual components, throughout the season was done through Pearson correlations. Significant set at 0.05. \nFindings: The FT (free testosterone) was seen to be different from the season mean in 10 weeks, C (cortisol) was different in 11 weeks, and FT/C (FT/C ratio) was different in weeks 7 (more than 3 SD above with CBD significantly below season averages), 17-before important games (more than 2.5 SD below season average and no difference in CBD), and 25-before conference tournament (FT/C more than 1 SD below and CBD significantly above season averages). There was a significant negative correlation between FT/C and game minutes. \nConclusions: The increases in C at the beginning is likely due to the intense preseason. The large increase in FT/C in week 7 suggests that the athletes were recovered from preseason prior to the first week of regular season competition but there was no increase in FT meaning there was a reduction in C. The decrease in FT/C at week 17 could suggest that the season was beginning to have an effect physiologically on the athletes and was supported by the negative correlation of FT/C and game minutes. There was another decrease in FT/C at the start of postseason competition but a return to baseline once competition play stopped. This is likely due to the decreases in FT leading to the reduction in FT/C but C also varied significantly through the collection showing that the demands are stressful. The CBD was very unpredictable but when examined individually a significant inverse correlation between FT/C and game minutes was found. Monitoring FT/C changes may provide insight into health, performance, and recovery. \nFurther Research: Collect performance data in conjuction with the biomarker samples to examine if performance changes occur and relate to the biomarkers. \nRelevant Studies: \nGaviglio CM, Cook CJ. Relationship between midweek training measures of testosterone and cortisol concentrations and game outcome in professional rugby union matches. J Strength Cond Res 28(12):3447-3452, 2014.\nBalsalobre-Fernández C, Tejero-González CM, del Campo-Vecino J. Relationships between training load, salivary cortisol responses and performance during season training in middle and long distance runners. PLoS ONE 9(8), 2014.\nHoffman JR, Epstein S, Yarom Y, Zigel L, Einbinder M. Hormonal and biochemical changes in elite basketball players during a 4-week training camp. J Strength Cond Res 13(3):280-285, 1999.\nKraemer WJ, Ratamess NA. Hormonal responses and adaptations to resistance exercise and training. Sports Med 35(4):339-361, 2005.","page":"439-451","source":"Zotero","title":"Weekly salivary biomarkers across a season for elite men collegiate basketball players","volume":"11","author":[{"family":"Andre","given":"Matthew J"},{"family":"Fry","given":"Andrew C"},{"family":"Luebbers","given":"Paul E"},{"family":"Hudy","given":"Andrea"},{"family":"Dietz","given":"Partricia R"},{"family":"Cain","given":"Glenn J"}],"issued":{"date-parts":[["2018"]]}}},{"id":57,"uris":["http://zotero.org/users/6327055/items/DB3CTQ2N"],"itemData":{"id":57,"type":"article-journal","abstract":"Purpose: To establish the reliability of various measures obtained during single and repeated countermovement jump (CMJ) performance in an elite athlete population. Methods: Two studies, each involving 15 elite Australian Rules Football (ARF) players were conducted where subjects performed two days, separated by one week, of AM and PM trials of either a single (CMJ1) or 5 repeated CMJ (CMJ5). Each trial was conducted on a portable force-plate. The intraday, interday, and overall typical error (TE) and coefficient of variation (CV%) were calculated for numerous variables in each jump type. Results: A number of CMJ1 and CMJ5 variables displayed high intraday, interday, and overall reliability. In the CMJ1 condition, mean force (CV 1.08%) was the most reliable variable. In the CMJ5, flight time and relative mean force displayed the highest repeatability with CV of 1.88% and 1.57% respectively. CMJ1Mean force was the only variable with an overall TE &lt; smallest worthwhile change (SWC). Conclusion: Selected variables obtained during CMJ1 and CMJ5 performance can be used to assess the impact of both acute and chronic training and competition. Variables derived from the CMJ5 may respond differently than their CMJ1 counterparts and should provide insights into differential mechanisms of response and adaptation.","container-title":"International Journal of Sports Physiology and Performance","DOI":"10.1123/ijspp.3.2.131","ISSN":"1555-0265, 1555-0273","issue":"2","language":"en","page":"131-144","source":"DOI.org (Crossref)","title":"Reliability of Measures Obtained During Single and Repeated Countermovement Jumps","volume":"3","author":[{"family":"Cormack","given":"Stuart J."},{"family":"Newton","given":"Robert U."},{"family":"McGuigan","given":"Michael R."},{"family":"Doyle","given":"Tim L.A."}],"issued":{"date-parts":[["2008",6]]}}},{"id":156,"uris":["http://zotero.org/users/6327055/items/XQBFE6NY"],"itemData":{"id":156,"type":"article-journal","container-title":"Frontiers in Physiology","DOI":"10.3389/fphys.2018.00668","ISSN":"1664-042X","journalAbbreviation":"Front. Physiol.","language":"en","page":"668","source":"DOI.org (Crossref)","title":"Effects of training and competition load on neuromuscular recovery, testosterone, cortisol, and match performance during a season of professional football","volume":"9","author":[{"family":"Rowell","given":"Amber E."},{"family":"Aughey","given":"Robert J."},{"family":"Hopkins","given":"William G."},{"family":"Esmaeili","given":"Alizera"},{"family":"Lazarus","given":"Brendan H."},{"family":"Cormack","given":"Stuart J."}],"issued":{"date-parts":[["2018",6,7]]}}}],"schema":"https://github.com/citation-style-language/schema/raw/master/csl-citation.json"} </w:instrText>
      </w:r>
      <w:r w:rsidR="006A19C7">
        <w:rPr>
          <w:rFonts w:ascii="Times New Roman" w:hAnsi="Times New Roman" w:cs="Times New Roman"/>
          <w:noProof/>
        </w:rPr>
        <w:fldChar w:fldCharType="separate"/>
      </w:r>
      <w:r w:rsidR="001B20A6">
        <w:rPr>
          <w:rFonts w:ascii="Times New Roman" w:hAnsi="Times New Roman" w:cs="Times New Roman"/>
          <w:noProof/>
        </w:rPr>
        <w:t>(Andre et al., 2018; Cormack, Newton, McGuigan, et al., 2008; Rowell et al., 2018)</w:t>
      </w:r>
      <w:r w:rsidR="006A19C7">
        <w:rPr>
          <w:rFonts w:ascii="Times New Roman" w:hAnsi="Times New Roman" w:cs="Times New Roman"/>
          <w:noProof/>
        </w:rPr>
        <w:fldChar w:fldCharType="end"/>
      </w:r>
      <w:r>
        <w:rPr>
          <w:rFonts w:ascii="Times New Roman" w:hAnsi="Times New Roman" w:cs="Times New Roman"/>
        </w:rPr>
        <w:t xml:space="preserve">. Additionally, acceptable salivary samples have been through passive drool or absorption through a cotton swab allowing minimal training to perform and collect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{"citationID":"fYhKDZMR","properties":{"formattedCitation":"(Papacosta &amp; Nassis, 2011)","plainCitation":"(Papacosta &amp; Nassis, 2011)","noteIndex":0},"citationItems":[{"id":380,"uris":["http://zotero.org/users/6327055/items/E7MHQ2CJ"],"itemData":{"id":380,"type":"article-journal","abstract":"Objectives: This paper discusses the use of saliva analysis as a tool for monitoring steroid, peptide, and immune markers of sports training. Design: Salivary gland physiology, regarding the regulation and stimulation of saliva secretion, as well as methodological issues including saliva collection, storage and analysis are addressed in this paper. The effects of exercise on saliva composition are then considered. Method: Exercise elicits changes in salivary levels of steroid hormones, immunoglobulins, antimicrobial proteins and enzymes. Cortisol, testosterone and dehydroepiandrosterone can be assessed in saliva, providing a non-invasive option to assess the catabolic and anabolic effects of exercise. Validation studies using blood and salivary measures of steroid hormones are addressed in this paper. Effects of acute exercise and training on salivary immunoglobulins (SIgA, SIgM, SIgG) and salivary antimicrobial proteins, including </w:instrText>
      </w:r>
      <w:r w:rsidR="00546507">
        <w:rPr>
          <w:rFonts w:ascii="Segoe UI Symbol" w:hAnsi="Segoe UI Symbol" w:cs="Segoe UI Symbol"/>
          <w:noProof/>
        </w:rPr>
        <w:instrText>␣</w:instrText>
      </w:r>
      <w:r w:rsidR="00546507">
        <w:rPr>
          <w:rFonts w:ascii="Times New Roman" w:hAnsi="Times New Roman" w:cs="Times New Roman"/>
          <w:noProof/>
        </w:rPr>
        <w:instrText xml:space="preserve">-amylase, lysozyme and lactoferrin, are also discussed. Results: Analysis of cortisol and testosterone in saliva may help detect the onset of non-functional overreaching and subsequently may help to prevent the development of overtraining syndrome. Assessment of salivary immunoglobulins and antimicrobial proteins has been shown to successfully represent the effects of exercise on mucosal immunity. Increases in SIgA and antimicrobial proteins concentration and/or secretion rate are associated with acute exercise whereas conversely, decreases have been reported in athletes over a training season leaving the athlete susceptible for upper respiratory tract infections. Conclusions: The measurement of physiological biomarkers in whole saliva can provide a signiﬁcant tool for assessing the immunological and endocrinological status associated with exercise and training.","container-title":"Journal of Science and Medicine in Sport","DOI":"10.1016/j.jsams.2011.03.004","ISSN":"14402440","issue":"5","journalAbbreviation":"Journal of Science and Medicine in Sport","language":"en","page":"424-434","source":"DOI.org (Crossref)","title":"Saliva as a tool for monitoring steroid, peptide and immune markers in sport and exercise science","volume":"14","author":[{"family":"Papacosta","given":"Elena"},{"family":"Nassis","given":"George P."}],"issued":{"date-parts":[["2011",9]]}}}],"schema":"https://github.com/citation-style-language/schema/raw/master/csl-citation.json"} </w:instrText>
      </w:r>
      <w:r w:rsidR="006A19C7">
        <w:rPr>
          <w:rFonts w:ascii="Times New Roman" w:hAnsi="Times New Roman" w:cs="Times New Roman"/>
          <w:noProof/>
        </w:rPr>
        <w:fldChar w:fldCharType="separate"/>
      </w:r>
      <w:r w:rsidR="006A19C7">
        <w:rPr>
          <w:rFonts w:ascii="Times New Roman" w:hAnsi="Times New Roman" w:cs="Times New Roman"/>
          <w:noProof/>
        </w:rPr>
        <w:t>(Papacosta &amp; Nassis, 2011)</w:t>
      </w:r>
      <w:r w:rsidR="006A19C7">
        <w:rPr>
          <w:rFonts w:ascii="Times New Roman" w:hAnsi="Times New Roman" w:cs="Times New Roman"/>
          <w:noProof/>
        </w:rPr>
        <w:fldChar w:fldCharType="end"/>
      </w:r>
      <w:r>
        <w:rPr>
          <w:rFonts w:ascii="Times New Roman" w:hAnsi="Times New Roman" w:cs="Times New Roman"/>
        </w:rPr>
        <w:t xml:space="preserve">. </w:t>
      </w:r>
      <w:r w:rsidRPr="0024635D">
        <w:rPr>
          <w:rFonts w:ascii="Times New Roman" w:hAnsi="Times New Roman" w:cs="Times New Roman"/>
        </w:rPr>
        <w:t>Sal</w:t>
      </w:r>
      <w:r w:rsidR="004C6E75" w:rsidRPr="0024635D">
        <w:rPr>
          <w:rFonts w:ascii="Times New Roman" w:hAnsi="Times New Roman" w:cs="Times New Roman"/>
        </w:rPr>
        <w:t>-T</w:t>
      </w:r>
      <w:r w:rsidRPr="0024635D">
        <w:rPr>
          <w:rFonts w:ascii="Times New Roman" w:hAnsi="Times New Roman" w:cs="Times New Roman"/>
        </w:rPr>
        <w:t xml:space="preserve"> and </w:t>
      </w:r>
      <w:proofErr w:type="spellStart"/>
      <w:r w:rsidR="004C6E75" w:rsidRPr="0024635D">
        <w:rPr>
          <w:rFonts w:ascii="Times New Roman" w:hAnsi="Times New Roman" w:cs="Times New Roman"/>
        </w:rPr>
        <w:t>sal</w:t>
      </w:r>
      <w:proofErr w:type="spellEnd"/>
      <w:r w:rsidR="004C6E75" w:rsidRPr="0024635D">
        <w:rPr>
          <w:rFonts w:ascii="Times New Roman" w:hAnsi="Times New Roman" w:cs="Times New Roman"/>
        </w:rPr>
        <w:t>-C</w:t>
      </w:r>
      <w:r w:rsidRPr="0024635D">
        <w:rPr>
          <w:rFonts w:ascii="Times New Roman" w:hAnsi="Times New Roman" w:cs="Times New Roman"/>
        </w:rPr>
        <w:t xml:space="preserve"> have also been shown to be independent of salivary flow rate </w:t>
      </w:r>
      <w:r w:rsidR="0024635D" w:rsidRPr="0024635D">
        <w:rPr>
          <w:rFonts w:ascii="Times New Roman" w:hAnsi="Times New Roman" w:cs="Times New Roman"/>
        </w:rPr>
        <w:t>and are within equilibrium with blood concentrations within five minutes</w:t>
      </w:r>
      <w:r w:rsidR="00782711">
        <w:rPr>
          <w:rFonts w:ascii="Times New Roman" w:hAnsi="Times New Roman" w:cs="Times New Roman"/>
        </w:rPr>
        <w:t xml:space="preserve"> </w:t>
      </w:r>
      <w:r w:rsidR="006A19C7" w:rsidRPr="0024635D">
        <w:rPr>
          <w:rFonts w:ascii="Times New Roman" w:hAnsi="Times New Roman" w:cs="Times New Roman"/>
        </w:rPr>
        <w:fldChar w:fldCharType="begin"/>
      </w:r>
      <w:r w:rsidR="00A05ADB">
        <w:rPr>
          <w:rFonts w:ascii="Times New Roman" w:hAnsi="Times New Roman" w:cs="Times New Roman"/>
        </w:rPr>
        <w:instrText xml:space="preserve"> ADDIN ZOTERO_ITEM CSL_CITATION {"citationID":"5L0I3UB5","properties":{"formattedCitation":"(O\\uc0\\u8217{}Connor &amp; Corrigan, 1987; Vining &amp; McGinley, 1987)","plainCitation":"(O’Connor &amp; Corrigan, 1987; Vining &amp; McGinley, 1987)","noteIndex":0},"citationItems":[{"id":382,"uris":["http://zotero.org/users/6327055/items/AWW6TY9D"],"itemData":{"id":382,"type":"article-journal","abstract":"The purpose of this study was to examine the response of salivary cortisol to acute exercise, and to directly compare serum and salivary cortisol responses to sub-maximal exercise. Eight males volunteered to participate in the study. On three separate days following the assessment of maximum oxygen uptake (VO2max), the subjects exercised on a bicycle ergometer at 75% of their VO2max for 30 min. On a fourth day, the subjects rested quietly, and this served as a control condition. On each of these days, five serial samples of either blood, saliva, or both blood and saliva were obtained at 15-min intervals before, during, and after exercise. Sub-maximal exercise elicited a significant (P &lt; 0.05) increase in both serum and salivary cortisol above resting control levels immediately and 15 min following exercise under all exercise conditions. In addition, significant correlations (allP &lt; 0.01) were observed between serum and salivary cortisol at each of the five sampling periods. The correlations were as follows; r = 0.89 at −15 min; r = 0.60 at O min; r = 0.72 at 15 min; r = 0.90 at 30 min; and r = 0.93 after 15 min of recovery. Saliva was also obtained immediately before and 5 min following the assessment of V̇O2max and there was a significant (P &lt; 0.05) increase in post-V̇O2max. test (1.07 ± 0.12 Mg·dl−1) compared to pre-test (0.71 ± 0.06 ·g-dl−1) salivary cortisol levels. The results of this experiment indicate that salivary cortisol is a potentially valid measure of serum cortisol response to short-term cycling.","container-title":"Medicine &amp; Science in Sports &amp; Exercise","ISSN":"0195-9131","issue":"3","language":"en-US","page":"224–228","source":"journals.lww.com","title":"Influence of short-term cycling on salivary cortisol levels","volume":"19","author":[{"family":"O'Connor","given":"Patrick J."},{"family":"Corrigan","given":"Donald L."}],"issued":{"date-parts":[["1987",6]]}}},{"id":525,"uris":["http://zotero.org/users/6327055/items/I8MQWXQ2"],"itemData":{"id":525,"type":"article-journal","container-title":"Journal of Steroid Biochemistry","DOI":"10.1016/0022-4731(87)90297-4","ISSN":"00224731","issue":"1-3","journalAbbreviation":"Journal of Steroid Biochemistry","language":"en","page":"81-94","source":"DOI.org (Crossref)","title":"The measurement of hormones in saliva: possibilities and pitfalls","title-short":"The measurement of hormones in saliva","volume":"27","author":[{"family":"Vining","given":"Ross F."},{"family":"McGinley","given":"Robynne A."}],"issued":{"date-parts":[["1987",1]]}}}],"schema":"https://github.com/citation-style-language/schema/raw/master/csl-citation.json"} </w:instrText>
      </w:r>
      <w:r w:rsidR="006A19C7" w:rsidRPr="0024635D">
        <w:rPr>
          <w:rFonts w:ascii="Times New Roman" w:hAnsi="Times New Roman" w:cs="Times New Roman"/>
        </w:rPr>
        <w:fldChar w:fldCharType="separate"/>
      </w:r>
      <w:r w:rsidR="00A05ADB" w:rsidRPr="00A05ADB">
        <w:rPr>
          <w:rFonts w:ascii="Times New Roman" w:hAnsi="Times New Roman" w:cs="Times New Roman"/>
        </w:rPr>
        <w:t>(O’Connor &amp; Corrigan, 1987; Vining &amp; McGinley, 1987)</w:t>
      </w:r>
      <w:r w:rsidR="006A19C7" w:rsidRPr="0024635D">
        <w:rPr>
          <w:rFonts w:ascii="Times New Roman" w:hAnsi="Times New Roman" w:cs="Times New Roman"/>
        </w:rPr>
        <w:fldChar w:fldCharType="end"/>
      </w:r>
      <w:r w:rsidRPr="0024635D">
        <w:rPr>
          <w:rFonts w:ascii="Times New Roman" w:hAnsi="Times New Roman" w:cs="Times New Roman"/>
        </w:rPr>
        <w:t>.</w:t>
      </w:r>
      <w:r>
        <w:rPr>
          <w:rFonts w:ascii="Times New Roman" w:hAnsi="Times New Roman" w:cs="Times New Roman"/>
        </w:rPr>
        <w:t xml:space="preserve"> The salivary samples of </w:t>
      </w:r>
      <w:r w:rsidR="004C6E75">
        <w:rPr>
          <w:rFonts w:ascii="Times New Roman" w:hAnsi="Times New Roman" w:cs="Times New Roman"/>
        </w:rPr>
        <w:t>T</w:t>
      </w:r>
      <w:r>
        <w:rPr>
          <w:rFonts w:ascii="Times New Roman" w:hAnsi="Times New Roman" w:cs="Times New Roman"/>
        </w:rPr>
        <w:t xml:space="preserve"> have been shown to have a high positive correlation to blood concentrations of </w:t>
      </w:r>
      <w:r w:rsidR="004C6E75">
        <w:rPr>
          <w:rFonts w:ascii="Times New Roman" w:hAnsi="Times New Roman" w:cs="Times New Roman"/>
        </w:rPr>
        <w:t>T</w:t>
      </w:r>
      <w:r>
        <w:rPr>
          <w:rFonts w:ascii="Times New Roman" w:hAnsi="Times New Roman" w:cs="Times New Roman"/>
        </w:rPr>
        <w:t xml:space="preserve">, therefore has been proposed as a valid indicator of </w:t>
      </w:r>
      <w:r w:rsidR="004C6E75">
        <w:rPr>
          <w:rFonts w:ascii="Times New Roman" w:hAnsi="Times New Roman" w:cs="Times New Roman"/>
        </w:rPr>
        <w:t>T</w:t>
      </w:r>
      <w:r>
        <w:rPr>
          <w:rFonts w:ascii="Times New Roman" w:hAnsi="Times New Roman" w:cs="Times New Roman"/>
        </w:rPr>
        <w:t xml:space="preserve"> concentrations within the blood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{"citationID":"Xb1n3bcW","properties":{"formattedCitation":"(Baxendale et al., 1982; Papacosta &amp; Nassis, 2011)","plainCitation":"(Baxendale et al., 1982; Papacosta &amp; Nassis, 2011)","noteIndex":0},"citationItems":[{"id":123,"uris":["http://zotero.org/users/6327055/items/CF9MYWPK"],"itemData":{"id":123,"type":"article-journal","abstract":"A sensitive radioimmunoassay (RIA) was used to measure salivary testosterone levels in normal women, in patients with polycystic ovaries (PCO), and in women with hirsutism. There was a highly significant correlation (r=0.79, P c 0.001) between the concentration of testosterone in saliva [12.3f7.8 (SD) pg/ml] and the concentration of unbound testosterone in plasma (5.2 f3. I pg/ml) in matched samples collected from 56 women including normals, patients with clinical signs of hyperandrogenism, and women treated with a combination of cyproterone acetate (CA) and ethinyl oestradiol (EE). The unbound plasma testosterone was measured in the dialysate directly using a sensitive RIA. Salivary and plasma testosterone levels in patients with PCO (20.6&amp; 8.5 and 626 fI87 pg/ml respectively,n = 14) and in those with hirsutism (I 3-9f5-6 and 421 k 170 pg/ml, n =30) were significantly higher ( P&lt;0.001) than levels in normal women (7.7f2.6 and 196f68 pg/ml, n =36). Treatment for 3 months with CA and EE resulted in a decrease (mean 68%) in salivary testosterone levels in all patients studied (n= 1 9 , but the suppression of plasma testosterone (mean 34%) was not observed in all cases. It is concluded that measurement of salivary testosterone gives a useful indication of levels of biologically available androgen in hyperandrogenic women, before and during CA/EE therapy.","container-title":"Clinical Endocrinology","DOI":"10.1111/j.1365-2265.1982.tb03176.x","ISSN":"0300-0664, 1365-2265","issue":"6","journalAbbreviation":"Clin Endocrinol","language":"en","page":"595-603","source":"DOI.org (Crossref)","title":"Salivary testosterone: relationship to unbound plasma testosterone in normal and hyperandrogenic women","title-short":"SALIVARY TESTOSTERONE","volume":"16","author":[{"family":"Baxendale","given":"P. M."},{"family":"Jacobs","given":"H. S."},{"family":"James","given":"V. H. T."}],"issued":{"date-parts":[["1982",6]]}}},{"id":380,"uris":["http://zotero.org/users/6327055/items/E7MHQ2CJ"],"itemData":{"id":380,"type":"article-journal","abstract":"Objectives: This paper discusses the use of saliva analysis as a tool for monitoring steroid, peptide, and immune markers of sports training. Design: Salivary gland physiology, regarding the regulation and stimulation of saliva secretion, as well as methodological issues including saliva collection, storage and analysis are addressed in this paper. The effects of exercise on saliva composition are then considered. Method: Exercise elicits changes in salivary levels of steroid hormones, immunoglobulins, antimicrobial proteins and enzymes. Cortisol, testosterone and dehydroepiandrosterone can be assessed in saliva, providing a non-invasive option to assess the catabolic and anabolic effects of exercise. Validation studies using blood and salivary measures of steroid hormones are addressed in this paper. Effects of acute exercise and training on salivary immunoglobulins (SIgA, SIgM, SIgG) and salivary antimicrobial proteins, including </w:instrText>
      </w:r>
      <w:r w:rsidR="00546507">
        <w:rPr>
          <w:rFonts w:ascii="Segoe UI Symbol" w:hAnsi="Segoe UI Symbol" w:cs="Segoe UI Symbol"/>
          <w:noProof/>
        </w:rPr>
        <w:instrText>␣</w:instrText>
      </w:r>
      <w:r w:rsidR="00546507">
        <w:rPr>
          <w:rFonts w:ascii="Times New Roman" w:hAnsi="Times New Roman" w:cs="Times New Roman"/>
          <w:noProof/>
        </w:rPr>
        <w:instrText xml:space="preserve">-amylase, lysozyme and lactoferrin, are also discussed. Results: Analysis of cortisol and testosterone in saliva may help detect the onset of non-functional overreaching and subsequently may help to prevent the development of overtraining syndrome. Assessment of salivary immunoglobulins and antimicrobial proteins has been shown to successfully represent the effects of exercise on mucosal immunity. Increases in SIgA and antimicrobial proteins concentration and/or secretion rate are associated with acute exercise whereas conversely, decreases have been reported in athletes over a training season leaving the athlete susceptible for upper respiratory tract infections. Conclusions: The measurement of physiological biomarkers in whole saliva can provide a signiﬁcant tool for assessing the immunological and endocrinological status associated with exercise and training.","container-title":"Journal of Science and Medicine in Sport","DOI":"10.1016/j.jsams.2011.03.004","ISSN":"14402440","issue":"5","journalAbbreviation":"Journal of Science and Medicine in Sport","language":"en","page":"424-434","source":"DOI.org (Crossref)","title":"Saliva as a tool for monitoring steroid, peptide and immune markers in sport and exercise science","volume":"14","author":[{"family":"Papacosta","given":"Elena"},{"family":"Nassis","given":"George P."}],"issued":{"date-parts":[["2011",9]]}}}],"schema":"https://github.com/citation-style-language/schema/raw/master/csl-citation.json"} </w:instrText>
      </w:r>
      <w:r w:rsidR="006A19C7">
        <w:rPr>
          <w:rFonts w:ascii="Times New Roman" w:hAnsi="Times New Roman" w:cs="Times New Roman"/>
          <w:noProof/>
        </w:rPr>
        <w:fldChar w:fldCharType="separate"/>
      </w:r>
      <w:r w:rsidR="006A19C7">
        <w:rPr>
          <w:rFonts w:ascii="Times New Roman" w:hAnsi="Times New Roman" w:cs="Times New Roman"/>
          <w:noProof/>
        </w:rPr>
        <w:t>(Baxendale et al., 1982; Papacosta &amp; Nassis, 2011)</w:t>
      </w:r>
      <w:r w:rsidR="006A19C7">
        <w:rPr>
          <w:rFonts w:ascii="Times New Roman" w:hAnsi="Times New Roman" w:cs="Times New Roman"/>
          <w:noProof/>
        </w:rPr>
        <w:fldChar w:fldCharType="end"/>
      </w:r>
      <w:r>
        <w:rPr>
          <w:rFonts w:ascii="Times New Roman" w:hAnsi="Times New Roman" w:cs="Times New Roman"/>
        </w:rPr>
        <w:t xml:space="preserve">. Likewise, a salivary sample of </w:t>
      </w:r>
      <w:r w:rsidR="004C6E75">
        <w:rPr>
          <w:rFonts w:ascii="Times New Roman" w:hAnsi="Times New Roman" w:cs="Times New Roman"/>
        </w:rPr>
        <w:t>C</w:t>
      </w:r>
      <w:r>
        <w:rPr>
          <w:rFonts w:ascii="Times New Roman" w:hAnsi="Times New Roman" w:cs="Times New Roman"/>
        </w:rPr>
        <w:t xml:space="preserve"> represents the biologically active blood </w:t>
      </w:r>
      <w:r w:rsidR="004C6E75">
        <w:rPr>
          <w:rFonts w:ascii="Times New Roman" w:hAnsi="Times New Roman" w:cs="Times New Roman"/>
        </w:rPr>
        <w:t>C</w:t>
      </w:r>
      <w:r>
        <w:rPr>
          <w:rFonts w:ascii="Times New Roman" w:hAnsi="Times New Roman" w:cs="Times New Roman"/>
        </w:rPr>
        <w:t xml:space="preserve">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{"citationID":"NlD53yTw","properties":{"formattedCitation":"(Gozansky et al., 2005)","plainCitation":"(Gozansky et al., 2005)","noteIndex":0},"citationItems":[{"id":386,"uris":["http://zotero.org/users/6327055/items/WH6JU6B5"],"itemData":{"id":386,"type":"article-journal","abstract":"Objective The aim of this study was to determine whether salivary cortisol measured by a simple enzyme immunoassay (EIA) could be used as a surrogate for serum total cortisol in response to rapid changes and across a wide range of concentrations.","container-title":"Clinical Endocrinology","DOI":"10.1111/j.1365-2265.2005.02349.x","ISSN":"0300-0664, 1365-2265","issue":"3","journalAbbreviation":"Clin Endocrinol","language":"en","page":"336-341","source":"DOI.org (Crossref)","title":"Salivary cortisol determined by enzyme immunoassay is preferable to serum total cortisol for assessment of dynamic hypothalamic-pituitary-adrenal axis activity","volume":"63","author":[{"family":"Gozansky","given":"W. S."},{"family":"Lynn","given":"J. S."},{"family":"Laudenslager","given":"M. L."},{"family":"Kohrt","given":"W. M."}],"issued":{"date-parts":[["2005",9]]}}}],"schema":"https://github.com/citation-style-language/schema/raw/master/csl-citation.json"} </w:instrText>
      </w:r>
      <w:r w:rsidR="006A19C7">
        <w:rPr>
          <w:rFonts w:ascii="Times New Roman" w:hAnsi="Times New Roman" w:cs="Times New Roman"/>
          <w:noProof/>
        </w:rPr>
        <w:fldChar w:fldCharType="separate"/>
      </w:r>
      <w:r w:rsidR="006A19C7">
        <w:rPr>
          <w:rFonts w:ascii="Times New Roman" w:hAnsi="Times New Roman" w:cs="Times New Roman"/>
          <w:noProof/>
        </w:rPr>
        <w:t>(Gozansky et al., 2005)</w:t>
      </w:r>
      <w:r w:rsidR="006A19C7">
        <w:rPr>
          <w:rFonts w:ascii="Times New Roman" w:hAnsi="Times New Roman" w:cs="Times New Roman"/>
          <w:noProof/>
        </w:rPr>
        <w:fldChar w:fldCharType="end"/>
      </w:r>
      <w:r>
        <w:rPr>
          <w:rFonts w:ascii="Times New Roman" w:hAnsi="Times New Roman" w:cs="Times New Roman"/>
        </w:rPr>
        <w:t xml:space="preserve">. </w:t>
      </w:r>
    </w:p>
    <w:p w14:paraId="61642E3F" w14:textId="397E7BE3" w:rsidR="003F3D08" w:rsidRPr="00FC08AB" w:rsidRDefault="003F3D08" w:rsidP="00FC08AB">
      <w:pPr>
        <w:pStyle w:val="Heading3"/>
        <w:spacing w:line="480" w:lineRule="auto"/>
        <w:rPr>
          <w:rFonts w:ascii="Times New Roman" w:hAnsi="Times New Roman" w:cs="Times New Roman"/>
          <w:b/>
          <w:bCs/>
          <w:i/>
          <w:iCs/>
          <w:color w:val="000000" w:themeColor="text1"/>
        </w:rPr>
      </w:pPr>
      <w:bookmarkStart w:id="36" w:name="_Toc99267615"/>
      <w:r w:rsidRPr="00FC08AB">
        <w:rPr>
          <w:rFonts w:ascii="Times New Roman" w:hAnsi="Times New Roman" w:cs="Times New Roman"/>
          <w:b/>
          <w:bCs/>
          <w:i/>
          <w:iCs/>
          <w:color w:val="000000" w:themeColor="text1"/>
        </w:rPr>
        <w:t>Acute Endocrine Responses</w:t>
      </w:r>
      <w:bookmarkEnd w:id="36"/>
    </w:p>
    <w:p w14:paraId="5B4F0106" w14:textId="08EB38B4" w:rsidR="003F3D08" w:rsidRPr="00E3140E" w:rsidRDefault="003F3D08" w:rsidP="003F3D08">
      <w:pPr>
        <w:spacing w:line="480" w:lineRule="auto"/>
        <w:jc w:val="both"/>
        <w:rPr>
          <w:rFonts w:ascii="Times New Roman" w:hAnsi="Times New Roman" w:cs="Times New Roman"/>
        </w:rPr>
      </w:pPr>
      <w:r>
        <w:rPr>
          <w:rFonts w:ascii="Times New Roman" w:hAnsi="Times New Roman" w:cs="Times New Roman"/>
          <w:i/>
          <w:iCs/>
        </w:rPr>
        <w:tab/>
      </w:r>
      <w:r>
        <w:rPr>
          <w:rFonts w:ascii="Times New Roman" w:hAnsi="Times New Roman" w:cs="Times New Roman"/>
        </w:rPr>
        <w:t xml:space="preserve">Minimal research has been conducted to explore the acute responses of </w:t>
      </w:r>
      <w:r w:rsidR="004C6E75">
        <w:rPr>
          <w:rFonts w:ascii="Times New Roman" w:hAnsi="Times New Roman" w:cs="Times New Roman"/>
        </w:rPr>
        <w:t>T</w:t>
      </w:r>
      <w:r>
        <w:rPr>
          <w:rFonts w:ascii="Times New Roman" w:hAnsi="Times New Roman" w:cs="Times New Roman"/>
        </w:rPr>
        <w:t xml:space="preserve">, </w:t>
      </w:r>
      <w:r w:rsidR="004C6E75">
        <w:rPr>
          <w:rFonts w:ascii="Times New Roman" w:hAnsi="Times New Roman" w:cs="Times New Roman"/>
        </w:rPr>
        <w:t>C</w:t>
      </w:r>
      <w:r>
        <w:rPr>
          <w:rFonts w:ascii="Times New Roman" w:hAnsi="Times New Roman" w:cs="Times New Roman"/>
        </w:rPr>
        <w:t xml:space="preserve">, and T:C ratio following basketball training sessions. Elevations within </w:t>
      </w:r>
      <w:r w:rsidR="004C6E75">
        <w:rPr>
          <w:rFonts w:ascii="Times New Roman" w:hAnsi="Times New Roman" w:cs="Times New Roman"/>
        </w:rPr>
        <w:t>C</w:t>
      </w:r>
      <w:r>
        <w:rPr>
          <w:rFonts w:ascii="Times New Roman" w:hAnsi="Times New Roman" w:cs="Times New Roman"/>
        </w:rPr>
        <w:t xml:space="preserve"> levels have been displayed pre- to post- sessions of basketball and training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{"citationID":"Bco1ZTKL","properties":{"formattedCitation":"(Chatzinikolaou et al., 2014; Gonzalez-Bono et al., 1999; Moreira et al., 2014)","plainCitation":"(Chatzinikolaou et al., 2014; Gonzalez-Bono et al., 1999; Moreira et al., 2014)","noteIndex":0},"citationItems":[{"id":364,"uris":["http://zotero.org/users/6327055/items/WJ9UHMCD"],"itemData":{"id":364,"type":"article-journal","abstract":"Basketball incorporates intense eccentric muscle activity that induces muscle microtrauma and an inﬂammatory response. This study investigated time-dependent inﬂammatory and performance responses during a weekly microcycle after a basketball match. Twenty elite-standard players underwent a trial that comprised a match followed by a 6-day simulated in-season microcycle. The trial was preceded by a control condition that did not have a match. Blood sampling and tests of maximal-intensity exercise performance and muscle damage occurred before each condition, immediately after the match and daily thereafter for 6 consecutive days. The match induced marked increases in heart rate, lactate, ammonia, glucose, non-esteriﬁed fatty acids and triglycerides. Performance deteriorated for 24–48 h after the match, whereas knee ﬂexor and extensor soreness increased for 48 and 24 h post-match, respectively. Inﬂammatory (leukocytes, C-reactive protein, creatine kinase activity, adhesion molecules, cortisol, uric acid and cytokines) and oxidative stress (malondialdehyde, protein carbonyls, oxidised glutathione, antioxidant capacity, catalase and glutathione peroxidase) markers increased for ~24 h and subsided thereafter. Reduced glutathione declined for 24 h after exercise. These results suggest that a basketball match elicits moderate and relatively brief (~24–48 h) inﬂammatory responses, is associated with marked but short-lived performance deterioration, but is less stressful than other intermittent-type sports.","container-title":"Journal of Sports Sciences","DOI":"10.1080/02640414.2013.865251","ISSN":"0264-0414, 1466-447X","issue":"9","journalAbbreviation":"Journal of Sports Sciences","language":"en","page":"870-882","source":"DOI.org (Crossref)","title":"The microcycle of inflammation and performance changes after a basketball match","volume":"32","author":[{"family":"Chatzinikolaou","given":"Athanasios"},{"family":"Draganidis","given":"Dimitrios"},{"family":"Avloniti","given":"Alexandra"},{"family":"Karipidis","given":"Alexandros"},{"family":"Jamurtas","given":"Athanasios Z"},{"family":"Skevaki","given":"Chrysanthi L"},{"family":"Tsoukas","given":"Dimitrios"},{"family":"Sovatzidis","given":"Apostolis"},{"family":"Theodorou","given":"Anastasios"},{"family":"Kambas","given":"Antonis"},{"family":"Papassotiriou","given":"Ioannis"},{"family":"Taxildaris","given":"Kyriakos"},{"family":"Fatouros","given":"Ioannis"}],"issued":{"date-parts":[["2014",5,28]]}}},{"id":394,"uris":["http://zotero.org/users/6327055/items/P6UIWWRC"],"itemData":{"id":394,"type":"article-journal","container-title":"Hormones and Behavior","DOI":"10.1006/hbeh.1998.1496","ISSN":"0018506X","issue":"1","journalAbbreviation":"Hormones and Behavior","language":"en","page":"55-62","source":"DOI.org (Crossref)","title":"Testosterone, cortisol, and mood in a sports team competition","volume":"35","author":[{"family":"Gonzalez-Bono","given":"E."},{"family":"Salvador","given":"A."},{"family":"Serrano","given":"M.A."},{"family":"Ricarte","given":"J."}],"issued":{"date-parts":[["1999",2]]}}},{"id":396,"uris":["http://zotero.org/users/6327055/items/E8CCMCUD"],"itemData":{"id":396,"type":"article-journal","abstract":"The aim of the present study was to investigate changes in muscle soreness, blood muscle damage markers, muscle strength and agility following an official basketball match. Eleven elite female professional basketball players (27.4 ± 4.8 years, 179.5 ± 5.5 cm, 72.0 ± 7.8 kg) of a team participated in this study. The official match was the seventh match of the season in the first phase of the Brazilian National Female Basketball Championship. Muscle soreness, plasma creatine kinase activity (CK), and myoglobin concentration (Mb) were determined before and after the match (post-match, 24 and 48 hours after the match). The 1RM strength for bench press and leg press, and the agility T test were assessed before and at 24 and 48 hours after the match. Significant increases in muscle soreness, CK and Mb were observed at 24 and 48 hours post-match (p&lt;0.05). No significant changes in the 1RM strength and T test were detected during recovery (24 and 48 hours after the match). These results suggest that a basketball match induced limited muscle damage with minimal effect on performance during recovery. The small increase in muscle damage markers following a basketball match did not affect strength and agility performance.","container-title":"Biology of Sport","DOI":"10.5604/20831862.1083272","ISSN":"0860-021X","issue":"1","journalAbbreviation":"Biol Sport","language":"eng","note":"PMID: 24917683\nPMCID: PMC3994578","page":"3-7","source":"PubMed","title":"Changes in muscle damage markers in female basketball players","volume":"31","author":[{"family":"Moreira","given":"A."},{"family":"Nosaka","given":"K."},{"family":"Nunes","given":"J. A."},{"family":"Viveiros","given":"L."},{"family":"Jamurtas","given":"A. Z."},{"family":"Aoki","given":"M. S."}],"issued":{"date-parts":[["2014",3]]}}}],"schema":"https://github.com/citation-style-language/schema/raw/master/csl-citation.json"} </w:instrText>
      </w:r>
      <w:r w:rsidR="006A19C7">
        <w:rPr>
          <w:rFonts w:ascii="Times New Roman" w:hAnsi="Times New Roman" w:cs="Times New Roman"/>
          <w:noProof/>
        </w:rPr>
        <w:fldChar w:fldCharType="separate"/>
      </w:r>
      <w:r w:rsidR="006A19C7">
        <w:rPr>
          <w:rFonts w:ascii="Times New Roman" w:hAnsi="Times New Roman" w:cs="Times New Roman"/>
          <w:noProof/>
        </w:rPr>
        <w:t>(Chatzinikolaou et al., 2014; Gonzalez-Bono et al., 1999; Moreira et al., 2014)</w:t>
      </w:r>
      <w:r w:rsidR="006A19C7">
        <w:rPr>
          <w:rFonts w:ascii="Times New Roman" w:hAnsi="Times New Roman" w:cs="Times New Roman"/>
          <w:noProof/>
        </w:rPr>
        <w:fldChar w:fldCharType="end"/>
      </w:r>
      <w:r>
        <w:rPr>
          <w:rFonts w:ascii="Times New Roman" w:hAnsi="Times New Roman" w:cs="Times New Roman"/>
        </w:rPr>
        <w:t xml:space="preserve">. C levels have also been shown to vary based on the level of intensity through difficulty in competing with the opponent. </w:t>
      </w:r>
      <w:r w:rsidR="006A7645">
        <w:rPr>
          <w:rFonts w:ascii="Times New Roman" w:hAnsi="Times New Roman" w:cs="Times New Roman"/>
        </w:rPr>
        <w:t xml:space="preserve">For example, </w:t>
      </w:r>
      <w:r w:rsidRPr="005C228B">
        <w:rPr>
          <w:rFonts w:ascii="Times New Roman" w:hAnsi="Times New Roman" w:cs="Times New Roman"/>
        </w:rPr>
        <w:t>Arruda et al.</w:t>
      </w:r>
      <w:r>
        <w:rPr>
          <w:rFonts w:ascii="Times New Roman" w:hAnsi="Times New Roman" w:cs="Times New Roman"/>
        </w:rPr>
        <w:t xml:space="preserve"> findings exhibit at all levels of intensity there was an increase in </w:t>
      </w:r>
      <w:r w:rsidR="004C6E75">
        <w:rPr>
          <w:rFonts w:ascii="Times New Roman" w:hAnsi="Times New Roman" w:cs="Times New Roman"/>
        </w:rPr>
        <w:t>C</w:t>
      </w:r>
      <w:r>
        <w:rPr>
          <w:rFonts w:ascii="Times New Roman" w:hAnsi="Times New Roman" w:cs="Times New Roman"/>
        </w:rPr>
        <w:t xml:space="preserve">, yet at a difficulty of hard, there was a greater increase compared to all other difficulties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{"citationID":"Kb5mFj8I","properties":{"formattedCitation":"(Arruda et al., 2017)","plainCitation":"(Arruda et al., 2017)","noteIndex":0},"citationItems":[{"id":122,"uris":["http://zotero.org/users/6327055/items/B6JYW9VP"],"itemData":{"id":122,"type":"article-journal","abstract":"This study examined the eﬀect of playing matches against diﬀerent opponent teams (hard match; HM, medium match; MM, and easy match; EM) on pre-match testosterone concentration (T), pre-to-post match cortisol (C) concentration, and pre-competitive anxiety (CSAI-2 questionnaire) in 20 elite male basketball players. One training session (TS) was also assessed (control condition). Saliva steroids were determined by ELISA. The pre-T concentration was signiﬁcantly lower for the TS (163 ± 54 pmol L−1), compared to the three oﬃcial matches (EM: 208 ± 82 pmol L− 1, MM: 213 ± 57 pmol L−1, and HM: 218 ± 37 pmol L−1) (p &lt; 0.05). A signiﬁcant change in C from pre-to-post was observed for all conditions (TS [5.8 ± 3.7 vs 14.4 ± 9.4 ƞmol L− 1], EM [10.1 ± 4.9 vs 17.3 ± 10.2 ƞmol L− 1], MM [13.0 ± 7.4 vs 21.5 ± 8.3 ƞmol L−1], and HM [18.9 ± 5.8 vs 31.4 ± 5.3 ƞmol L− 1] (p &lt; 0.05). A higher PRE-C was observed for the HM, compared to TS and EM (p &lt; 0.05) and a higher POST-C concentration for the HM was detected, compared to the TS, EM, and MM (p &lt; 0.05). A lower anxiety level was observed for the EM (somatic: 15.0 ± 3.7; cognitive: 15.8 ± 4.5 arbitrary units [AU]) compared, to the MM (somatic: 16.4 ± 3.5; cognitive: 17.7 ± 4.0 AU) and HM (somatic: 15.8 ± 3.9; cognitive: 18.3 ± 3.9 AU) (p &lt; 0.05) and a higher self-conﬁdence was observed for the TS (28.9 ± 5.1 AU), compared to the HM (26.7 ± 3.0 AU) (p &lt; 0.05). These results suggest that playing against a high-level opponent may cause a higher psychobiological stress, likely because opponent level may be perceived as threating to the social status in a given hierarchy.","container-title":"Physiology &amp; Behavior","DOI":"10.1016/j.physbeh.2017.05.017","ISSN":"00319384","journalAbbreviation":"Physiology &amp; Behavior","language":"en","page":"291-296","source":"DOI.org (Crossref)","title":"Salivary steroid response and competitive anxiety in elite basketball players: effect of opponent level","title-short":"Salivary steroid response and competitive anxiety in elite basketball players","volume":"177","author":[{"family":"Arruda","given":"Ademir F.S."},{"family":"Aoki","given":"Marcelo S."},{"family":"Paludo","given":"Ana Carolina"},{"family":"Moreira","given":"Alexandre"}],"issued":{"date-parts":[["2017",8]]}}}],"schema":"https://github.com/citation-style-language/schema/raw/master/csl-citation.json"} </w:instrText>
      </w:r>
      <w:r w:rsidR="006A19C7">
        <w:rPr>
          <w:rFonts w:ascii="Times New Roman" w:hAnsi="Times New Roman" w:cs="Times New Roman"/>
          <w:noProof/>
        </w:rPr>
        <w:fldChar w:fldCharType="separate"/>
      </w:r>
      <w:r w:rsidR="006A19C7">
        <w:rPr>
          <w:rFonts w:ascii="Times New Roman" w:hAnsi="Times New Roman" w:cs="Times New Roman"/>
          <w:noProof/>
        </w:rPr>
        <w:t>(Arruda et al., 2017)</w:t>
      </w:r>
      <w:r w:rsidR="006A19C7">
        <w:rPr>
          <w:rFonts w:ascii="Times New Roman" w:hAnsi="Times New Roman" w:cs="Times New Roman"/>
          <w:noProof/>
        </w:rPr>
        <w:fldChar w:fldCharType="end"/>
      </w:r>
      <w:r>
        <w:rPr>
          <w:rFonts w:ascii="Times New Roman" w:hAnsi="Times New Roman" w:cs="Times New Roman"/>
        </w:rPr>
        <w:t xml:space="preserve">. </w:t>
      </w:r>
      <w:r w:rsidR="006A7645">
        <w:rPr>
          <w:rFonts w:ascii="Times New Roman" w:hAnsi="Times New Roman" w:cs="Times New Roman"/>
        </w:rPr>
        <w:t xml:space="preserve">Additionally, in a study done by Wahl et al., </w:t>
      </w:r>
      <w:r w:rsidR="00A43FE8">
        <w:rPr>
          <w:rFonts w:ascii="Times New Roman" w:hAnsi="Times New Roman" w:cs="Times New Roman"/>
        </w:rPr>
        <w:t xml:space="preserve">although </w:t>
      </w:r>
      <w:r w:rsidR="006A7645">
        <w:rPr>
          <w:rFonts w:ascii="Times New Roman" w:hAnsi="Times New Roman" w:cs="Times New Roman"/>
        </w:rPr>
        <w:t xml:space="preserve">there were greater increases </w:t>
      </w:r>
      <w:r w:rsidR="00A43FE8">
        <w:rPr>
          <w:rFonts w:ascii="Times New Roman" w:hAnsi="Times New Roman" w:cs="Times New Roman"/>
        </w:rPr>
        <w:t xml:space="preserve">in C </w:t>
      </w:r>
      <w:r w:rsidR="006A7645">
        <w:rPr>
          <w:rFonts w:ascii="Times New Roman" w:hAnsi="Times New Roman" w:cs="Times New Roman"/>
        </w:rPr>
        <w:t>when performing high intensity interval training (HIIT)</w:t>
      </w:r>
      <w:r w:rsidR="00A43FE8">
        <w:rPr>
          <w:rFonts w:ascii="Times New Roman" w:hAnsi="Times New Roman" w:cs="Times New Roman"/>
        </w:rPr>
        <w:t xml:space="preserve"> compared to a higher volume less intense aerobic training session, the subsequent measure of </w:t>
      </w:r>
      <w:r w:rsidR="006A7645">
        <w:rPr>
          <w:rFonts w:ascii="Times New Roman" w:hAnsi="Times New Roman" w:cs="Times New Roman"/>
        </w:rPr>
        <w:t xml:space="preserve">T </w:t>
      </w:r>
      <w:r w:rsidR="00A43FE8">
        <w:rPr>
          <w:rFonts w:ascii="Times New Roman" w:hAnsi="Times New Roman" w:cs="Times New Roman"/>
        </w:rPr>
        <w:t xml:space="preserve">after sufficient recovery had been achieved had exceeded the values that had been produced in the high volume less intense exercise </w:t>
      </w:r>
      <w:r w:rsidR="006A7645">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{"citationID":"c47gepbZ","properties":{"formattedCitation":"(Wahl et al., 2013)","plainCitation":"(Wahl et al., 2013)","noteIndex":0},"citationItems":[{"id":491,"uris":["http://zotero.org/users/6327055/items/PXUIIYF9"],"itemData":{"id":491,"type":"article-journal","container-title":"Hormone and Metabolic Research","DOI":"10.1055/s-0033-1347242","ISSN":"0018-5043, 1439-4286","issue":"11","language":"en","page":"827-833","source":"DOI.org (Crossref)","title":"Acute metabolic, hormonal, and psychological responses to different endurance training protocols","volume":"45","author":[{"family":"Wahl","given":"P."},{"family":"Mathes","given":"S."},{"family":"Köhler","given":"K."},{"family":"Achtzehn","given":"S."},{"family":"Bloch","given":"W."},{"family":"Mester","given":"J."}],"issued":{"date-parts":[["2013",6,21]]}}}],"schema":"https://github.com/citation-style-language/schema/raw/master/csl-citation.json"} </w:instrText>
      </w:r>
      <w:r w:rsidR="006A7645">
        <w:rPr>
          <w:rFonts w:ascii="Times New Roman" w:hAnsi="Times New Roman" w:cs="Times New Roman"/>
        </w:rPr>
        <w:fldChar w:fldCharType="separate"/>
      </w:r>
      <w:r w:rsidR="006A7645">
        <w:rPr>
          <w:rFonts w:ascii="Times New Roman" w:hAnsi="Times New Roman" w:cs="Times New Roman"/>
          <w:noProof/>
        </w:rPr>
        <w:t>(Wahl et al., 2013)</w:t>
      </w:r>
      <w:r w:rsidR="006A7645">
        <w:rPr>
          <w:rFonts w:ascii="Times New Roman" w:hAnsi="Times New Roman" w:cs="Times New Roman"/>
        </w:rPr>
        <w:fldChar w:fldCharType="end"/>
      </w:r>
      <w:r w:rsidR="006A7645">
        <w:rPr>
          <w:rFonts w:ascii="Times New Roman" w:hAnsi="Times New Roman" w:cs="Times New Roman"/>
        </w:rPr>
        <w:t xml:space="preserve">. </w:t>
      </w:r>
      <w:r w:rsidR="006D7DF4">
        <w:rPr>
          <w:rFonts w:ascii="Times New Roman" w:hAnsi="Times New Roman" w:cs="Times New Roman"/>
        </w:rPr>
        <w:t xml:space="preserve">Additionally, </w:t>
      </w:r>
      <w:proofErr w:type="spellStart"/>
      <w:r w:rsidR="006D7DF4">
        <w:rPr>
          <w:rFonts w:ascii="Times New Roman" w:hAnsi="Times New Roman" w:cs="Times New Roman"/>
        </w:rPr>
        <w:t>Heishman</w:t>
      </w:r>
      <w:proofErr w:type="spellEnd"/>
      <w:r w:rsidR="006D7DF4">
        <w:rPr>
          <w:rFonts w:ascii="Times New Roman" w:hAnsi="Times New Roman" w:cs="Times New Roman"/>
        </w:rPr>
        <w:t xml:space="preserve"> Dissertation, 2020 found that in a cohort of intercollegiate male basketball players, T </w:t>
      </w:r>
      <w:r w:rsidR="00CB08D3">
        <w:rPr>
          <w:rFonts w:ascii="Times New Roman" w:hAnsi="Times New Roman" w:cs="Times New Roman"/>
        </w:rPr>
        <w:t xml:space="preserve">and C </w:t>
      </w:r>
      <w:r w:rsidR="006D7DF4">
        <w:rPr>
          <w:rFonts w:ascii="Times New Roman" w:hAnsi="Times New Roman" w:cs="Times New Roman"/>
        </w:rPr>
        <w:t>increased following a sport specific training session of basketball that returned to baseline after 24 hours</w:t>
      </w:r>
      <w:r w:rsidR="00CB08D3">
        <w:rPr>
          <w:rFonts w:ascii="Times New Roman" w:hAnsi="Times New Roman" w:cs="Times New Roman"/>
        </w:rPr>
        <w:t xml:space="preserve">, resulting in no change of T/C ratio. </w:t>
      </w:r>
      <w:r w:rsidR="006D7DF4">
        <w:rPr>
          <w:rFonts w:ascii="Times New Roman" w:hAnsi="Times New Roman" w:cs="Times New Roman"/>
        </w:rPr>
        <w:t>Interestingly,</w:t>
      </w:r>
      <w:r w:rsidR="00A43FE8">
        <w:rPr>
          <w:rFonts w:ascii="Times New Roman" w:hAnsi="Times New Roman" w:cs="Times New Roman"/>
        </w:rPr>
        <w:t xml:space="preserve"> the increases in T may enhance aerobic adaptations from stimulating erythropoietin </w:t>
      </w:r>
      <w:r w:rsidR="001C6B36">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{"citationID":"l42zD5fy","properties":{"formattedCitation":"(Shahidi, 2001)","plainCitation":"(Shahidi, 2001)","noteIndex":0},"citationItems":[{"id":499,"uris":["http://zotero.org/users/6327055/items/5E5YKMEM"],"itemData":{"id":499,"type":"article-journal","abstract":"Background: Since its discovery in 1935, numerous derivatives of testosterone have been synthesized, with the goals of prolonging its biological activity in vivo, producing orally active androgens, and developing products, commonly referred to as anabolicandrogenic steroids (AAS), that are more anabolic and less androgenic than the parent molecule.","container-title":"Clinical Therapeutics","DOI":"10.1016/S0149-2918(01)80114-4","ISSN":"01492918","issue":"9","language":"en","page":"1355-1390","source":"DOI.org (Crossref)","title":"A review of the chemistry, biological action, and clinical applications of anabolic-androgenic steroids","volume":"23","author":[{"family":"Shahidi","given":"N"}],"issued":{"date-parts":[["2001",9]]}}}],"schema":"https://github.com/citation-style-language/schema/raw/master/csl-citation.json"} </w:instrText>
      </w:r>
      <w:r w:rsidR="001C6B36">
        <w:rPr>
          <w:rFonts w:ascii="Times New Roman" w:hAnsi="Times New Roman" w:cs="Times New Roman"/>
        </w:rPr>
        <w:fldChar w:fldCharType="separate"/>
      </w:r>
      <w:r w:rsidR="001C6B36">
        <w:rPr>
          <w:rFonts w:ascii="Times New Roman" w:hAnsi="Times New Roman" w:cs="Times New Roman"/>
          <w:noProof/>
        </w:rPr>
        <w:t>(Shahidi, 2001)</w:t>
      </w:r>
      <w:r w:rsidR="001C6B36">
        <w:rPr>
          <w:rFonts w:ascii="Times New Roman" w:hAnsi="Times New Roman" w:cs="Times New Roman"/>
        </w:rPr>
        <w:fldChar w:fldCharType="end"/>
      </w:r>
      <w:r w:rsidR="001C6B36">
        <w:rPr>
          <w:rFonts w:ascii="Times New Roman" w:hAnsi="Times New Roman" w:cs="Times New Roman"/>
        </w:rPr>
        <w:t xml:space="preserve"> </w:t>
      </w:r>
      <w:r w:rsidR="00A43FE8">
        <w:rPr>
          <w:rFonts w:ascii="Times New Roman" w:hAnsi="Times New Roman" w:cs="Times New Roman"/>
        </w:rPr>
        <w:t xml:space="preserve">as well as </w:t>
      </w:r>
      <w:r w:rsidR="001C6B36">
        <w:rPr>
          <w:rFonts w:ascii="Times New Roman" w:hAnsi="Times New Roman" w:cs="Times New Roman"/>
        </w:rPr>
        <w:t xml:space="preserve">potentially </w:t>
      </w:r>
      <w:r w:rsidR="00DA0B45">
        <w:rPr>
          <w:rFonts w:ascii="Times New Roman" w:hAnsi="Times New Roman" w:cs="Times New Roman"/>
        </w:rPr>
        <w:t>increasing lactate transport through enhancements in the monocarboxylate transporter proteins</w:t>
      </w:r>
      <w:r w:rsidR="001C6B36">
        <w:rPr>
          <w:rFonts w:ascii="Times New Roman" w:hAnsi="Times New Roman" w:cs="Times New Roman"/>
        </w:rPr>
        <w:t xml:space="preserve"> </w:t>
      </w:r>
      <w:r w:rsidR="001C6B36">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{"citationID":"XFfK3KJT","properties":{"formattedCitation":"(Enoki et al., 2006)","plainCitation":"(Enoki et al., 2006)","noteIndex":0},"citationItems":[{"id":501,"uris":["http://zotero.org/users/6327055/items/4LS67CPU"],"itemData":{"id":501,"type":"article-journal","container-title":"The Journal of Physiology","DOI":"10.1113/jphysiol.2006.115436","ISSN":"00223751","issue":"1","language":"en","page":"433-443","source":"DOI.org (Crossref)","title":"Testosterone increases lactate transport, monocarboxylate transporter (mct) 1 and mct4 in rat skeletal muscle: testosterone and mct1 and 4","title-short":"Testosterone increases lactate transport, monocarboxylate transporter (MCT) 1 and MCT4 in rat skeletal muscle","volume":"577","author":[{"family":"Enoki","given":"Taisuke"},{"family":"Yoshida","given":"Yuko"},{"family":"Lally","given":"James"},{"family":"Hatta","given":"Hideo"},{"family":"Bonen","given":"Arend"}],"issued":{"date-parts":[["2006",11,15]]}}}],"schema":"https://github.com/citation-style-language/schema/raw/master/csl-citation.json"} </w:instrText>
      </w:r>
      <w:r w:rsidR="001C6B36">
        <w:rPr>
          <w:rFonts w:ascii="Times New Roman" w:hAnsi="Times New Roman" w:cs="Times New Roman"/>
        </w:rPr>
        <w:fldChar w:fldCharType="separate"/>
      </w:r>
      <w:r w:rsidR="001C6B36">
        <w:rPr>
          <w:rFonts w:ascii="Times New Roman" w:hAnsi="Times New Roman" w:cs="Times New Roman"/>
          <w:noProof/>
        </w:rPr>
        <w:t>(Enoki et al., 2006)</w:t>
      </w:r>
      <w:r w:rsidR="001C6B36">
        <w:rPr>
          <w:rFonts w:ascii="Times New Roman" w:hAnsi="Times New Roman" w:cs="Times New Roman"/>
        </w:rPr>
        <w:fldChar w:fldCharType="end"/>
      </w:r>
      <w:r w:rsidR="00DA0B45">
        <w:rPr>
          <w:rFonts w:ascii="Times New Roman" w:hAnsi="Times New Roman" w:cs="Times New Roman"/>
        </w:rPr>
        <w:t xml:space="preserve">. </w:t>
      </w:r>
      <w:r w:rsidR="007B0071">
        <w:rPr>
          <w:rFonts w:ascii="Times New Roman" w:hAnsi="Times New Roman" w:cs="Times New Roman"/>
        </w:rPr>
        <w:t>Furthermore,</w:t>
      </w:r>
      <w:r w:rsidR="007F1DE0">
        <w:rPr>
          <w:rFonts w:ascii="Times New Roman" w:hAnsi="Times New Roman" w:cs="Times New Roman"/>
        </w:rPr>
        <w:t xml:space="preserve"> </w:t>
      </w:r>
      <w:r w:rsidR="007B0071">
        <w:rPr>
          <w:rFonts w:ascii="Times New Roman" w:hAnsi="Times New Roman" w:cs="Times New Roman"/>
        </w:rPr>
        <w:t xml:space="preserve">variability in </w:t>
      </w:r>
      <w:r w:rsidR="004C6E75">
        <w:rPr>
          <w:rFonts w:ascii="Times New Roman" w:hAnsi="Times New Roman" w:cs="Times New Roman"/>
        </w:rPr>
        <w:t>C</w:t>
      </w:r>
      <w:r w:rsidR="007B0071">
        <w:rPr>
          <w:rFonts w:ascii="Times New Roman" w:hAnsi="Times New Roman" w:cs="Times New Roman"/>
        </w:rPr>
        <w:t xml:space="preserve"> responses </w:t>
      </w:r>
      <w:r w:rsidR="007F1DE0">
        <w:rPr>
          <w:rFonts w:ascii="Times New Roman" w:hAnsi="Times New Roman" w:cs="Times New Roman"/>
        </w:rPr>
        <w:t xml:space="preserve">has been seen </w:t>
      </w:r>
      <w:r w:rsidR="007B0071">
        <w:rPr>
          <w:rFonts w:ascii="Times New Roman" w:hAnsi="Times New Roman" w:cs="Times New Roman"/>
        </w:rPr>
        <w:t xml:space="preserve">with prolonged exercise </w:t>
      </w:r>
      <w:r w:rsidR="007B0071">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{"citationID":"M8u4pWPj","properties":{"formattedCitation":"(Viru et al., 1992; Viru &amp; Viru, 2004)","plainCitation":"(Viru et al., 1992; Viru &amp; Viru, 2004)","noteIndex":0},"citationItems":[{"id":476,"uris":["http://zotero.org/users/6327055/items/ZHZNRHPP"],"itemData":{"id":476,"type":"article-journal","container-title":"International Journal of Sports Medicine","page":"230-235","title":"Stability and variability in hormonal responses to prolonged exercise","volume":"13","author":[{"family":"Viru","given":"Atko"},{"family":"Karelson","given":"Kalle"},{"family":"Smirnova","given":"Tamara"}],"issued":{"date-parts":[["1992"]]}}},{"id":378,"uris":["http://zotero.org/users/6327055/items/8VVM8ZZ4"],"itemData":{"id":378,"type":"article-journal","container-title":"International Journal of Sports Medicine","DOI":"10.1055/s-2004-821068","ISSN":"0172-4622, 1439-3964","issue":"6","journalAbbreviation":"Int J Sports Med","language":"en","page":"461-464","source":"DOI.org (Crossref)","title":"Cortisol - essential adaptation hormone in exercise","volume":"25","author":[{"family":"Viru","given":"A."},{"family":"Viru","given":"M."}],"issued":{"date-parts":[["2004",8]]}}}],"schema":"https://github.com/citation-style-language/schema/raw/master/csl-citation.json"} </w:instrText>
      </w:r>
      <w:r w:rsidR="007B0071">
        <w:rPr>
          <w:rFonts w:ascii="Times New Roman" w:hAnsi="Times New Roman" w:cs="Times New Roman"/>
        </w:rPr>
        <w:fldChar w:fldCharType="separate"/>
      </w:r>
      <w:r w:rsidR="00770B1D">
        <w:rPr>
          <w:rFonts w:ascii="Times New Roman" w:hAnsi="Times New Roman" w:cs="Times New Roman"/>
          <w:noProof/>
        </w:rPr>
        <w:t>(Viru et al., 1992; Viru &amp; Viru, 2004)</w:t>
      </w:r>
      <w:r w:rsidR="007B0071">
        <w:rPr>
          <w:rFonts w:ascii="Times New Roman" w:hAnsi="Times New Roman" w:cs="Times New Roman"/>
        </w:rPr>
        <w:fldChar w:fldCharType="end"/>
      </w:r>
      <w:r w:rsidR="007B0071">
        <w:rPr>
          <w:rFonts w:ascii="Times New Roman" w:hAnsi="Times New Roman" w:cs="Times New Roman"/>
        </w:rPr>
        <w:t xml:space="preserve">. </w:t>
      </w:r>
    </w:p>
    <w:p w14:paraId="00E730BB" w14:textId="4477AB6B" w:rsidR="003F3D08" w:rsidRPr="00FC08AB" w:rsidRDefault="003F3D08" w:rsidP="00FC08AB">
      <w:pPr>
        <w:pStyle w:val="Heading3"/>
        <w:spacing w:line="480" w:lineRule="auto"/>
        <w:rPr>
          <w:rFonts w:ascii="Times New Roman" w:hAnsi="Times New Roman" w:cs="Times New Roman"/>
          <w:b/>
          <w:bCs/>
          <w:i/>
          <w:iCs/>
          <w:color w:val="000000" w:themeColor="text1"/>
        </w:rPr>
      </w:pPr>
      <w:bookmarkStart w:id="37" w:name="_Toc99267616"/>
      <w:r w:rsidRPr="00FC08AB">
        <w:rPr>
          <w:rFonts w:ascii="Times New Roman" w:hAnsi="Times New Roman" w:cs="Times New Roman"/>
          <w:b/>
          <w:bCs/>
          <w:i/>
          <w:iCs/>
          <w:color w:val="000000" w:themeColor="text1"/>
        </w:rPr>
        <w:t>Longitudinal Endocrine Responses</w:t>
      </w:r>
      <w:bookmarkEnd w:id="37"/>
    </w:p>
    <w:p w14:paraId="4045187A" w14:textId="03EC43F2" w:rsidR="003F3D08" w:rsidRPr="00192EB8" w:rsidRDefault="003F3D08" w:rsidP="003F3D08">
      <w:pPr>
        <w:spacing w:line="480" w:lineRule="auto"/>
        <w:jc w:val="both"/>
        <w:rPr>
          <w:rFonts w:ascii="Times New Roman" w:hAnsi="Times New Roman" w:cs="Times New Roman"/>
        </w:rPr>
      </w:pPr>
      <w:r>
        <w:rPr>
          <w:rFonts w:ascii="Times New Roman" w:hAnsi="Times New Roman" w:cs="Times New Roman"/>
          <w:b/>
          <w:bCs/>
          <w:i/>
          <w:iCs/>
        </w:rPr>
        <w:tab/>
      </w:r>
      <w:r>
        <w:rPr>
          <w:rFonts w:ascii="Times New Roman" w:hAnsi="Times New Roman" w:cs="Times New Roman"/>
        </w:rPr>
        <w:t xml:space="preserve">Most of the literature surrounding the responses in endocrine markers, specifically </w:t>
      </w:r>
      <w:r w:rsidR="009F3A2D">
        <w:rPr>
          <w:rFonts w:ascii="Times New Roman" w:hAnsi="Times New Roman" w:cs="Times New Roman"/>
        </w:rPr>
        <w:t>T</w:t>
      </w:r>
      <w:r>
        <w:rPr>
          <w:rFonts w:ascii="Times New Roman" w:hAnsi="Times New Roman" w:cs="Times New Roman"/>
        </w:rPr>
        <w:t xml:space="preserve"> and </w:t>
      </w:r>
      <w:r w:rsidR="009F3A2D">
        <w:rPr>
          <w:rFonts w:ascii="Times New Roman" w:hAnsi="Times New Roman" w:cs="Times New Roman"/>
        </w:rPr>
        <w:t>C</w:t>
      </w:r>
      <w:r>
        <w:rPr>
          <w:rFonts w:ascii="Times New Roman" w:hAnsi="Times New Roman" w:cs="Times New Roman"/>
        </w:rPr>
        <w:t xml:space="preserve"> focus on longitudinal alterations over the course of a season instead of an acute exposure to a training stimulus. </w:t>
      </w:r>
      <w:r w:rsidR="00E07812">
        <w:rPr>
          <w:rFonts w:ascii="Times New Roman" w:hAnsi="Times New Roman" w:cs="Times New Roman"/>
        </w:rPr>
        <w:t>T</w:t>
      </w:r>
      <w:r w:rsidR="00D24379">
        <w:rPr>
          <w:rFonts w:ascii="Times New Roman" w:hAnsi="Times New Roman" w:cs="Times New Roman"/>
        </w:rPr>
        <w:t xml:space="preserve">he chronic adaptations </w:t>
      </w:r>
      <w:r w:rsidR="00E07812">
        <w:rPr>
          <w:rFonts w:ascii="Times New Roman" w:hAnsi="Times New Roman" w:cs="Times New Roman"/>
        </w:rPr>
        <w:t>shown within males of</w:t>
      </w:r>
      <w:r w:rsidR="00D24379">
        <w:rPr>
          <w:rFonts w:ascii="Times New Roman" w:hAnsi="Times New Roman" w:cs="Times New Roman"/>
        </w:rPr>
        <w:t xml:space="preserve"> the resting levels of </w:t>
      </w:r>
      <w:r w:rsidR="009F3A2D">
        <w:rPr>
          <w:rFonts w:ascii="Times New Roman" w:hAnsi="Times New Roman" w:cs="Times New Roman"/>
        </w:rPr>
        <w:t>T</w:t>
      </w:r>
      <w:r w:rsidR="00D24379">
        <w:rPr>
          <w:rFonts w:ascii="Times New Roman" w:hAnsi="Times New Roman" w:cs="Times New Roman"/>
        </w:rPr>
        <w:t xml:space="preserve"> </w:t>
      </w:r>
      <w:r w:rsidR="00E07812">
        <w:rPr>
          <w:rFonts w:ascii="Times New Roman" w:hAnsi="Times New Roman" w:cs="Times New Roman"/>
        </w:rPr>
        <w:t xml:space="preserve">appear to increase at rest </w:t>
      </w:r>
      <w:r w:rsidR="00E07812">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{"citationID":"kadBMKza","properties":{"formattedCitation":"(H\\uc0\\u228{}kkinen et al., 1998; Kraemer et al., 1998)","plainCitation":"(Häkkinen et al., 1998; Kraemer et al., 1998)","noteIndex":0},"citationItems":[{"id":469,"uris":["http://zotero.org/users/6327055/items/ISBELMJX"],"itemData":{"id":469,"type":"article-journal","container-title":"European Journal of Applied Physiology","DOI":"10.1007/s004210050339","ISSN":"1439-6319, 1439-6327","issue":"4","journalAbbreviation":"European Journal of Applied Physiology","language":"en","page":"312-319","source":"DOI.org (Crossref)","title":"Acute hormone responses to heavy resistance lower and upper extremity exercise in young versus old men","volume":"77","author":[{"family":"Häkkinen","given":"K."},{"family":"Pakarinen","given":"A."},{"family":"Newton","given":"R. U."},{"family":"Kraemer","given":"W. J."}],"issued":{"date-parts":[["1998",3,1]]}}},{"id":471,"uris":["http://zotero.org/users/6327055/items/Y2YQQD3F"],"itemData":{"id":471,"type":"article-journal","container-title":"European Journal of Applied Physiology","language":"en","page":"69-76","source":"Zotero","title":"The effects of short-term resistance training on endocrine function in men and women","volume":"78","author":[{"family":"Kraemer","given":"William J"},{"family":"Hagerman","given":"Fredrick C"},{"family":"Fry","given":"Andrew C"},{"family":"Nindl","given":"Bradley C"},{"family":"Volek","given":"S"},{"family":"Newton","given":"Robert U"}],"issued":{"date-parts":[["1998"]]}}}],"schema":"https://github.com/citation-style-language/schema/raw/master/csl-citation.json"} </w:instrText>
      </w:r>
      <w:r w:rsidR="00E07812">
        <w:rPr>
          <w:rFonts w:ascii="Times New Roman" w:hAnsi="Times New Roman" w:cs="Times New Roman"/>
        </w:rPr>
        <w:fldChar w:fldCharType="separate"/>
      </w:r>
      <w:r w:rsidR="00E07812" w:rsidRPr="00E07812">
        <w:rPr>
          <w:rFonts w:ascii="Times New Roman" w:hAnsi="Times New Roman" w:cs="Times New Roman"/>
        </w:rPr>
        <w:t>(Häkkinen et al., 1998; Kraemer et al., 1998)</w:t>
      </w:r>
      <w:r w:rsidR="00E07812">
        <w:rPr>
          <w:rFonts w:ascii="Times New Roman" w:hAnsi="Times New Roman" w:cs="Times New Roman"/>
        </w:rPr>
        <w:fldChar w:fldCharType="end"/>
      </w:r>
      <w:r w:rsidR="00E07812">
        <w:rPr>
          <w:rFonts w:ascii="Times New Roman" w:hAnsi="Times New Roman" w:cs="Times New Roman"/>
        </w:rPr>
        <w:t xml:space="preserve"> and during exercise </w:t>
      </w:r>
      <w:r w:rsidR="00E07812">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{"citationID":"cakeAhcm","properties":{"formattedCitation":"(Kraemer et al., 1998)","plainCitation":"(Kraemer et al., 1998)","noteIndex":0},"citationItems":[{"id":471,"uris":["http://zotero.org/users/6327055/items/Y2YQQD3F"],"itemData":{"id":471,"type":"article-journal","container-title":"European Journal of Applied Physiology","language":"en","page":"69-76","source":"Zotero","title":"The effects of short-term resistance training on endocrine function in men and women","volume":"78","author":[{"family":"Kraemer","given":"William J"},{"family":"Hagerman","given":"Fredrick C"},{"family":"Fry","given":"Andrew C"},{"family":"Nindl","given":"Bradley C"},{"family":"Volek","given":"S"},{"family":"Newton","given":"Robert U"}],"issued":{"date-parts":[["1998"]]}}}],"schema":"https://github.com/citation-style-language/schema/raw/master/csl-citation.json"} </w:instrText>
      </w:r>
      <w:r w:rsidR="00E07812">
        <w:rPr>
          <w:rFonts w:ascii="Times New Roman" w:hAnsi="Times New Roman" w:cs="Times New Roman"/>
        </w:rPr>
        <w:fldChar w:fldCharType="separate"/>
      </w:r>
      <w:r w:rsidR="00E07812">
        <w:rPr>
          <w:rFonts w:ascii="Times New Roman" w:hAnsi="Times New Roman" w:cs="Times New Roman"/>
          <w:noProof/>
        </w:rPr>
        <w:t>(Kraemer et al., 1998)</w:t>
      </w:r>
      <w:r w:rsidR="00E07812">
        <w:rPr>
          <w:rFonts w:ascii="Times New Roman" w:hAnsi="Times New Roman" w:cs="Times New Roman"/>
        </w:rPr>
        <w:fldChar w:fldCharType="end"/>
      </w:r>
      <w:r w:rsidR="00E07812">
        <w:rPr>
          <w:rFonts w:ascii="Times New Roman" w:hAnsi="Times New Roman" w:cs="Times New Roman"/>
        </w:rPr>
        <w:t xml:space="preserve">. </w:t>
      </w:r>
      <w:r>
        <w:rPr>
          <w:rFonts w:ascii="Times New Roman" w:hAnsi="Times New Roman" w:cs="Times New Roman"/>
        </w:rPr>
        <w:t xml:space="preserve">Over a 4 week preseason training phase in a sample of 10 professional basketball players, </w:t>
      </w:r>
      <w:r w:rsidR="009F3A2D">
        <w:rPr>
          <w:rFonts w:ascii="Times New Roman" w:hAnsi="Times New Roman" w:cs="Times New Roman"/>
        </w:rPr>
        <w:t>T</w:t>
      </w:r>
      <w:r>
        <w:rPr>
          <w:rFonts w:ascii="Times New Roman" w:hAnsi="Times New Roman" w:cs="Times New Roman"/>
        </w:rPr>
        <w:t xml:space="preserve">, </w:t>
      </w:r>
      <w:r w:rsidR="009F3A2D">
        <w:rPr>
          <w:rFonts w:ascii="Times New Roman" w:hAnsi="Times New Roman" w:cs="Times New Roman"/>
        </w:rPr>
        <w:t>C</w:t>
      </w:r>
      <w:r>
        <w:rPr>
          <w:rFonts w:ascii="Times New Roman" w:hAnsi="Times New Roman" w:cs="Times New Roman"/>
        </w:rPr>
        <w:t xml:space="preserve">, and the T:C ratio was measured resulting in an increase in </w:t>
      </w:r>
      <w:r w:rsidR="009F3A2D">
        <w:rPr>
          <w:rFonts w:ascii="Times New Roman" w:hAnsi="Times New Roman" w:cs="Times New Roman"/>
        </w:rPr>
        <w:t>C</w:t>
      </w:r>
      <w:r>
        <w:rPr>
          <w:rFonts w:ascii="Times New Roman" w:hAnsi="Times New Roman" w:cs="Times New Roman"/>
        </w:rPr>
        <w:t xml:space="preserve"> levels, yet no changes found in </w:t>
      </w:r>
      <w:r w:rsidR="009F3A2D">
        <w:rPr>
          <w:rFonts w:ascii="Times New Roman" w:hAnsi="Times New Roman" w:cs="Times New Roman"/>
        </w:rPr>
        <w:t>T</w:t>
      </w:r>
      <w:r>
        <w:rPr>
          <w:rFonts w:ascii="Times New Roman" w:hAnsi="Times New Roman" w:cs="Times New Roman"/>
        </w:rPr>
        <w:t xml:space="preserve"> or the T:C ratio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{"citationID":"ld4PmRTh","properties":{"formattedCitation":"(Hoffman et al., 1999)","plainCitation":"(Hoffman et al., 1999)","noteIndex":0},"citationItems":[{"id":170,"uris":["http://zotero.org/users/6327055/items/JX5273GV"],"itemData":{"id":170,"type":"article-journal","abstract":"This investigation examined hormonal and biochemical changes in basketball players during a 4-week training camp before the European championships. Ten members of the Israel national team (mean ± SD; age: 26.4 ± 4.3 years; weight: 100.7 ± 12.3 kg; and height: 196.4 ± 8.0 cm) participated in this study, which began 4 weeks after the regular season. Plasma samples of testosterone, cortisol, luteinizing hormone, thyroid-stimulating hormone, triiodothyronine, free thyroxine, creatine kinase, and urea were obtained before (T1) and after 9 (T2), 17 (T3), and 28 (T4) days of practice. Questionnaires concerning appetite, quality of sleep, muscle soreness, and recovery time following practice were filled out before each blood draw. Differences (p &lt; 0.05) in the volume of training were seen between T1 and T2 (150 ± 29 min*d−1) and T3 and T4 (92 ± 28 min*d−1). Muscle soreness and recovery time following practice were greater (p &lt; 0.05) at T2 than T1, T3, and T4. A significant increase in cortisol, although remaining within normal physiological range, was observed between T1 (260 ± 91 nmol*L−1) and T4 (457 ± 99 nmol*L−1). No changes from Tl were seen in testosterone (14.2 ± 5.6 nmol*L−1), luteinizing hormone (4.2 ± 1.6 IU*mH−1), creatine kinase, and urea or in the testosterone-to-cortisol ratio. In addition, no significant changes from T1 were observed in any of the thyroid hormones. These results suggest that a 28-day training camp may not cause significant disturbances in hormonal or biochemical stress markers in elite athletes.","container-title":"The Journal of Strength &amp; Conditioning Research","ISSN":"1064-8011","issue":"3","language":"en-US","note":"Purpose: Examine the hormonal and biochemical measurements in the early stages of overtraining in elite basketball players. \nResearch Question: What are the hormonal and biochemical responses in elite basketball players in the response to overtraining?\nMethods \nStudy Design: Measurements of hormonal and other biochemical parameters were collected in a 4 week training camp before an international basketball tournament and a month of complete rest after the regular season. \nSample: 10 participants of the Israel national basketball team \nProtocol: Measurements such as blood samples and questionnaires were taken on Days 1, 9, 17, and 28 in the morning before practice at the same time. A questionnaire was adminsitered by the same researcher and same environemental conditions was performed to describe appetite, quality of sleep, feelings of soreness, feelings of recovery, and perception of practice intensity all done on a 5 point scale. \nStatistical Analyses: Significance was set at 0.05. A one way ANOVA and repeated measures across time with post hoc analyses of a Bonferroni correction was performed. \nFindings: Training volume was the average practice time per day. Training volume was high initially but completed a taper toward the end of the camp. Training volume was significantly greater in days 1 and 9 than days 17 and 28. The perception of the training intensity was unchanged throughout the camp. The subjective questionnaire revealed that on Day 9 there were increases in muscle soreness and less recovery time. The concentration of T was unchanged throughout the 4 weeks. There was a significant increase in cortisol over the 4 weeks but only Day 28 showed a significant increase from Day 1. T/C ratio remained unchanged throughout the camp but there was a decrease seen from Day 1 to Day 28. \nConclusions: The resting level of T was low compared to normal to start and may suggest that the players were still not recovered from the 9 month regular season play even after a month of rest. The significant increase in C from Day 1 to Day 28 could be due to the athletes still not being recovered and another stimulus was given to early in a hypersensitive state of the athletes. This is in line with the decrease in T/C ratio of 22% from Day 1 to Day 28 but not reaching significance. Overall, the 4 week recovery period may not have been adequate for the athletes.\nFurther Research: Examine the duration of a recovery period to be adequate enough for recovery to occur within athletes. \nRelevant Studies: \nHakkinen, K. Effects of the competitive season on physical fitness profile in elite basketball players. J. Hum. Movement Stud. 15:119-128. 1988.","page":"280–285","source":"journals.lww.com","title":"Hormonal and biochemical changes in elite basketball players during a 4-week training camp","volume":"13","author":[{"family":"Hoffman","given":"Jay R."},{"family":"Epstein","given":"Shmuel"},{"family":"Yarom","given":"Yoni"},{"family":"Zigel","given":"Levanna"},{"family":"Einbinder","given":"Merav"}],"issued":{"date-parts":[["1999",8]]}}}],"schema":"https://github.com/citation-style-language/schema/raw/master/csl-citation.json"} </w:instrText>
      </w:r>
      <w:r w:rsidR="006A19C7">
        <w:rPr>
          <w:rFonts w:ascii="Times New Roman" w:hAnsi="Times New Roman" w:cs="Times New Roman"/>
          <w:noProof/>
        </w:rPr>
        <w:fldChar w:fldCharType="separate"/>
      </w:r>
      <w:r w:rsidR="006A19C7">
        <w:rPr>
          <w:rFonts w:ascii="Times New Roman" w:hAnsi="Times New Roman" w:cs="Times New Roman"/>
          <w:noProof/>
        </w:rPr>
        <w:t>(Hoffman et al., 1999)</w:t>
      </w:r>
      <w:r w:rsidR="006A19C7">
        <w:rPr>
          <w:rFonts w:ascii="Times New Roman" w:hAnsi="Times New Roman" w:cs="Times New Roman"/>
          <w:noProof/>
        </w:rPr>
        <w:fldChar w:fldCharType="end"/>
      </w:r>
      <w:r>
        <w:rPr>
          <w:rFonts w:ascii="Times New Roman" w:hAnsi="Times New Roman" w:cs="Times New Roman"/>
        </w:rPr>
        <w:t xml:space="preserve">. In agreeance, </w:t>
      </w:r>
      <w:r w:rsidRPr="005C228B">
        <w:rPr>
          <w:rFonts w:ascii="Times New Roman" w:hAnsi="Times New Roman" w:cs="Times New Roman"/>
        </w:rPr>
        <w:t>He et al</w:t>
      </w:r>
      <w:r>
        <w:rPr>
          <w:rFonts w:ascii="Times New Roman" w:hAnsi="Times New Roman" w:cs="Times New Roman"/>
        </w:rPr>
        <w:t xml:space="preserve">. reported increases in </w:t>
      </w:r>
      <w:proofErr w:type="spellStart"/>
      <w:r>
        <w:rPr>
          <w:rFonts w:ascii="Times New Roman" w:hAnsi="Times New Roman" w:cs="Times New Roman"/>
        </w:rPr>
        <w:t>sal</w:t>
      </w:r>
      <w:proofErr w:type="spellEnd"/>
      <w:r w:rsidR="009F3A2D">
        <w:rPr>
          <w:rFonts w:ascii="Times New Roman" w:hAnsi="Times New Roman" w:cs="Times New Roman"/>
        </w:rPr>
        <w:t>-C</w:t>
      </w:r>
      <w:r>
        <w:rPr>
          <w:rFonts w:ascii="Times New Roman" w:hAnsi="Times New Roman" w:cs="Times New Roman"/>
        </w:rPr>
        <w:t xml:space="preserve"> in the training phase leading up to competition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{"citationID":"d6tlpZsG","properties":{"formattedCitation":"(He et al., 2010)","plainCitation":"(He et al., 2010)","noteIndex":0},"citationItems":[{"id":388,"uris":["http://zotero.org/users/6327055/items/986GWR3T"],"itemData":{"id":388,"type":"article-journal","container-title":"European Journal of Applied Physiology","DOI":"10.1007/s00421-010-1574-8","ISSN":"1439-6319, 1439-6327","issue":"5","journalAbbreviation":"Eur J Appl Physiol","language":"en","page":"989-995","source":"DOI.org (Crossref)","title":"Relationships among salivary immunoglobulin a, lactoferrin and cortisol in basketball players during a basketball season","volume":"110","author":[{"family":"He","given":"Cheng-Shiun"},{"family":"Tsai","given":"Min-Lung"},{"family":"Ko","given":"Miau-Hwa"},{"family":"Chang","given":"Chen-Kang"},{"family":"Fang","given":"Shih-Hua"}],"issued":{"date-parts":[["2010",11]]}}}],"schema":"https://github.com/citation-style-language/schema/raw/master/csl-citation.json"} </w:instrText>
      </w:r>
      <w:r w:rsidR="006A19C7">
        <w:rPr>
          <w:rFonts w:ascii="Times New Roman" w:hAnsi="Times New Roman" w:cs="Times New Roman"/>
          <w:noProof/>
        </w:rPr>
        <w:fldChar w:fldCharType="separate"/>
      </w:r>
      <w:r w:rsidR="006A19C7">
        <w:rPr>
          <w:rFonts w:ascii="Times New Roman" w:hAnsi="Times New Roman" w:cs="Times New Roman"/>
          <w:noProof/>
        </w:rPr>
        <w:t>(He et al., 2010)</w:t>
      </w:r>
      <w:r w:rsidR="006A19C7">
        <w:rPr>
          <w:rFonts w:ascii="Times New Roman" w:hAnsi="Times New Roman" w:cs="Times New Roman"/>
          <w:noProof/>
        </w:rPr>
        <w:fldChar w:fldCharType="end"/>
      </w:r>
      <w:r>
        <w:rPr>
          <w:rFonts w:ascii="Times New Roman" w:hAnsi="Times New Roman" w:cs="Times New Roman"/>
        </w:rPr>
        <w:t xml:space="preserve">. The findings of </w:t>
      </w:r>
      <w:r w:rsidRPr="005C228B">
        <w:rPr>
          <w:rFonts w:ascii="Times New Roman" w:hAnsi="Times New Roman" w:cs="Times New Roman"/>
        </w:rPr>
        <w:t>Andre et al.</w:t>
      </w:r>
      <w:r>
        <w:rPr>
          <w:rFonts w:ascii="Times New Roman" w:hAnsi="Times New Roman" w:cs="Times New Roman"/>
        </w:rPr>
        <w:t xml:space="preserve"> displayed an increase in </w:t>
      </w:r>
      <w:proofErr w:type="spellStart"/>
      <w:r w:rsidR="009F3A2D">
        <w:rPr>
          <w:rFonts w:ascii="Times New Roman" w:hAnsi="Times New Roman" w:cs="Times New Roman"/>
        </w:rPr>
        <w:t>sal</w:t>
      </w:r>
      <w:proofErr w:type="spellEnd"/>
      <w:r w:rsidR="009F3A2D">
        <w:rPr>
          <w:rFonts w:ascii="Times New Roman" w:hAnsi="Times New Roman" w:cs="Times New Roman"/>
        </w:rPr>
        <w:t>-C</w:t>
      </w:r>
      <w:r>
        <w:rPr>
          <w:rFonts w:ascii="Times New Roman" w:hAnsi="Times New Roman" w:cs="Times New Roman"/>
        </w:rPr>
        <w:t xml:space="preserve"> levels during the preseason phase in elite Division </w:t>
      </w:r>
      <w:r w:rsidR="00E74A24">
        <w:rPr>
          <w:rFonts w:ascii="Times New Roman" w:hAnsi="Times New Roman" w:cs="Times New Roman"/>
        </w:rPr>
        <w:t>I</w:t>
      </w:r>
      <w:r>
        <w:rPr>
          <w:rFonts w:ascii="Times New Roman" w:hAnsi="Times New Roman" w:cs="Times New Roman"/>
        </w:rPr>
        <w:t xml:space="preserve"> basketball players, despite no changes in </w:t>
      </w:r>
      <w:proofErr w:type="spellStart"/>
      <w:r w:rsidR="009F3A2D">
        <w:rPr>
          <w:rFonts w:ascii="Times New Roman" w:hAnsi="Times New Roman" w:cs="Times New Roman"/>
        </w:rPr>
        <w:t>sal</w:t>
      </w:r>
      <w:proofErr w:type="spellEnd"/>
      <w:r w:rsidR="009F3A2D">
        <w:rPr>
          <w:rFonts w:ascii="Times New Roman" w:hAnsi="Times New Roman" w:cs="Times New Roman"/>
        </w:rPr>
        <w:t>-T</w:t>
      </w:r>
      <w:r>
        <w:rPr>
          <w:rFonts w:ascii="Times New Roman" w:hAnsi="Times New Roman" w:cs="Times New Roman"/>
        </w:rPr>
        <w:t xml:space="preserve"> or T:C ratio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{"citationID":"YuMfqrme","properties":{"formattedCitation":"(Andre et al., 2018)","plainCitation":"(Andre et al., 2018)","noteIndex":0},"citationItems":[{"id":127,"uris":["http://zotero.org/users/6327055/items/NJLLP2DZ"],"itemData":{"id":127,"type":"article-journal","abstract":"International Journal of Exercise Science 11(6): 439-451, 2018. The purpose of this study was to monitor weekly the salivary free testosterone (FT), cortisol (C), and the FT/C ratio in elite men NCAA Division I basketball athletes across an entire season. Twelve athletes gave salivary samples for 30 consecutive weeks, beginning in the pre-season and ending one week after the end of post-season competition. Samples were assayed for FT and C. Additionally, a composite value (CBD) composed of Z-scores for weekly practice minutes, game minutes, resistance training repetitions, academic demands, and travel schedules was determined. One-way RM ANOVAs were used to determine which weekly values were different (α=.05) from the season mean. For FT, 10 weeks were different from the season average (5.1 nmol/L). For C, 11 weeks were different from the season mean (9.0 nmol/L). For FT/C, weeks 7 (p=.007), 17 (p=.007), and 25 (p=.005) were different from the season mean (FT/C=0.69). During Wk7, at the start of regular season play, FT/C was above, while CBD was below the season means. During Wk17, which was leading into a series of important conference games, FT/C was below, while CBD was not different from season means. During Wk25, which was one week before the conference tournament, FT/C was below, while CBD was above season means. The methods of this study can be used for monitoring athlete responses and adaptations to sport-specific training and competition; specifically, for evaluating responses to challenging pre-season training, recovery for regular season play, and how they physiologically cope with the competitive season.","container-title":"International Journal of Exercise Science","issue":"6","language":"en","note":"Purpose: Monitor weekly salivary biomarkers in elite men NCAA Division 1 basketball players throughout an entire season. Additionally, the salivary biomarkers were compared to other demands for collegiate basketball training and competition, to examin their relationships. \nResearch Question: What is the weekly hormonal response to training? How do other stimuli within the magnitude of the training sessions and aspects of the season effect the hormonal response? \nMethods \nStudy Design: This study was observational with a colllection of saliva upon arrival from each participant prior to the afternoon practice across 30 weeks of the training and competitive season. Aspects such as playing/practice minutes, travel, resistance exercise volume, and academia were collected. \nSample: 12 male NCAA Division 1 American collegiate basketball student athletes \nProtocol: Salivary sample at rest prior to the afternoon practice (1300-1500hrs) in the middle of the week for 27 weeks with the 30 week season. Sample collection began one week before pre-season and concluded one week after post-season. No eating, brushing teeth, or consuming any drink other than water 1 hour prior to collection. Mouth rinse with water and resting for 5 minutes and finally an oral swab to hold in their mouth for 2 minutes.\nValidity/Reliabilty Data: Saliva has been shown to be highly correlated with plasma or serum samples. \nData Collection Procedures: Samples were frozen at -80 degress Celsius. Enzyme immunoassay kits using 96 well microtitre plates from Salimetrics. Separate assay for each athlete. Playing minutes, practice minutes, resistance training volume (total repetitions), travel schedules (scale values based on the time getting back from the trip - 1 = overnight bus before midnight, 2 = overnight flight, 5 = multiple day trip with flight), and academic demands (scale generalized so 0 = no class, 2 = normal academic week, 4 = exam period) were collected. All variables converted to Z scores. \nStatistical Analyses: IBM SPSS 24, 324 total samples with 20 missing from absence and replaced with the team's average for that week. Verification of all assumptions and a 1 way RMANOVA with LSD pairwise comparisons to determine which weekly values were different from the season mean. Relationships between team FT, C, FT/C and team CBD (collegiate basketball demands) scores, and their individual components, throughout the season was done through Pearson correlations. Significant set at 0.05. \nFindings: The FT (free testosterone) was seen to be different from the season mean in 10 weeks, C (cortisol) was different in 11 weeks, and FT/C (FT/C ratio) was different in weeks 7 (more than 3 SD above with CBD significantly below season averages), 17-before important games (more than 2.5 SD below season average and no difference in CBD), and 25-before conference tournament (FT/C more than 1 SD below and CBD significantly above season averages). There was a significant negative correlation between FT/C and game minutes. \nConclusions: The increases in C at the beginning is likely due to the intense preseason. The large increase in FT/C in week 7 suggests that the athletes were recovered from preseason prior to the first week of regular season competition but there was no increase in FT meaning there was a reduction in C. The decrease in FT/C at week 17 could suggest that the season was beginning to have an effect physiologically on the athletes and was supported by the negative correlation of FT/C and game minutes. There was another decrease in FT/C at the start of postseason competition but a return to baseline once competition play stopped. This is likely due to the decreases in FT leading to the reduction in FT/C but C also varied significantly through the collection showing that the demands are stressful. The CBD was very unpredictable but when examined individually a significant inverse correlation between FT/C and game minutes was found. Monitoring FT/C changes may provide insight into health, performance, and recovery. \nFurther Research: Collect performance data in conjuction with the biomarker samples to examine if performance changes occur and relate to the biomarkers. \nRelevant Studies: \nGaviglio CM, Cook CJ. Relationship between midweek training measures of testosterone and cortisol concentrations and game outcome in professional rugby union matches. J Strength Cond Res 28(12):3447-3452, 2014.\nBalsalobre-Fernández C, Tejero-González CM, del Campo-Vecino J. Relationships between training load, salivary cortisol responses and performance during season training in middle and long distance runners. PLoS ONE 9(8), 2014.\nHoffman JR, Epstein S, Yarom Y, Zigel L, Einbinder M. Hormonal and biochemical changes in elite basketball players during a 4-week training camp. J Strength Cond Res 13(3):280-285, 1999.\nKraemer WJ, Ratamess NA. Hormonal responses and adaptations to resistance exercise and training. Sports Med 35(4):339-361, 2005.","page":"439-451","source":"Zotero","title":"Weekly salivary biomarkers across a season for elite men collegiate basketball players","volume":"11","author":[{"family":"Andre","given":"Matthew J"},{"family":"Fry","given":"Andrew C"},{"family":"Luebbers","given":"Paul E"},{"family":"Hudy","given":"Andrea"},{"family":"Dietz","given":"Partricia R"},{"family":"Cain","given":"Glenn J"}],"issued":{"date-parts":[["2018"]]}}}],"schema":"https://github.com/citation-style-language/schema/raw/master/csl-citation.json"} </w:instrText>
      </w:r>
      <w:r w:rsidR="006A19C7">
        <w:rPr>
          <w:rFonts w:ascii="Times New Roman" w:hAnsi="Times New Roman" w:cs="Times New Roman"/>
          <w:noProof/>
        </w:rPr>
        <w:fldChar w:fldCharType="separate"/>
      </w:r>
      <w:r w:rsidR="006A19C7">
        <w:rPr>
          <w:rFonts w:ascii="Times New Roman" w:hAnsi="Times New Roman" w:cs="Times New Roman"/>
          <w:noProof/>
        </w:rPr>
        <w:t>(Andre et al., 2018)</w:t>
      </w:r>
      <w:r w:rsidR="006A19C7">
        <w:rPr>
          <w:rFonts w:ascii="Times New Roman" w:hAnsi="Times New Roman" w:cs="Times New Roman"/>
          <w:noProof/>
        </w:rPr>
        <w:fldChar w:fldCharType="end"/>
      </w:r>
      <w:r>
        <w:rPr>
          <w:rFonts w:ascii="Times New Roman" w:hAnsi="Times New Roman" w:cs="Times New Roman"/>
        </w:rPr>
        <w:t xml:space="preserve">. Furthermore, </w:t>
      </w:r>
      <w:r w:rsidR="009F3A2D">
        <w:rPr>
          <w:rFonts w:ascii="Times New Roman" w:hAnsi="Times New Roman" w:cs="Times New Roman"/>
        </w:rPr>
        <w:t>C</w:t>
      </w:r>
      <w:r>
        <w:rPr>
          <w:rFonts w:ascii="Times New Roman" w:hAnsi="Times New Roman" w:cs="Times New Roman"/>
        </w:rPr>
        <w:t xml:space="preserve"> levels over the course of a </w:t>
      </w:r>
      <w:r>
        <w:rPr>
          <w:rFonts w:ascii="Times New Roman" w:hAnsi="Times New Roman" w:cs="Times New Roman"/>
        </w:rPr>
        <w:lastRenderedPageBreak/>
        <w:t xml:space="preserve">season in professional basketball players fluctuated with the T:C ratio diminished by the end of the season </w:t>
      </w:r>
      <w:r w:rsidR="006A19C7">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{"citationID":"3K0pNq16","properties":{"formattedCitation":"(Mart\\uc0\\u237{}nez et al., 2010)","plainCitation":"(Martínez et al., 2010)","noteIndex":0},"citationItems":[{"id":154,"uris":["http://zotero.org/users/6327055/items/RA3DVVYT"],"itemData":{"id":154,"type":"article-journal","container-title":"Journal of Strength and Conditioning Research","DOI":"10.1519/JSC.0b013e3181ce2423","ISSN":"1064-8011","issue":"4","language":"en","page":"1102-1108","source":"DOI.org (Crossref)","title":"Testosterone and cortisol changes in professional basketball players through a season competition","volume":"24","author":[{"family":"Martínez","given":"Alfredo Cordova"},{"family":"Seco Calvo","given":"Jesus"},{"family":"Tur Marí","given":"Josep A"},{"family":"Abecia Inchaurregui","given":"Luis Carlos"},{"family":"Orella","given":"Enrique Echevarría"},{"family":"Biescas","given":"Antoni Pons"}],"issued":{"date-parts":[["2010",4]]}}}],"schema":"https://github.com/citation-style-language/schema/raw/master/csl-citation.json"} </w:instrText>
      </w:r>
      <w:r w:rsidR="006A19C7">
        <w:rPr>
          <w:rFonts w:ascii="Times New Roman" w:hAnsi="Times New Roman" w:cs="Times New Roman"/>
        </w:rPr>
        <w:fldChar w:fldCharType="separate"/>
      </w:r>
      <w:r w:rsidR="006A19C7" w:rsidRPr="006A19C7">
        <w:rPr>
          <w:rFonts w:ascii="Times New Roman" w:hAnsi="Times New Roman" w:cs="Times New Roman"/>
        </w:rPr>
        <w:t>(Martínez et al., 2010)</w:t>
      </w:r>
      <w:r w:rsidR="006A19C7">
        <w:rPr>
          <w:rFonts w:ascii="Times New Roman" w:hAnsi="Times New Roman" w:cs="Times New Roman"/>
        </w:rPr>
        <w:fldChar w:fldCharType="end"/>
      </w:r>
      <w:r>
        <w:rPr>
          <w:rFonts w:ascii="Times New Roman" w:hAnsi="Times New Roman" w:cs="Times New Roman"/>
        </w:rPr>
        <w:t xml:space="preserve">. Likewise, </w:t>
      </w:r>
      <w:r w:rsidRPr="005C228B">
        <w:rPr>
          <w:rFonts w:ascii="Times New Roman" w:hAnsi="Times New Roman" w:cs="Times New Roman"/>
        </w:rPr>
        <w:t>Schelling et al</w:t>
      </w:r>
      <w:r>
        <w:rPr>
          <w:rFonts w:ascii="Times New Roman" w:hAnsi="Times New Roman" w:cs="Times New Roman"/>
        </w:rPr>
        <w:t xml:space="preserve">. found </w:t>
      </w:r>
      <w:r w:rsidR="009F3A2D">
        <w:rPr>
          <w:rFonts w:ascii="Times New Roman" w:hAnsi="Times New Roman" w:cs="Times New Roman"/>
        </w:rPr>
        <w:t>C</w:t>
      </w:r>
      <w:r>
        <w:rPr>
          <w:rFonts w:ascii="Times New Roman" w:hAnsi="Times New Roman" w:cs="Times New Roman"/>
        </w:rPr>
        <w:t xml:space="preserve"> levels remaining constant while a reduction in </w:t>
      </w:r>
      <w:r w:rsidR="009F3A2D">
        <w:rPr>
          <w:rFonts w:ascii="Times New Roman" w:hAnsi="Times New Roman" w:cs="Times New Roman"/>
        </w:rPr>
        <w:t>T</w:t>
      </w:r>
      <w:r>
        <w:rPr>
          <w:rFonts w:ascii="Times New Roman" w:hAnsi="Times New Roman" w:cs="Times New Roman"/>
        </w:rPr>
        <w:t xml:space="preserve"> was obtained leading to a decrease in T:C ratio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{"citationID":"w2LdAmIR","properties":{"formattedCitation":"(Schelling et al., 2015)","plainCitation":"(Schelling et al., 2015)","noteIndex":0},"citationItems":[{"id":392,"uris":["http://zotero.org/users/6327055/items/YH7H8GL2"],"itemData":{"id":392,"type":"article-journal","abstract":"Schelling, X, Calleja-Gonza´ lez, J, Torres-Ronda, L, and Terrados, N. Using testosterone and cortisol as biomarker for training individualization in elite basketball. A 4-year follow-up study. J Strength Cond Res 29(2): 368–378, 2015—The purpose of this study was to determine the responses of testosterone and cortisol, with special reference to playing positions, playing time (PT), and phase of the season. We performed a follow-up study during 4 consecutive seasons to investigate the effects of PT, positional role, and phase of the season on anabolic-catabolic biomarkers (plasma total testosterone -TT- and cortisol -C-) on 20 professional male basketball players (27.0 6 4.2 years; 24.4 6 1.2 kg$m22). First blood samples were collected right after the off-season period and considered as baseline. Samples were taken periodically every 4–6 weeks, always after a 24- to 36-hour break after the last game played. Statistical procedures were nonparametric mainly. Hormonal status was playing position-dependent, power forward (PF) showed the lowest TT values (median 6 interquartile range [IQR]; PF: 18.1 6 4.9; nmol$L21), and small forwards showed the highest ones of cortisol (0.55 6 0.118 mmol$L21). Players who played between 13 and 25 minutes per game showed the highest values of TT (22.8 6 6.9 nmol$L21) and TT/C (47.1 6 21.2). March and April showed the most catabolic or stressed hormonal state (low TT/C values and high ones of cortisol) and that is necessary to take into account according to PT (.25-minute per game) and speciﬁc playing position. Monitoring plasma TT and cortisol is recommended to prevent excessive stress caused by professional basketball season requirements.","container-title":"Journal of Strength and Conditioning Research","issue":"2","language":"en","page":"368-378","source":"Zotero","title":"Using testosterone and cortisol as biomarker for training individualization in eleite basketball: a 4-year follow-up study","volume":"29","author":[{"family":"Schelling","given":"Xavi"},{"family":"Lez","given":"Julio Calleja-Gonza"},{"family":"Torres-Ronda","given":"Lorena"},{"family":"Terrados","given":"Nicola S"}],"issued":{"date-parts":[["2015"]]}}}],"schema":"https://github.com/citation-style-language/schema/raw/master/csl-citation.json"} </w:instrText>
      </w:r>
      <w:r w:rsidR="006A19C7">
        <w:rPr>
          <w:rFonts w:ascii="Times New Roman" w:hAnsi="Times New Roman" w:cs="Times New Roman"/>
          <w:noProof/>
        </w:rPr>
        <w:fldChar w:fldCharType="separate"/>
      </w:r>
      <w:r w:rsidR="006A19C7">
        <w:rPr>
          <w:rFonts w:ascii="Times New Roman" w:hAnsi="Times New Roman" w:cs="Times New Roman"/>
          <w:noProof/>
        </w:rPr>
        <w:t>(Schelling et al., 2015)</w:t>
      </w:r>
      <w:r w:rsidR="006A19C7">
        <w:rPr>
          <w:rFonts w:ascii="Times New Roman" w:hAnsi="Times New Roman" w:cs="Times New Roman"/>
          <w:noProof/>
        </w:rPr>
        <w:fldChar w:fldCharType="end"/>
      </w:r>
      <w:r>
        <w:rPr>
          <w:rFonts w:ascii="Times New Roman" w:hAnsi="Times New Roman" w:cs="Times New Roman"/>
        </w:rPr>
        <w:t xml:space="preserve">. </w:t>
      </w:r>
    </w:p>
    <w:p w14:paraId="45C5110A" w14:textId="0D2FDADE" w:rsidR="003F3D08" w:rsidRDefault="003F3D08" w:rsidP="00F829B9">
      <w:pPr>
        <w:pStyle w:val="Heading2"/>
      </w:pPr>
      <w:bookmarkStart w:id="38" w:name="_Toc99267617"/>
      <w:r>
        <w:t>Assessment of Neuromuscular Performance</w:t>
      </w:r>
      <w:bookmarkEnd w:id="38"/>
    </w:p>
    <w:p w14:paraId="342B8460" w14:textId="0AFE3265" w:rsidR="003F3D08" w:rsidRPr="00FC08AB" w:rsidRDefault="003F3D08" w:rsidP="00FC08AB">
      <w:pPr>
        <w:pStyle w:val="Heading3"/>
        <w:spacing w:line="480" w:lineRule="auto"/>
        <w:rPr>
          <w:rFonts w:ascii="Times New Roman" w:hAnsi="Times New Roman" w:cs="Times New Roman"/>
          <w:b/>
          <w:bCs/>
          <w:i/>
          <w:iCs/>
          <w:color w:val="000000" w:themeColor="text1"/>
        </w:rPr>
      </w:pPr>
      <w:bookmarkStart w:id="39" w:name="_Toc99267618"/>
      <w:r w:rsidRPr="00FC08AB">
        <w:rPr>
          <w:rFonts w:ascii="Times New Roman" w:hAnsi="Times New Roman" w:cs="Times New Roman"/>
          <w:b/>
          <w:bCs/>
          <w:i/>
          <w:iCs/>
          <w:color w:val="000000" w:themeColor="text1"/>
        </w:rPr>
        <w:t>Countermovement Jump</w:t>
      </w:r>
      <w:bookmarkEnd w:id="39"/>
    </w:p>
    <w:p w14:paraId="04822541" w14:textId="174E093A" w:rsidR="003F3D08" w:rsidRDefault="003F3D08" w:rsidP="003F3D08">
      <w:pPr>
        <w:spacing w:line="480" w:lineRule="auto"/>
        <w:jc w:val="both"/>
        <w:rPr>
          <w:rFonts w:ascii="Times New Roman" w:hAnsi="Times New Roman" w:cs="Times New Roman"/>
        </w:rPr>
      </w:pPr>
      <w:r>
        <w:rPr>
          <w:rFonts w:ascii="Times New Roman" w:hAnsi="Times New Roman" w:cs="Times New Roman"/>
        </w:rPr>
        <w:tab/>
        <w:t xml:space="preserve">A common test utilized to measure neuromuscular function in the effort to evaluate performance based indices in elite athletic settings has been shown to be the countermovement jump (CMJ)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{"citationID":"C8GHuz9P","properties":{"formattedCitation":"(Halson, 2014; A. Heishman, Daub, et al., 2020)","plainCitation":"(Halson, 2014; A. Heishman, Daub, et al., 2020)","noteIndex":0},"citationItems":[{"id":265,"uris":["http://zotero.org/users/6327055/items/E6RD28YW"],"itemData":{"id":265,"type":"article-journal","container-title":"Sports Medicine","DOI":"10.1007/s40279-014-0253-z","ISSN":"0112-1642, 1179-2035","issue":"S2","journalAbbreviation":"Sports Med","language":"en","page":"139-147","source":"DOI.org (Crossref)","title":"Monitoring training load to understand fatigue in athletes","volume":"44","author":[{"family":"Halson","given":"Shona L."}],"issued":{"date-parts":[["2014",11]]}}},{"id":15,"uris":["http://zotero.org/users/6327055/items/JSD3CII9"],"itemData":{"id":15,"type":"article-journal","abstract":"Heishman,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sidR="006A19C7">
        <w:rPr>
          <w:rFonts w:ascii="Times New Roman" w:hAnsi="Times New Roman" w:cs="Times New Roman"/>
          <w:noProof/>
        </w:rPr>
        <w:fldChar w:fldCharType="separate"/>
      </w:r>
      <w:r w:rsidR="00546507">
        <w:rPr>
          <w:rFonts w:ascii="Times New Roman" w:hAnsi="Times New Roman" w:cs="Times New Roman"/>
          <w:noProof/>
        </w:rPr>
        <w:t>(Halson, 2014; A. Heishman, Daub, et al., 2020)</w:t>
      </w:r>
      <w:r w:rsidR="006A19C7">
        <w:rPr>
          <w:rFonts w:ascii="Times New Roman" w:hAnsi="Times New Roman" w:cs="Times New Roman"/>
          <w:noProof/>
        </w:rPr>
        <w:fldChar w:fldCharType="end"/>
      </w:r>
      <w:r>
        <w:rPr>
          <w:rFonts w:ascii="Times New Roman" w:hAnsi="Times New Roman" w:cs="Times New Roman"/>
        </w:rPr>
        <w:t xml:space="preserve">. The incorporation of this test may be useful in monitoring changes in performance in response to training. The CMJ test incorporates variables relating to lower extremity functionality without creating further fatigue and is a component of the game of basketball. The muscle action performed in the CMJ is the stretch-shortening cycle (SSC), specifically the slow-SSC (&gt;250 milliseconds)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{"citationID":"XSf4oE7W","properties":{"formattedCitation":"(Gathercole et al., 2015; Komi, 2000; Martinez, 2016)","plainCitation":"(Gathercole et al., 2015; Komi, 2000; Martinez, 2016)","noteIndex":0},"citationItems":[{"id":101,"uris":["http://zotero.org/users/6327055/items/8C8J7JQQ"],"itemData":{"id":101,"type":"article-journal","abstract":"Purpose: To examine the reliability and magnitude of change after fatiguing exercise in the countermovement-jump (CMJ) test and determine its suitability for the assessment of fatigue-induced changes in neuromuscular (NM) function. A secondary aim was to examine the usefulness of a set of alternative CMJ variables (CMJ-ALT) related to CMJ mechanics. Methods: Eleven male college-level team-sport athletes performed 6 CMJ trials on 6 occasions. A total of 22 variables, 16 typical (CMJ-TYP) and 6 CMJ-ALT, were examined. CMJ reproducibility (coefficient of variation; CV) was examined on participants’ first 3 visits. The next 3 visits (at 0, 24, and 72 h postexercise) followed a fatiguing high-intensity intermittent-exercise running protocol. Meaningful differences in CMJ performance were examined through effect sizes (ES) and comparisons to interday CV. Results: Most CMJ variables exhibited intraday (n = 20) and interday (n = 21) CVs of &lt;10%. ESs ranging from trivial to moderate were observed in 18 variables at 0 h (immediately postfatigue). Mean power, peak velocity, flight time, force at zero velocity, and area under the force–velocity trace showed changes greater than the CV in most individuals. At 24 h, most variables displayed trends toward a return to baseline. At 72 h, small increases were observed in time-related CMJ variables, with mean changes also greater than the CV. Conclusions: The CMJ test appears a suitable athlete-monitoring method for NM-fatigue detection. However, the current approach (ie, CMJ-TYP) may overlook a number of key fatigue-related changes, and so practitioners are advised to also adopt variables that reflect the NM strategy used.","container-title":"International Journal of Sports Physiology and Performance","DOI":"10.1123/ijspp.2013-0413","ISSN":"1555-0265, 1555-0273","issue":"1","language":"en","page":"84-92","source":"DOI.org (Crossref)","title":"Alternative countermovement-jump analysis to quantify acute neuromuscular fatigue","volume":"10","author":[{"family":"Gathercole","given":"Rob"},{"family":"Sporer","given":"Ben"},{"family":"Stellingwerff","given":"Trent"},{"family":"Sleivert","given":"Gord"}],"issued":{"date-parts":[["2015",1]]}}},{"id":53,"uris":["http://zotero.org/users/6327055/items/QURPC86R"],"itemData":{"id":53,"type":"article-journal","abstract":"Stretch-shortening cycle (SSC) in human skeletal muscle gives unique possibilities to study normal and fatigued muscle function. The in vivo force measurement systems, buckle transducer technique and optic \"ber technique, have revealed that, as compared to a pure concentric action, a non-fatiguing SSC exercise demonstrates considerable performance enhancement with increased force at a given shortening velocity. Characteristic to this phenomenon is very low EMG-activity in the concentric phase of the cycle, but a very pronounced contribution of the short-latency stretch-re#ex component. This re#ex contributes signi\"cantly to force generation during the transition (stretch-shortening) phase in SSC action such as hopping and running. The amplitude of the stretch re#ex component * and the subsequent force enhancement * may vary according to the increased stretch-load but also to the level of fatigue. While moderate SSC fatigue may result in slight potentiation, the exhaustive SSC fatigue can dramatically reduce the same re#ex contribution. SSC fatigue is a useful model to study the processes of reversible muscle damage and how they interact with muscle mechanics, joint and muscle sti!ness. All these parameters and their reduction during SSC fatigue changes sti!ness regulation through direct in#uences on muscle spindle (disfacilitation), and by activating III and IV a!erent nerve endings (proprioseptic inhibition). The resulting reduced stretch re#ex sensitivity and muscle sti!ness deteriorate the force potentiation mechanisms. Recovery of these processes is long lasting and follows the bimodal trend of recovery. Direct mechanical disturbances in the sarcomere structural proteins, such as titin, may also occur as a result of an exhaustive SSC exercise bout. 2000 Elsevier Science Ltd. All rights reserved.","container-title":"Journal of Biomechanics","DOI":"10.1016/S0021-9290(00)00064-6","ISSN":"00219290","issue":"10","journalAbbreviation":"Journal of Biomechanics","language":"en","page":"1197-1206","source":"DOI.org (Crossref)","title":"Stretch-shortening cycle: A powerful model to study normal and fatigued muscle","title-short":"Stretch-shortening cycle","volume":"33","author":[{"family":"Komi","given":"Paavo V"}],"issued":{"date-parts":[["2000",10]]}}},{"id":359,"uris":["http://zotero.org/users/6327055/items/EEUVZV8E"],"itemData":{"id":359,"type":"article-journal","abstract":"The purpose of this article was to provide practitioners with an improved understanding of the reactive strength index (RSI), reactive strength index modified (RSImod), and the ratio of flight time to contraction time (FT:CT) as they pertain to athlete monitoring and sports performance. Effective athlete monitoring should inform and impact decision making, regarding the status of athletes at the individual level, in a time-sensitive manner specific to their current training phase. Athlete monitoring should be valid, reliable, and sensitive to typical error value that allows for real changes in status to be reflected in outcomes that accurately distinguish “signal from noise”. Vertical jump monitoring is considered to be a key indicator and as such is included in many strength and conditioning programs. The reactive strength index (RSI), reactive strength index modified (RSImod), and the ratio of flight time to contraction time (FT:CT) are jump tests being increasingly used to monitor readiness through the use of either a contact mat or a force plate. The RSI is measured utilizing drop jumps (DJ) and is specific to fast stretch-shortening cycle (SSC) activity while RSImod and FT:CT are measured using a countermovement jump (CMJ) and are specific to slow SSC. Because of the complex nature of neuromuscular fatigue RSImod and FT:CT may provide information that typical CMJ tests of jump height and power cannot accurately reflect. Therefore RSI, RSImod, and FT:CT may provide additional insight into neuromuscular status, reflecting alterations in neuromuscular strategy, beyond jump height.","container-title":"Journal of Australian Strength and Conditioning","issue":"5","language":"en","page":"37-41","source":"Zotero","title":"The use of reactive strength index, reactive strength index modified, and flight time:contraction time as monitoring tools","volume":"24","author":[{"family":"Martinez","given":"Daniel Bryant"}],"issued":{"date-parts":[["2016"]]}}}],"schema":"https://github.com/citation-style-language/schema/raw/master/csl-citation.json"} </w:instrText>
      </w:r>
      <w:r w:rsidR="006A19C7">
        <w:rPr>
          <w:rFonts w:ascii="Times New Roman" w:hAnsi="Times New Roman" w:cs="Times New Roman"/>
          <w:noProof/>
        </w:rPr>
        <w:fldChar w:fldCharType="separate"/>
      </w:r>
      <w:r w:rsidR="006A19C7">
        <w:rPr>
          <w:rFonts w:ascii="Times New Roman" w:hAnsi="Times New Roman" w:cs="Times New Roman"/>
          <w:noProof/>
        </w:rPr>
        <w:t>(Gathercole et al., 2015; Komi, 2000; Martinez, 2016)</w:t>
      </w:r>
      <w:r w:rsidR="006A19C7">
        <w:rPr>
          <w:rFonts w:ascii="Times New Roman" w:hAnsi="Times New Roman" w:cs="Times New Roman"/>
          <w:noProof/>
        </w:rPr>
        <w:fldChar w:fldCharType="end"/>
      </w:r>
      <w:r>
        <w:rPr>
          <w:rFonts w:ascii="Times New Roman" w:hAnsi="Times New Roman" w:cs="Times New Roman"/>
        </w:rPr>
        <w:t xml:space="preserve">. The SSC is characterized by three main phases consisting of a pre-activation phase, active braking phase, and shortening phase. These phases consist of the eccentric, and amortization muscle actions expressing the elastic properties and storage of energy that is released within the concentric muscle action, thereby increasing the amount of force and power production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{"citationID":"CAni6wVc","properties":{"formattedCitation":"(Komi, 2000)","plainCitation":"(Komi, 2000)","noteIndex":0},"citationItems":[{"id":53,"uris":["http://zotero.org/users/6327055/items/QURPC86R"],"itemData":{"id":53,"type":"article-journal","abstract":"Stretch-shortening cycle (SSC) in human skeletal muscle gives unique possibilities to study normal and fatigued muscle function. The in vivo force measurement systems, buckle transducer technique and optic \"ber technique, have revealed that, as compared to a pure concentric action, a non-fatiguing SSC exercise demonstrates considerable performance enhancement with increased force at a given shortening velocity. Characteristic to this phenomenon is very low EMG-activity in the concentric phase of the cycle, but a very pronounced contribution of the short-latency stretch-re#ex component. This re#ex contributes signi\"cantly to force generation during the transition (stretch-shortening) phase in SSC action such as hopping and running. The amplitude of the stretch re#ex component * and the subsequent force enhancement * may vary according to the increased stretch-load but also to the level of fatigue. While moderate SSC fatigue may result in slight potentiation, the exhaustive SSC fatigue can dramatically reduce the same re#ex contribution. SSC fatigue is a useful model to study the processes of reversible muscle damage and how they interact with muscle mechanics, joint and muscle sti!ness. All these parameters and their reduction during SSC fatigue changes sti!ness regulation through direct in#uences on muscle spindle (disfacilitation), and by activating III and IV a!erent nerve endings (proprioseptic inhibition). The resulting reduced stretch re#ex sensitivity and muscle sti!ness deteriorate the force potentiation mechanisms. Recovery of these processes is long lasting and follows the bimodal trend of recovery. Direct mechanical disturbances in the sarcomere structural proteins, such as titin, may also occur as a result of an exhaustive SSC exercise bout. 2000 Elsevier Science Ltd. All rights reserved.","container-title":"Journal of Biomechanics","DOI":"10.1016/S0021-9290(00)00064-6","ISSN":"00219290","issue":"10","journalAbbreviation":"Journal of Biomechanics","language":"en","page":"1197-1206","source":"DOI.org (Crossref)","title":"Stretch-shortening cycle: A powerful model to study normal and fatigued muscle","title-short":"Stretch-shortening cycle","volume":"33","author":[{"family":"Komi","given":"Paavo V"}],"issued":{"date-parts":[["2000",10]]}}}],"schema":"https://github.com/citation-style-language/schema/raw/master/csl-citation.json"} </w:instrText>
      </w:r>
      <w:r w:rsidR="006A19C7">
        <w:rPr>
          <w:rFonts w:ascii="Times New Roman" w:hAnsi="Times New Roman" w:cs="Times New Roman"/>
          <w:noProof/>
        </w:rPr>
        <w:fldChar w:fldCharType="separate"/>
      </w:r>
      <w:r w:rsidR="006A19C7">
        <w:rPr>
          <w:rFonts w:ascii="Times New Roman" w:hAnsi="Times New Roman" w:cs="Times New Roman"/>
          <w:noProof/>
        </w:rPr>
        <w:t>(Komi, 2000)</w:t>
      </w:r>
      <w:r w:rsidR="006A19C7">
        <w:rPr>
          <w:rFonts w:ascii="Times New Roman" w:hAnsi="Times New Roman" w:cs="Times New Roman"/>
          <w:noProof/>
        </w:rPr>
        <w:fldChar w:fldCharType="end"/>
      </w:r>
      <w:r>
        <w:rPr>
          <w:rFonts w:ascii="Times New Roman" w:hAnsi="Times New Roman" w:cs="Times New Roman"/>
        </w:rPr>
        <w:t xml:space="preserve">. The CMJ test has shown high inter-day and intra-day reliability, and specifically in basketball a reduction in variability, enhancing the reliability, was shown with the CMJ performed with hands on hips to isolate the lower extremity functioning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{"citationID":"tlhT2AK1","properties":{"formattedCitation":"(A. Heishman, Daub, et al., 2020)","plainCitation":"(A. Heishman, Daub, et al., 2020)","noteIndex":0},"citationItems":[{"id":15,"uris":["http://zotero.org/users/6327055/items/JSD3CII9"],"itemData":{"id":15,"type":"article-journal","abstract":"Heishman,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sidR="006A19C7">
        <w:rPr>
          <w:rFonts w:ascii="Times New Roman" w:hAnsi="Times New Roman" w:cs="Times New Roman"/>
          <w:noProof/>
        </w:rPr>
        <w:fldChar w:fldCharType="separate"/>
      </w:r>
      <w:r w:rsidR="00546507">
        <w:rPr>
          <w:rFonts w:ascii="Times New Roman" w:hAnsi="Times New Roman" w:cs="Times New Roman"/>
          <w:noProof/>
        </w:rPr>
        <w:t>(A. Heishman, Daub, et al., 2020)</w:t>
      </w:r>
      <w:r w:rsidR="006A19C7">
        <w:rPr>
          <w:rFonts w:ascii="Times New Roman" w:hAnsi="Times New Roman" w:cs="Times New Roman"/>
          <w:noProof/>
        </w:rPr>
        <w:fldChar w:fldCharType="end"/>
      </w:r>
      <w:r>
        <w:rPr>
          <w:rFonts w:ascii="Times New Roman" w:hAnsi="Times New Roman" w:cs="Times New Roman"/>
        </w:rPr>
        <w:t xml:space="preserve">. </w:t>
      </w:r>
    </w:p>
    <w:p w14:paraId="0FDBE1F1" w14:textId="258716C6" w:rsidR="003F3D08" w:rsidRPr="00FC08AB" w:rsidRDefault="003F3D08" w:rsidP="00F829B9">
      <w:pPr>
        <w:pStyle w:val="Heading3"/>
        <w:spacing w:line="480" w:lineRule="auto"/>
        <w:rPr>
          <w:rFonts w:ascii="Times New Roman" w:hAnsi="Times New Roman" w:cs="Times New Roman"/>
          <w:b/>
          <w:bCs/>
          <w:i/>
          <w:iCs/>
          <w:color w:val="000000" w:themeColor="text1"/>
        </w:rPr>
      </w:pPr>
      <w:bookmarkStart w:id="40" w:name="_Toc99267619"/>
      <w:r w:rsidRPr="00FC08AB">
        <w:rPr>
          <w:rFonts w:ascii="Times New Roman" w:hAnsi="Times New Roman" w:cs="Times New Roman"/>
          <w:b/>
          <w:bCs/>
          <w:i/>
          <w:iCs/>
          <w:color w:val="000000" w:themeColor="text1"/>
        </w:rPr>
        <w:t>Monitoring Neuromuscular Responses with the Countermovement Jump</w:t>
      </w:r>
      <w:bookmarkEnd w:id="40"/>
    </w:p>
    <w:p w14:paraId="01779E4A" w14:textId="0BF0B687" w:rsidR="003F3D08" w:rsidRDefault="003F3D08" w:rsidP="0051641E">
      <w:pPr>
        <w:spacing w:line="480" w:lineRule="auto"/>
        <w:jc w:val="both"/>
        <w:rPr>
          <w:rFonts w:ascii="Times New Roman" w:hAnsi="Times New Roman" w:cs="Times New Roman"/>
        </w:rPr>
      </w:pPr>
      <w:r>
        <w:rPr>
          <w:rFonts w:ascii="Times New Roman" w:hAnsi="Times New Roman" w:cs="Times New Roman"/>
        </w:rPr>
        <w:tab/>
        <w:t xml:space="preserve">Evaluations of neuromuscular changes have been assessed through the use of the CMJ test following training sessions. Jump height (JH) is a very common variable recorded and has </w:t>
      </w:r>
      <w:r>
        <w:rPr>
          <w:rFonts w:ascii="Times New Roman" w:hAnsi="Times New Roman" w:cs="Times New Roman"/>
        </w:rPr>
        <w:lastRenderedPageBreak/>
        <w:t xml:space="preserve">consistently been shown to decrease following basketball activity. For example, a decrease in JH was reported from </w:t>
      </w:r>
      <w:proofErr w:type="spellStart"/>
      <w:r w:rsidRPr="005C228B">
        <w:rPr>
          <w:rFonts w:ascii="Times New Roman" w:hAnsi="Times New Roman" w:cs="Times New Roman"/>
        </w:rPr>
        <w:t>Pliauga</w:t>
      </w:r>
      <w:proofErr w:type="spellEnd"/>
      <w:r w:rsidRPr="005C228B">
        <w:rPr>
          <w:rFonts w:ascii="Times New Roman" w:hAnsi="Times New Roman" w:cs="Times New Roman"/>
        </w:rPr>
        <w:t xml:space="preserve"> et al. (2015)</w:t>
      </w:r>
      <w:r>
        <w:rPr>
          <w:rFonts w:ascii="Times New Roman" w:hAnsi="Times New Roman" w:cs="Times New Roman"/>
        </w:rPr>
        <w:t xml:space="preserve"> from pre- to 24 and 48 hours post-game simulation, which supports the findings of </w:t>
      </w:r>
      <w:proofErr w:type="spellStart"/>
      <w:r w:rsidRPr="005C228B">
        <w:rPr>
          <w:rFonts w:ascii="Times New Roman" w:hAnsi="Times New Roman" w:cs="Times New Roman"/>
        </w:rPr>
        <w:t>Chatzinikolau</w:t>
      </w:r>
      <w:proofErr w:type="spellEnd"/>
      <w:r w:rsidRPr="005C228B">
        <w:rPr>
          <w:rFonts w:ascii="Times New Roman" w:hAnsi="Times New Roman" w:cs="Times New Roman"/>
        </w:rPr>
        <w:t xml:space="preserve"> et al. (2014)</w:t>
      </w:r>
      <w:r>
        <w:rPr>
          <w:rFonts w:ascii="Times New Roman" w:hAnsi="Times New Roman" w:cs="Times New Roman"/>
        </w:rPr>
        <w:t xml:space="preserve"> with JH decreased 48 hours post-game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{"citationID":"izAMj0re","properties":{"formattedCitation":"(Chatzinikolaou et al., 2014; Pliauga et al., 2015)","plainCitation":"(Chatzinikolaou et al., 2014; Pliauga et al., 2015)","noteIndex":0},"citationItems":[{"id":364,"uris":["http://zotero.org/users/6327055/items/WJ9UHMCD"],"itemData":{"id":364,"type":"article-journal","abstract":"Basketball incorporates intense eccentric muscle activity that induces muscle microtrauma and an inﬂammatory response. This study investigated time-dependent inﬂammatory and performance responses during a weekly microcycle after a basketball match. Twenty elite-standard players underwent a trial that comprised a match followed by a 6-day simulated in-season microcycle. The trial was preceded by a control condition that did not have a match. Blood sampling and tests of maximal-intensity exercise performance and muscle damage occurred before each condition, immediately after the match and daily thereafter for 6 consecutive days. The match induced marked increases in heart rate, lactate, ammonia, glucose, non-esteriﬁed fatty acids and triglycerides. Performance deteriorated for 24–48 h after the match, whereas knee ﬂexor and extensor soreness increased for 48 and 24 h post-match, respectively. Inﬂammatory (leukocytes, C-reactive protein, creatine kinase activity, adhesion molecules, cortisol, uric acid and cytokines) and oxidative stress (malondialdehyde, protein carbonyls, oxidised glutathione, antioxidant capacity, catalase and glutathione peroxidase) markers increased for ~24 h and subsided thereafter. Reduced glutathione declined for 24 h after exercise. These results suggest that a basketball match elicits moderate and relatively brief (~24–48 h) inﬂammatory responses, is associated with marked but short-lived performance deterioration, but is less stressful than other intermittent-type sports.","container-title":"Journal of Sports Sciences","DOI":"10.1080/02640414.2013.865251","ISSN":"0264-0414, 1466-447X","issue":"9","journalAbbreviation":"Journal of Sports Sciences","language":"en","page":"870-882","source":"DOI.org (Crossref)","title":"The microcycle of inflammation and performance changes after a basketball match","volume":"32","author":[{"family":"Chatzinikolaou","given":"Athanasios"},{"family":"Draganidis","given":"Dimitrios"},{"family":"Avloniti","given":"Alexandra"},{"family":"Karipidis","given":"Alexandros"},{"family":"Jamurtas","given":"Athanasios Z"},{"family":"Skevaki","given":"Chrysanthi L"},{"family":"Tsoukas","given":"Dimitrios"},{"family":"Sovatzidis","given":"Apostolis"},{"family":"Theodorou","given":"Anastasios"},{"family":"Kambas","given":"Antonis"},{"family":"Papassotiriou","given":"Ioannis"},{"family":"Taxildaris","given":"Kyriakos"},{"family":"Fatouros","given":"Ioannis"}],"issued":{"date-parts":[["2014",5,28]]}}},{"id":362,"uris":["http://zotero.org/users/6327055/items/MV7J8JRT"],"itemData":{"id":362,"type":"article-journal","abstract":"Despite extensive data regarding the demands of playing basketball, the relative importance of factors that cause fatigue and muscle potentiation has been explored only tentatively and remains unclear. The aim of this experimental field study was to assess changes in leg muscle power and relate these changes to body temperature modifications and indices of exercise-induced muscle damage in response to a simulated basketball game. College-level male basketball players (n=10) were divided into two teams to play a simulated basketball game. Ten-meter sprint and vertical counter-movement jump tests, core body temperature and creatine-kinase activity were measured within 48 h after the game. The participants’ body temperatures increased after a warm-up (1.9%, p&lt;0.05), continued to increase throughout the game, and reached 39.4 ± 0.4ºC after the fourth quarter (p&lt;0.05). The increase in temperature during the warm-up was accompanied by an improvement in the 10-meter sprint time (5.5%, p&lt;0.05) and jump height (3.8%, p&lt;0.05). The players were able to maintain leg power up to the fourth quarter, i.e., during the major part of the basketball game. There was a significant increase in creatine-kinase at 24 h (&gt;200%, p&lt;0.05) and 48 h (&gt;30%, p&lt;0.05) after the game, indicating damage to the players’ muscles. The basketball players’ sprint and jump performance appear to be at least in part associated with body temperature changes, which might contribute to counteract fatigue during the larger part of a basketball game.","container-title":"Journal of Human Kinetics","DOI":"10.1515/hukin-2015-0045","ISSN":"1899-7562","issue":"1","language":"en","page":"167-175","source":"DOI.org (Crossref)","title":"The effect of a simulated basketball game on players’ sprint and jump performance, temperature and muscle damage","volume":"46","author":[{"family":"Pliauga","given":"Vytautas"},{"family":"Kamandulis","given":"Sigitas"},{"family":"Dargevičiūtė","given":"Gintarė"},{"family":"Jaszczanin","given":"Jan"},{"family":"Klizienė","given":"Irina"},{"family":"Stanislovaitienė","given":"Jūratė"},{"family":"Stanislovaitis","given":"Aleksas"}],"issued":{"date-parts":[["2015",6,1]]}}}],"schema":"https://github.com/citation-style-language/schema/raw/master/csl-citation.json"} </w:instrText>
      </w:r>
      <w:r w:rsidR="006A19C7">
        <w:rPr>
          <w:rFonts w:ascii="Times New Roman" w:hAnsi="Times New Roman" w:cs="Times New Roman"/>
          <w:noProof/>
        </w:rPr>
        <w:fldChar w:fldCharType="separate"/>
      </w:r>
      <w:r w:rsidR="006A19C7">
        <w:rPr>
          <w:rFonts w:ascii="Times New Roman" w:hAnsi="Times New Roman" w:cs="Times New Roman"/>
          <w:noProof/>
        </w:rPr>
        <w:t>(Chatzinikolaou et al., 2014; Pliauga et al., 2015)</w:t>
      </w:r>
      <w:r w:rsidR="006A19C7">
        <w:rPr>
          <w:rFonts w:ascii="Times New Roman" w:hAnsi="Times New Roman" w:cs="Times New Roman"/>
          <w:noProof/>
        </w:rPr>
        <w:fldChar w:fldCharType="end"/>
      </w:r>
      <w:r>
        <w:rPr>
          <w:rFonts w:ascii="Times New Roman" w:hAnsi="Times New Roman" w:cs="Times New Roman"/>
        </w:rPr>
        <w:t xml:space="preserve">. Interestingly, the CMJ performance has been shown to be </w:t>
      </w:r>
      <w:r w:rsidR="00E32D31">
        <w:rPr>
          <w:rFonts w:ascii="Times New Roman" w:hAnsi="Times New Roman" w:cs="Times New Roman"/>
        </w:rPr>
        <w:t>a</w:t>
      </w:r>
      <w:r>
        <w:rPr>
          <w:rFonts w:ascii="Times New Roman" w:hAnsi="Times New Roman" w:cs="Times New Roman"/>
        </w:rPr>
        <w:t xml:space="preserve">ffected with an association with increases in training loads in basketball athletes. </w:t>
      </w:r>
      <w:r w:rsidRPr="005C228B">
        <w:rPr>
          <w:rFonts w:ascii="Times New Roman" w:hAnsi="Times New Roman" w:cs="Times New Roman"/>
        </w:rPr>
        <w:t>Cruz et al</w:t>
      </w:r>
      <w:r>
        <w:rPr>
          <w:rFonts w:ascii="Times New Roman" w:hAnsi="Times New Roman" w:cs="Times New Roman"/>
        </w:rPr>
        <w:t xml:space="preserve">. found that with increases in training loads there was a subsequent decrease in JH in a sample of 10 female national level players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{"citationID":"fVRfN9HB","properties":{"formattedCitation":"(Cruz et al., 2018)","plainCitation":"(Cruz et al., 2018)","noteIndex":0},"citationItems":[{"id":368,"uris":["http://zotero.org/users/6327055/items/TTXEG76N"],"itemData":{"id":368,"type":"article-journal","abstract":"The aims of this study were to describe the session rating of perceived exertion (sRPE), total quality recovery (TQR), and variations in countermovement jump (CMJ) height throughout nine weeks of a competitive period in young female basketball players. In total, 10 young female basketball players (17.2 ± 0.4 years; 71.8 ± 15.0 kg; 177.2 ± 9.5 cm) participated in this study. The sRPE and TQR were assessed in each training session, whereas the CMJ height was assessed prior to the first weekly training session. The magnitude-based inferences method was used to compare the sRPE, TQR, and CMJ height across the nine weeks of training. The training loads accumulated in weeks 1, 2, and 3 were likely to almost certainly be higher than in the following weeks (ES varying from 0.67 to 2.55). The CMJ height in week 1 was very likely to be lower than in weeks 2, 5, 7, and 8 (ES varying from 0.24 to 0.34), while the CMJ height of the 9th week was likely to almost certainly be higher than all previous weeks of training (ES varying from 0.70 to 1.10). Accordingly, it was observed that when higher training loads were accumulated, both CMJ and TQR presented lower values than those presented during periods with lower internal training loads. These results highlight the importance of using a comprehensive and multivariate approach to effectively monitor the physical performance of young athletes.","container-title":"PeerJ","DOI":"10.7717/peerj.5225","ISSN":"2167-8359","language":"en","page":"e5225","source":"DOI.org (Crossref)","title":"Perceived training load and jumping responses following nine weeks of a competitive period in young female basketball players","volume":"6","author":[{"family":"Cruz","given":"Igor de Freitas"},{"family":"Pereira","given":"Lucas Adriano"},{"family":"Kobal","given":"Ronaldo"},{"family":"Kitamura","given":"Katia"},{"family":"Cedra","given":"Cristiano"},{"family":"Loturco","given":"Irineu"},{"family":"Cal Abad","given":"Cesar Cavinato"}],"issued":{"date-parts":[["2018",7,18]]}}}],"schema":"https://github.com/citation-style-language/schema/raw/master/csl-citation.json"} </w:instrText>
      </w:r>
      <w:r w:rsidR="006A19C7">
        <w:rPr>
          <w:rFonts w:ascii="Times New Roman" w:hAnsi="Times New Roman" w:cs="Times New Roman"/>
          <w:noProof/>
        </w:rPr>
        <w:fldChar w:fldCharType="separate"/>
      </w:r>
      <w:r w:rsidR="006A19C7">
        <w:rPr>
          <w:rFonts w:ascii="Times New Roman" w:hAnsi="Times New Roman" w:cs="Times New Roman"/>
          <w:noProof/>
        </w:rPr>
        <w:t>(Cruz et al., 2018)</w:t>
      </w:r>
      <w:r w:rsidR="006A19C7">
        <w:rPr>
          <w:rFonts w:ascii="Times New Roman" w:hAnsi="Times New Roman" w:cs="Times New Roman"/>
          <w:noProof/>
        </w:rPr>
        <w:fldChar w:fldCharType="end"/>
      </w:r>
      <w:r>
        <w:rPr>
          <w:rFonts w:ascii="Times New Roman" w:hAnsi="Times New Roman" w:cs="Times New Roman"/>
        </w:rPr>
        <w:t xml:space="preserve">. Similarly, within the preseason training phase, </w:t>
      </w:r>
      <w:proofErr w:type="spellStart"/>
      <w:r w:rsidRPr="005C228B">
        <w:rPr>
          <w:rFonts w:ascii="Times New Roman" w:hAnsi="Times New Roman" w:cs="Times New Roman"/>
        </w:rPr>
        <w:t>Heishman</w:t>
      </w:r>
      <w:proofErr w:type="spellEnd"/>
      <w:r w:rsidRPr="005C228B">
        <w:rPr>
          <w:rFonts w:ascii="Times New Roman" w:hAnsi="Times New Roman" w:cs="Times New Roman"/>
        </w:rPr>
        <w:t xml:space="preserve"> et al. (2018)</w:t>
      </w:r>
      <w:r>
        <w:rPr>
          <w:rFonts w:ascii="Times New Roman" w:hAnsi="Times New Roman" w:cs="Times New Roman"/>
        </w:rPr>
        <w:t xml:space="preserve"> found an association with increases in </w:t>
      </w:r>
      <w:proofErr w:type="spellStart"/>
      <w:r>
        <w:rPr>
          <w:rFonts w:ascii="Times New Roman" w:hAnsi="Times New Roman" w:cs="Times New Roman"/>
        </w:rPr>
        <w:t>e</w:t>
      </w:r>
      <w:r w:rsidR="002E2C5E">
        <w:rPr>
          <w:rFonts w:ascii="Times New Roman" w:hAnsi="Times New Roman" w:cs="Times New Roman"/>
        </w:rPr>
        <w:t>TL</w:t>
      </w:r>
      <w:proofErr w:type="spellEnd"/>
      <w:r>
        <w:rPr>
          <w:rFonts w:ascii="Times New Roman" w:hAnsi="Times New Roman" w:cs="Times New Roman"/>
        </w:rPr>
        <w:t xml:space="preserve"> and decreases in CMJ JH 24 hours following a training session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{"citationID":"lSqEhkXf","properties":{"formattedCitation":"(A. Heishman et al., 2018)","plainCitation":"(A. Heishman et al., 2018)","noteIndex":0},"citationItems":[{"id":267,"uris":["http://zotero.org/users/6327055/items/V555YN52"],"itemData":{"id":267,"type":"article-journal","container-title":"Journal of Strength and Conditioning Research","DOI":"10.1519/JSC.0000000000002413","ISSN":"1064-8011","issue":"5","language":"en","page":"1280-1287","source":"DOI.org (Crossref)","title":"Noninvasive assessment of internal and external player load: Implications for optimizing athletic performance","title-short":"Noninvasive Assessment of Internal and External Player Load","volume":"32","author":[{"family":"Heishman","given":"Aaron"},{"family":"Curtis","given":"Michael"},{"family":"Saliba","given":"Ethan"},{"family":"Hornett","given":"Robert"},{"family":"Malin","given":"Steven"},{"family":"Weltman","given":"Arthur"}],"issued":{"date-parts":[["2018",5]]}}}],"schema":"https://github.com/citation-style-language/schema/raw/master/csl-citation.json"} </w:instrText>
      </w:r>
      <w:r w:rsidR="006A19C7">
        <w:rPr>
          <w:rFonts w:ascii="Times New Roman" w:hAnsi="Times New Roman" w:cs="Times New Roman"/>
          <w:noProof/>
        </w:rPr>
        <w:fldChar w:fldCharType="separate"/>
      </w:r>
      <w:r w:rsidR="00546507">
        <w:rPr>
          <w:rFonts w:ascii="Times New Roman" w:hAnsi="Times New Roman" w:cs="Times New Roman"/>
          <w:noProof/>
        </w:rPr>
        <w:t>(A. Heishman et al., 2018)</w:t>
      </w:r>
      <w:r w:rsidR="006A19C7">
        <w:rPr>
          <w:rFonts w:ascii="Times New Roman" w:hAnsi="Times New Roman" w:cs="Times New Roman"/>
          <w:noProof/>
        </w:rPr>
        <w:fldChar w:fldCharType="end"/>
      </w:r>
      <w:r>
        <w:rPr>
          <w:rFonts w:ascii="Times New Roman" w:hAnsi="Times New Roman" w:cs="Times New Roman"/>
        </w:rPr>
        <w:t xml:space="preserve">. This was also seen again over the course of the preseason training phase by </w:t>
      </w:r>
      <w:proofErr w:type="spellStart"/>
      <w:r w:rsidRPr="005C228B">
        <w:rPr>
          <w:rFonts w:ascii="Times New Roman" w:hAnsi="Times New Roman" w:cs="Times New Roman"/>
        </w:rPr>
        <w:t>Heishman</w:t>
      </w:r>
      <w:proofErr w:type="spellEnd"/>
      <w:r w:rsidRPr="005C228B">
        <w:rPr>
          <w:rFonts w:ascii="Times New Roman" w:hAnsi="Times New Roman" w:cs="Times New Roman"/>
        </w:rPr>
        <w:t xml:space="preserve"> et al. (2017)</w:t>
      </w:r>
      <w:r>
        <w:rPr>
          <w:rFonts w:ascii="Times New Roman" w:hAnsi="Times New Roman" w:cs="Times New Roman"/>
        </w:rPr>
        <w:t xml:space="preserve"> with decreases in JH speculated to be from the elevated training loads commonly seen within the preseason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{"citationID":"uzptwge1","properties":{"formattedCitation":"(A. D. Heishman et al., 2017)","plainCitation":"(A. D. Heishman et al., 2017)","noteIndex":0},"citationItems":[{"id":72,"uris":["http://zotero.org/users/6327055/items/5BLUV5Q6"],"itemData":{"id":72,"type":"article-journal","container-title":"Journal of Strength and Conditioning Research","DOI":"10.1519/JSC.0000000000001882","ISSN":"1064-8011","issue":"6","journalAbbreviation":"Journal of Strength and Conditioning Research","language":"en","page":"1557-1562","source":"DOI.org (Crossref)","title":"Comparing Performance During Morning vs. Afternoon Training Sessions in Intercollegiate Basketball Players:","title-short":"Comparing Performance During Morning vs. Afternoon Training Sessions in Intercollegiate Basketball Players","volume":"31","author":[{"family":"Heishman","given":"Aaron D."},{"family":"Curtis","given":"Michael A."},{"family":"Saliba","given":"Ethan N."},{"family":"Hornett","given":"Robert J."},{"family":"Malin","given":"Steven K."},{"family":"Weltman","given":"Arthur L."}],"issued":{"date-parts":[["2017",6]]}}}],"schema":"https://github.com/citation-style-language/schema/raw/master/csl-citation.json"} </w:instrText>
      </w:r>
      <w:r w:rsidR="006A19C7">
        <w:rPr>
          <w:rFonts w:ascii="Times New Roman" w:hAnsi="Times New Roman" w:cs="Times New Roman"/>
          <w:noProof/>
        </w:rPr>
        <w:fldChar w:fldCharType="separate"/>
      </w:r>
      <w:r w:rsidR="006A19C7">
        <w:rPr>
          <w:rFonts w:ascii="Times New Roman" w:hAnsi="Times New Roman" w:cs="Times New Roman"/>
          <w:noProof/>
        </w:rPr>
        <w:t>(A. D. Heishman et al., 2017)</w:t>
      </w:r>
      <w:r w:rsidR="006A19C7">
        <w:rPr>
          <w:rFonts w:ascii="Times New Roman" w:hAnsi="Times New Roman" w:cs="Times New Roman"/>
          <w:noProof/>
        </w:rPr>
        <w:fldChar w:fldCharType="end"/>
      </w:r>
      <w:r>
        <w:rPr>
          <w:rFonts w:ascii="Times New Roman" w:hAnsi="Times New Roman" w:cs="Times New Roman"/>
        </w:rPr>
        <w:t xml:space="preserve">. Additionally, </w:t>
      </w:r>
      <w:proofErr w:type="spellStart"/>
      <w:r w:rsidRPr="005C228B">
        <w:rPr>
          <w:rFonts w:ascii="Times New Roman" w:hAnsi="Times New Roman" w:cs="Times New Roman"/>
        </w:rPr>
        <w:t>Ferioli</w:t>
      </w:r>
      <w:proofErr w:type="spellEnd"/>
      <w:r w:rsidRPr="005C228B">
        <w:rPr>
          <w:rFonts w:ascii="Times New Roman" w:hAnsi="Times New Roman" w:cs="Times New Roman"/>
        </w:rPr>
        <w:t xml:space="preserve"> et al.</w:t>
      </w:r>
      <w:r>
        <w:rPr>
          <w:rFonts w:ascii="Times New Roman" w:hAnsi="Times New Roman" w:cs="Times New Roman"/>
        </w:rPr>
        <w:t xml:space="preserve"> found a similar decrease in performance over the preparatory period with increases in training loads negatively correlating to a decrease in peak power output (r</w:t>
      </w:r>
      <w:r>
        <w:rPr>
          <w:rFonts w:ascii="Times New Roman" w:hAnsi="Times New Roman" w:cs="Times New Roman"/>
          <w:vertAlign w:val="superscript"/>
        </w:rPr>
        <w:t>2</w:t>
      </w:r>
      <w:r>
        <w:rPr>
          <w:rFonts w:ascii="Times New Roman" w:hAnsi="Times New Roman" w:cs="Times New Roman"/>
        </w:rPr>
        <w:t xml:space="preserve"> = -0.53) in basketball player at the professional and semi-professional level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{"citationID":"7QtI1r4V","properties":{"formattedCitation":"(Ferioli et al., 2018)","plainCitation":"(Ferioli et al., 2018)","noteIndex":0},"citationItems":[{"id":370,"uris":["http://zotero.org/users/6327055/items/LITFARZ8"],"itemData":{"id":370,"type":"article-journal","abstract":"Purpose: To investigate the 1) effect of the preparation period on the neuromuscular characteristics of 12 professional (PRO) and 16 semi-professional (SEMI-PRO) basketball players; 2) relationships between training load indices and changes in neuromuscular physical performance. Methods: Prior to and following the preparation period, players underwent a counter-movement jump (CMJ) test, followed by a repeated change of direction (COD) test consisting of 4 levels with increasing intensities. The peripheral neuromuscular functions of the knee extensors (peak torque, PT) were measured using electrical stimulations after each level (PT1, PT2, PT3 and PT4). Furthermore, PT Max (the highest value of PT) and PT Dec (PT decrement from PT Max to PT4) were calculated. Results: Trivial-to-small (effect size, ES: -0.17 to 0.46) improvements were found in CMJ variables, regardless of the competitive levels. After the preparation period, peripheral fatigue induced by a COD test was similarly reduced in both PRO (PT Dec: from 27.8±21.3% to 11.4±13.7%, ES±90%CI= -0.71±0.30) and SEMI-PRO (PT Dec: from 26.1±21.9% to 10.2±8.2%, ES±90%CI= -0.69±0.32). Moderate-tolarge relationships were found between session rating of perceived exertion training load and changes in PPO measured during the CMJs (rs ±90%CI: PPOabs, -0.46±0.26; PPOrel, 0.53±0.23) and in some PTs measured during the COD test (PT1, -0.45±0.26; PT2, -0.44±0.26; PT3, -0.40±0.27 and PT Max, -0.38±0.28). Conclusions: Preparation period induced minimal changes in the CMJ, while the ability to sustain repeated COD efforts was improved. Reaching high session rating of perceived exertion training loads might partially and negatively affect the ability to produce strength and power.","container-title":"International Journal of Sports Physiology and Performance","DOI":"10.1123/ijspp.2017-0434","ISSN":"1555-0265, 1555-0273","issue":"8","language":"en","page":"991-999","source":"DOI.org (Crossref)","title":"The preparation period in basketball: training load and neuromuscular adaptations","title-short":"The Preparation Period in Basketball","volume":"13","author":[{"family":"Ferioli","given":"Davide"},{"family":"Bosio","given":"Andrea"},{"family":"Bilsborough","given":"Johann C."},{"family":"La Torre","given":"Antonio"},{"family":"Tornaghi","given":"Michele"},{"family":"Rampinini","given":"Ermanno"}],"issued":{"date-parts":[["2018",9,1]]}}}],"schema":"https://github.com/citation-style-language/schema/raw/master/csl-citation.json"} </w:instrText>
      </w:r>
      <w:r w:rsidR="006A19C7">
        <w:rPr>
          <w:rFonts w:ascii="Times New Roman" w:hAnsi="Times New Roman" w:cs="Times New Roman"/>
          <w:noProof/>
        </w:rPr>
        <w:fldChar w:fldCharType="separate"/>
      </w:r>
      <w:r w:rsidR="006A19C7">
        <w:rPr>
          <w:rFonts w:ascii="Times New Roman" w:hAnsi="Times New Roman" w:cs="Times New Roman"/>
          <w:noProof/>
        </w:rPr>
        <w:t>(Ferioli et al., 2018)</w:t>
      </w:r>
      <w:r w:rsidR="006A19C7">
        <w:rPr>
          <w:rFonts w:ascii="Times New Roman" w:hAnsi="Times New Roman" w:cs="Times New Roman"/>
          <w:noProof/>
        </w:rPr>
        <w:fldChar w:fldCharType="end"/>
      </w:r>
      <w:r>
        <w:rPr>
          <w:rFonts w:ascii="Times New Roman" w:hAnsi="Times New Roman" w:cs="Times New Roman"/>
        </w:rPr>
        <w:t xml:space="preserve">. These data suggest that there is a relationship with increases in training load and a subsequent alteration in CMJ performance highlighting the concept of a dose-response relationship. </w:t>
      </w:r>
    </w:p>
    <w:p w14:paraId="784B5CE6" w14:textId="72BA31DF" w:rsidR="00E85FBD" w:rsidRDefault="003F3D08" w:rsidP="004B5FEA">
      <w:pPr>
        <w:spacing w:line="480" w:lineRule="auto"/>
        <w:jc w:val="both"/>
        <w:rPr>
          <w:rFonts w:ascii="Times New Roman" w:hAnsi="Times New Roman" w:cs="Times New Roman"/>
        </w:rPr>
      </w:pPr>
      <w:r>
        <w:rPr>
          <w:rFonts w:ascii="Times New Roman" w:hAnsi="Times New Roman" w:cs="Times New Roman"/>
        </w:rPr>
        <w:tab/>
        <w:t xml:space="preserve">In contrast, no differences were seen in JH in the work by </w:t>
      </w:r>
      <w:proofErr w:type="spellStart"/>
      <w:r w:rsidRPr="005C228B">
        <w:rPr>
          <w:rFonts w:ascii="Times New Roman" w:hAnsi="Times New Roman" w:cs="Times New Roman"/>
        </w:rPr>
        <w:t>Heishman</w:t>
      </w:r>
      <w:proofErr w:type="spellEnd"/>
      <w:r w:rsidRPr="005C228B">
        <w:rPr>
          <w:rFonts w:ascii="Times New Roman" w:hAnsi="Times New Roman" w:cs="Times New Roman"/>
        </w:rPr>
        <w:t xml:space="preserve"> et al. (2020),</w:t>
      </w:r>
      <w:r>
        <w:rPr>
          <w:rFonts w:ascii="Times New Roman" w:hAnsi="Times New Roman" w:cs="Times New Roman"/>
        </w:rPr>
        <w:t xml:space="preserve"> but decreases in the flight time to contraction time ratio (FT:CT) during the preseason training phase of collegiate male basketball players with increases in PL/min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{"citationID":"x1ZesWe6","properties":{"formattedCitation":"(A. Heishman, Daub, et al., 2020)","plainCitation":"(A. Heishman, Daub, et al., 2020)","noteIndex":0},"citationItems":[{"id":15,"uris":["http://zotero.org/users/6327055/items/JSD3CII9"],"itemData":{"id":15,"type":"article-journal","abstract":"Heishman,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sidR="006A19C7">
        <w:rPr>
          <w:rFonts w:ascii="Times New Roman" w:hAnsi="Times New Roman" w:cs="Times New Roman"/>
          <w:noProof/>
        </w:rPr>
        <w:fldChar w:fldCharType="separate"/>
      </w:r>
      <w:r w:rsidR="00546507">
        <w:rPr>
          <w:rFonts w:ascii="Times New Roman" w:hAnsi="Times New Roman" w:cs="Times New Roman"/>
          <w:noProof/>
        </w:rPr>
        <w:t>(A. Heishman, Daub, et al., 2020)</w:t>
      </w:r>
      <w:r w:rsidR="006A19C7">
        <w:rPr>
          <w:rFonts w:ascii="Times New Roman" w:hAnsi="Times New Roman" w:cs="Times New Roman"/>
          <w:noProof/>
        </w:rPr>
        <w:fldChar w:fldCharType="end"/>
      </w:r>
      <w:r>
        <w:rPr>
          <w:rFonts w:ascii="Times New Roman" w:hAnsi="Times New Roman" w:cs="Times New Roman"/>
        </w:rPr>
        <w:t xml:space="preserve">. The reduction in the FT:CT but no change in JH may stem from an alteration within the movement strategy by the athlete to achieve a maximal jump height through an increase in the duration in the </w:t>
      </w:r>
      <w:r>
        <w:rPr>
          <w:rFonts w:ascii="Times New Roman" w:hAnsi="Times New Roman" w:cs="Times New Roman"/>
        </w:rPr>
        <w:lastRenderedPageBreak/>
        <w:t xml:space="preserve">contraction phase </w:t>
      </w:r>
      <w:r w:rsidR="006A19C7">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{"citationID":"kQZyDlfb","properties":{"formattedCitation":"(Gathercole et al., 2015; A. Heishman, Daub, et al., 2020)","plainCitation":"(Gathercole et al., 2015; A. Heishman, Daub, et al., 2020)","noteIndex":0},"citationItems":[{"id":101,"uris":["http://zotero.org/users/6327055/items/8C8J7JQQ"],"itemData":{"id":101,"type":"article-journal","abstract":"Purpose: To examine the reliability and magnitude of change after fatiguing exercise in the countermovement-jump (CMJ) test and determine its suitability for the assessment of fatigue-induced changes in neuromuscular (NM) function. A secondary aim was to examine the usefulness of a set of alternative CMJ variables (CMJ-ALT) related to CMJ mechanics. Methods: Eleven male college-level team-sport athletes performed 6 CMJ trials on 6 occasions. A total of 22 variables, 16 typical (CMJ-TYP) and 6 CMJ-ALT, were examined. CMJ reproducibility (coefficient of variation; CV) was examined on participants’ first 3 visits. The next 3 visits (at 0, 24, and 72 h postexercise) followed a fatiguing high-intensity intermittent-exercise running protocol. Meaningful differences in CMJ performance were examined through effect sizes (ES) and comparisons to interday CV. Results: Most CMJ variables exhibited intraday (n = 20) and interday (n = 21) CVs of &lt;10%. ESs ranging from trivial to moderate were observed in 18 variables at 0 h (immediately postfatigue). Mean power, peak velocity, flight time, force at zero velocity, and area under the force–velocity trace showed changes greater than the CV in most individuals. At 24 h, most variables displayed trends toward a return to baseline. At 72 h, small increases were observed in time-related CMJ variables, with mean changes also greater than the CV. Conclusions: The CMJ test appears a suitable athlete-monitoring method for NM-fatigue detection. However, the current approach (ie, CMJ-TYP) may overlook a number of key fatigue-related changes, and so practitioners are advised to also adopt variables that reflect the NM strategy used.","container-title":"International Journal of Sports Physiology and Performance","DOI":"10.1123/ijspp.2013-0413","ISSN":"1555-0265, 1555-0273","issue":"1","language":"en","page":"84-92","source":"DOI.org (Crossref)","title":"Alternative countermovement-jump analysis to quantify acute neuromuscular fatigue","volume":"10","author":[{"family":"Gathercole","given":"Rob"},{"family":"Sporer","given":"Ben"},{"family":"Stellingwerff","given":"Trent"},{"family":"Sleivert","given":"Gord"}],"issued":{"date-parts":[["2015",1]]}}},{"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sidR="006A19C7">
        <w:rPr>
          <w:rFonts w:ascii="Times New Roman" w:hAnsi="Times New Roman" w:cs="Times New Roman"/>
          <w:noProof/>
        </w:rPr>
        <w:fldChar w:fldCharType="separate"/>
      </w:r>
      <w:r w:rsidR="00546507">
        <w:rPr>
          <w:rFonts w:ascii="Times New Roman" w:hAnsi="Times New Roman" w:cs="Times New Roman"/>
          <w:noProof/>
        </w:rPr>
        <w:t>(Gathercole et al., 2015; A. Heishman, Daub, et al., 2020)</w:t>
      </w:r>
      <w:r w:rsidR="006A19C7">
        <w:rPr>
          <w:rFonts w:ascii="Times New Roman" w:hAnsi="Times New Roman" w:cs="Times New Roman"/>
          <w:noProof/>
        </w:rPr>
        <w:fldChar w:fldCharType="end"/>
      </w:r>
      <w:r>
        <w:rPr>
          <w:rFonts w:ascii="Times New Roman" w:hAnsi="Times New Roman" w:cs="Times New Roman"/>
        </w:rPr>
        <w:t xml:space="preserve">. This finding may suggest the assessment of FT:CT could be a more sensitive variable to neuromuscular alterations. </w:t>
      </w:r>
    </w:p>
    <w:p w14:paraId="4E160E8D" w14:textId="2AA80F5E" w:rsidR="00E85FBD" w:rsidRDefault="00E85FBD" w:rsidP="00F829B9">
      <w:pPr>
        <w:pStyle w:val="Heading2"/>
      </w:pPr>
      <w:bookmarkStart w:id="41" w:name="_Toc99267620"/>
      <w:r>
        <w:t>Summary</w:t>
      </w:r>
      <w:bookmarkEnd w:id="41"/>
    </w:p>
    <w:p w14:paraId="36328058" w14:textId="19EB5F8A" w:rsidR="00BC5100" w:rsidRDefault="001F6CBB" w:rsidP="00F829B9">
      <w:pPr>
        <w:spacing w:line="480" w:lineRule="auto"/>
        <w:jc w:val="both"/>
        <w:rPr>
          <w:rFonts w:ascii="Times New Roman" w:hAnsi="Times New Roman" w:cs="Times New Roman"/>
          <w:lang w:bidi="en-US"/>
        </w:rPr>
      </w:pPr>
      <w:r>
        <w:rPr>
          <w:rFonts w:ascii="Times New Roman" w:hAnsi="Times New Roman" w:cs="Times New Roman"/>
          <w:lang w:bidi="en-US"/>
        </w:rPr>
        <w:tab/>
        <w:t>Quantifying the training loads through both external and internal monitoring may offer a unique opportunity to help track and anticipate performances that can be assessed through CMJ performances. Tracking these changes chronically over a training phase in conjunction with endocrine biomarkers may help to identify responses to acute training sessions as well as the response to either the adaptation or maladaptation that may occur over a training phase. Previous literature has focused mainly on the responses through endocrine biomarkers and neuromuscular performance to competitions, yet the preseason training phase is still to be explored. Moreover, the training loads during the preseason may be able to be manipulated to a greater magnitude.</w:t>
      </w:r>
    </w:p>
    <w:p w14:paraId="38D68CFC" w14:textId="6B4D3E53" w:rsidR="00AB1E81" w:rsidRDefault="00BC5100" w:rsidP="00F829B9">
      <w:pPr>
        <w:jc w:val="both"/>
        <w:rPr>
          <w:rFonts w:ascii="Times New Roman" w:hAnsi="Times New Roman" w:cs="Times New Roman"/>
          <w:lang w:bidi="en-US"/>
        </w:rPr>
      </w:pPr>
      <w:r>
        <w:rPr>
          <w:rFonts w:ascii="Times New Roman" w:hAnsi="Times New Roman" w:cs="Times New Roman"/>
          <w:lang w:bidi="en-US"/>
        </w:rPr>
        <w:br w:type="page"/>
      </w:r>
    </w:p>
    <w:p w14:paraId="131480C7" w14:textId="328EA38D" w:rsidR="00E20D97" w:rsidRPr="008329E6" w:rsidRDefault="00E20D97" w:rsidP="00E20D97">
      <w:pPr>
        <w:pStyle w:val="Heading1"/>
        <w:spacing w:line="480" w:lineRule="auto"/>
        <w:jc w:val="center"/>
        <w:rPr>
          <w:rFonts w:ascii="Times New Roman" w:hAnsi="Times New Roman" w:cs="Times New Roman"/>
          <w:b/>
          <w:bCs/>
          <w:color w:val="000000" w:themeColor="text1"/>
          <w:sz w:val="24"/>
          <w:szCs w:val="24"/>
          <w:lang w:bidi="en-US"/>
        </w:rPr>
      </w:pPr>
      <w:bookmarkStart w:id="42" w:name="_Toc99267621"/>
      <w:r w:rsidRPr="008329E6">
        <w:rPr>
          <w:rFonts w:ascii="Times New Roman" w:hAnsi="Times New Roman" w:cs="Times New Roman"/>
          <w:b/>
          <w:bCs/>
          <w:color w:val="000000" w:themeColor="text1"/>
          <w:sz w:val="24"/>
          <w:szCs w:val="24"/>
          <w:lang w:bidi="en-US"/>
        </w:rPr>
        <w:lastRenderedPageBreak/>
        <w:t>Chapter III: Methodology</w:t>
      </w:r>
      <w:bookmarkEnd w:id="42"/>
    </w:p>
    <w:p w14:paraId="64D153D3" w14:textId="6FE82842" w:rsidR="0051641E" w:rsidRDefault="0051641E" w:rsidP="0051641E">
      <w:pPr>
        <w:spacing w:line="480" w:lineRule="auto"/>
        <w:jc w:val="both"/>
        <w:rPr>
          <w:rFonts w:ascii="Times New Roman" w:hAnsi="Times New Roman" w:cs="Times New Roman"/>
        </w:rPr>
      </w:pPr>
      <w:r>
        <w:rPr>
          <w:rFonts w:ascii="Times New Roman" w:hAnsi="Times New Roman" w:cs="Times New Roman"/>
          <w:b/>
          <w:bCs/>
        </w:rPr>
        <w:tab/>
      </w:r>
      <w:r w:rsidRPr="00146792">
        <w:rPr>
          <w:rFonts w:ascii="Times New Roman" w:hAnsi="Times New Roman" w:cs="Times New Roman"/>
        </w:rPr>
        <w:t xml:space="preserve">The purpose </w:t>
      </w:r>
      <w:r>
        <w:rPr>
          <w:rFonts w:ascii="Times New Roman" w:hAnsi="Times New Roman" w:cs="Times New Roman"/>
        </w:rPr>
        <w:t>of th</w:t>
      </w:r>
      <w:r w:rsidR="00523D3A">
        <w:rPr>
          <w:rFonts w:ascii="Times New Roman" w:hAnsi="Times New Roman" w:cs="Times New Roman"/>
        </w:rPr>
        <w:t xml:space="preserve">is </w:t>
      </w:r>
      <w:r w:rsidR="00E32D31">
        <w:rPr>
          <w:rFonts w:ascii="Times New Roman" w:hAnsi="Times New Roman" w:cs="Times New Roman"/>
        </w:rPr>
        <w:t>study</w:t>
      </w:r>
      <w:r>
        <w:rPr>
          <w:rFonts w:ascii="Times New Roman" w:hAnsi="Times New Roman" w:cs="Times New Roman"/>
        </w:rPr>
        <w:t xml:space="preserve"> </w:t>
      </w:r>
      <w:r w:rsidR="00523D3A">
        <w:rPr>
          <w:rFonts w:ascii="Times New Roman" w:hAnsi="Times New Roman" w:cs="Times New Roman"/>
        </w:rPr>
        <w:t>was to</w:t>
      </w:r>
      <w:r w:rsidRPr="00146792">
        <w:rPr>
          <w:rFonts w:ascii="Times New Roman" w:hAnsi="Times New Roman" w:cs="Times New Roman"/>
        </w:rPr>
        <w:t xml:space="preserve"> evaluate changes in endocrine responses across the </w:t>
      </w:r>
      <w:r w:rsidR="00E554D6">
        <w:rPr>
          <w:rFonts w:ascii="Times New Roman" w:hAnsi="Times New Roman" w:cs="Times New Roman"/>
        </w:rPr>
        <w:t xml:space="preserve">course of the </w:t>
      </w:r>
      <w:r w:rsidRPr="00146792">
        <w:rPr>
          <w:rFonts w:ascii="Times New Roman" w:hAnsi="Times New Roman" w:cs="Times New Roman"/>
        </w:rPr>
        <w:t>preseason, which w</w:t>
      </w:r>
      <w:r w:rsidR="00523D3A">
        <w:rPr>
          <w:rFonts w:ascii="Times New Roman" w:hAnsi="Times New Roman" w:cs="Times New Roman"/>
        </w:rPr>
        <w:t>as</w:t>
      </w:r>
      <w:r w:rsidRPr="00146792">
        <w:rPr>
          <w:rFonts w:ascii="Times New Roman" w:hAnsi="Times New Roman" w:cs="Times New Roman"/>
        </w:rPr>
        <w:t xml:space="preserve"> investigated by understand</w:t>
      </w:r>
      <w:r>
        <w:rPr>
          <w:rFonts w:ascii="Times New Roman" w:hAnsi="Times New Roman" w:cs="Times New Roman"/>
        </w:rPr>
        <w:t>ing</w:t>
      </w:r>
      <w:r w:rsidRPr="00146792">
        <w:rPr>
          <w:rFonts w:ascii="Times New Roman" w:hAnsi="Times New Roman" w:cs="Times New Roman"/>
        </w:rPr>
        <w:t xml:space="preserve"> changes in the acute endocrine response to a bout of sport specific basketball practice, as well as changes in resting levels across the preseason</w:t>
      </w:r>
      <w:r>
        <w:rPr>
          <w:rFonts w:ascii="Times New Roman" w:hAnsi="Times New Roman" w:cs="Times New Roman"/>
        </w:rPr>
        <w:t>.</w:t>
      </w:r>
    </w:p>
    <w:p w14:paraId="4D89BA2B" w14:textId="2367401A" w:rsidR="0051641E" w:rsidRPr="00195D51" w:rsidRDefault="0051641E" w:rsidP="00F829B9">
      <w:pPr>
        <w:pStyle w:val="Heading2"/>
      </w:pPr>
      <w:bookmarkStart w:id="43" w:name="_Toc99267622"/>
      <w:r w:rsidRPr="00195D51">
        <w:t>Study Design</w:t>
      </w:r>
      <w:bookmarkEnd w:id="43"/>
    </w:p>
    <w:p w14:paraId="0860FEE6" w14:textId="4D9DBB7A" w:rsidR="009F3329" w:rsidRDefault="0051641E" w:rsidP="0051641E">
      <w:pPr>
        <w:spacing w:line="480" w:lineRule="auto"/>
        <w:jc w:val="both"/>
        <w:rPr>
          <w:rFonts w:ascii="Times New Roman" w:hAnsi="Times New Roman" w:cs="Times New Roman"/>
        </w:rPr>
      </w:pPr>
      <w:r>
        <w:rPr>
          <w:rFonts w:ascii="Times New Roman" w:hAnsi="Times New Roman" w:cs="Times New Roman"/>
        </w:rPr>
        <w:tab/>
      </w:r>
      <w:r w:rsidR="000E3F92">
        <w:rPr>
          <w:rFonts w:ascii="Times New Roman" w:hAnsi="Times New Roman" w:cs="Times New Roman"/>
        </w:rPr>
        <w:t xml:space="preserve">A retrospective study design was </w:t>
      </w:r>
      <w:r>
        <w:rPr>
          <w:rFonts w:ascii="Times New Roman" w:hAnsi="Times New Roman" w:cs="Times New Roman"/>
        </w:rPr>
        <w:t>used to examine endocrine responses following an acute bout of a sport specific training session and over the course of the preseason training phase</w:t>
      </w:r>
      <w:r w:rsidR="000E3F92">
        <w:rPr>
          <w:rFonts w:ascii="Times New Roman" w:hAnsi="Times New Roman" w:cs="Times New Roman"/>
        </w:rPr>
        <w:t xml:space="preserve"> in a cohort of NCAA Division </w:t>
      </w:r>
      <w:r w:rsidR="00E74A24">
        <w:rPr>
          <w:rFonts w:ascii="Times New Roman" w:hAnsi="Times New Roman" w:cs="Times New Roman"/>
        </w:rPr>
        <w:t>I</w:t>
      </w:r>
      <w:r w:rsidR="000E3F92">
        <w:rPr>
          <w:rFonts w:ascii="Times New Roman" w:hAnsi="Times New Roman" w:cs="Times New Roman"/>
        </w:rPr>
        <w:t xml:space="preserve"> men’s intercollegiate basketball players at the University of Oklahoma</w:t>
      </w:r>
      <w:r>
        <w:rPr>
          <w:rFonts w:ascii="Times New Roman" w:hAnsi="Times New Roman" w:cs="Times New Roman"/>
        </w:rPr>
        <w:t>.</w:t>
      </w:r>
      <w:r w:rsidR="00D55AEE">
        <w:rPr>
          <w:rFonts w:ascii="Times New Roman" w:hAnsi="Times New Roman" w:cs="Times New Roman"/>
        </w:rPr>
        <w:t xml:space="preserve"> Internal training load (</w:t>
      </w:r>
      <w:proofErr w:type="spellStart"/>
      <w:r w:rsidR="00D55AEE">
        <w:rPr>
          <w:rFonts w:ascii="Times New Roman" w:hAnsi="Times New Roman" w:cs="Times New Roman"/>
        </w:rPr>
        <w:t>iTL</w:t>
      </w:r>
      <w:proofErr w:type="spellEnd"/>
      <w:r w:rsidR="00D55AEE">
        <w:rPr>
          <w:rFonts w:ascii="Times New Roman" w:hAnsi="Times New Roman" w:cs="Times New Roman"/>
        </w:rPr>
        <w:t>) and external training load (</w:t>
      </w:r>
      <w:proofErr w:type="spellStart"/>
      <w:r w:rsidR="00D55AEE">
        <w:rPr>
          <w:rFonts w:ascii="Times New Roman" w:hAnsi="Times New Roman" w:cs="Times New Roman"/>
        </w:rPr>
        <w:t>eTL</w:t>
      </w:r>
      <w:proofErr w:type="spellEnd"/>
      <w:r w:rsidR="00D55AEE">
        <w:rPr>
          <w:rFonts w:ascii="Times New Roman" w:hAnsi="Times New Roman" w:cs="Times New Roman"/>
        </w:rPr>
        <w:t>)</w:t>
      </w:r>
      <w:r w:rsidR="00D55AEE" w:rsidRPr="00D55AEE">
        <w:rPr>
          <w:rFonts w:ascii="Times New Roman" w:hAnsi="Times New Roman" w:cs="Times New Roman"/>
        </w:rPr>
        <w:t xml:space="preserve"> tracked during the first week of the preseason training phase and during the last week of the preseason training phase</w:t>
      </w:r>
      <w:r w:rsidR="000E3F92">
        <w:rPr>
          <w:rFonts w:ascii="Times New Roman" w:hAnsi="Times New Roman" w:cs="Times New Roman"/>
        </w:rPr>
        <w:t>,</w:t>
      </w:r>
      <w:r w:rsidR="00D55AEE" w:rsidRPr="00D55AEE">
        <w:rPr>
          <w:rFonts w:ascii="Times New Roman" w:hAnsi="Times New Roman" w:cs="Times New Roman"/>
        </w:rPr>
        <w:t xml:space="preserve"> as well as salivary samples </w:t>
      </w:r>
      <w:r w:rsidR="00D55AEE">
        <w:rPr>
          <w:rFonts w:ascii="Times New Roman" w:hAnsi="Times New Roman" w:cs="Times New Roman"/>
        </w:rPr>
        <w:t xml:space="preserve">obtained </w:t>
      </w:r>
      <w:r w:rsidR="00D55AEE" w:rsidRPr="00D55AEE">
        <w:rPr>
          <w:rFonts w:ascii="Times New Roman" w:hAnsi="Times New Roman" w:cs="Times New Roman"/>
        </w:rPr>
        <w:t>pre- and post-sport specific training sessions</w:t>
      </w:r>
      <w:r w:rsidR="000E3F92">
        <w:rPr>
          <w:rFonts w:ascii="Times New Roman" w:hAnsi="Times New Roman" w:cs="Times New Roman"/>
        </w:rPr>
        <w:t xml:space="preserve"> were included in the analyses</w:t>
      </w:r>
      <w:r w:rsidR="00D55AEE" w:rsidRPr="00D55AEE">
        <w:rPr>
          <w:rFonts w:ascii="Times New Roman" w:hAnsi="Times New Roman" w:cs="Times New Roman"/>
        </w:rPr>
        <w:t xml:space="preserve">. </w:t>
      </w:r>
      <w:r w:rsidR="000E3F92">
        <w:rPr>
          <w:rFonts w:ascii="Times New Roman" w:hAnsi="Times New Roman" w:cs="Times New Roman"/>
        </w:rPr>
        <w:t xml:space="preserve">After participants provided </w:t>
      </w:r>
      <w:r w:rsidR="00586763">
        <w:rPr>
          <w:rFonts w:ascii="Times New Roman" w:hAnsi="Times New Roman" w:cs="Times New Roman"/>
        </w:rPr>
        <w:t xml:space="preserve">written </w:t>
      </w:r>
      <w:r w:rsidR="000E3F92">
        <w:rPr>
          <w:rFonts w:ascii="Times New Roman" w:hAnsi="Times New Roman" w:cs="Times New Roman"/>
        </w:rPr>
        <w:t>informed consent for their data to be included in the analyses, de-identified</w:t>
      </w:r>
      <w:r w:rsidR="00D55AEE" w:rsidRPr="00D55AEE">
        <w:rPr>
          <w:rFonts w:ascii="Times New Roman" w:hAnsi="Times New Roman" w:cs="Times New Roman"/>
        </w:rPr>
        <w:t xml:space="preserve"> data </w:t>
      </w:r>
      <w:r w:rsidR="000E3F92">
        <w:rPr>
          <w:rFonts w:ascii="Times New Roman" w:hAnsi="Times New Roman" w:cs="Times New Roman"/>
        </w:rPr>
        <w:t xml:space="preserve">was </w:t>
      </w:r>
      <w:r w:rsidR="00D55AEE" w:rsidRPr="00D55AEE">
        <w:rPr>
          <w:rFonts w:ascii="Times New Roman" w:hAnsi="Times New Roman" w:cs="Times New Roman"/>
        </w:rPr>
        <w:t xml:space="preserve">given to the research team </w:t>
      </w:r>
      <w:r w:rsidR="000E3F92">
        <w:rPr>
          <w:rFonts w:ascii="Times New Roman" w:hAnsi="Times New Roman" w:cs="Times New Roman"/>
        </w:rPr>
        <w:t xml:space="preserve">by the athlete performance staff for analysis. As depicted in </w:t>
      </w:r>
      <w:r w:rsidR="000E3F92" w:rsidRPr="004521DD">
        <w:rPr>
          <w:rFonts w:ascii="Times New Roman" w:hAnsi="Times New Roman" w:cs="Times New Roman"/>
          <w:b/>
          <w:bCs/>
          <w:i/>
          <w:iCs/>
        </w:rPr>
        <w:t>Figure 1.</w:t>
      </w:r>
      <w:r w:rsidR="004521DD">
        <w:rPr>
          <w:rFonts w:ascii="Times New Roman" w:hAnsi="Times New Roman" w:cs="Times New Roman"/>
        </w:rPr>
        <w:t>,</w:t>
      </w:r>
      <w:r w:rsidR="000E3F92">
        <w:rPr>
          <w:rFonts w:ascii="Times New Roman" w:hAnsi="Times New Roman" w:cs="Times New Roman"/>
        </w:rPr>
        <w:t xml:space="preserve"> </w:t>
      </w:r>
      <w:r w:rsidR="004521DD">
        <w:rPr>
          <w:rFonts w:ascii="Times New Roman" w:hAnsi="Times New Roman" w:cs="Times New Roman"/>
        </w:rPr>
        <w:t>d</w:t>
      </w:r>
      <w:r w:rsidR="000E3F92">
        <w:rPr>
          <w:rFonts w:ascii="Times New Roman" w:hAnsi="Times New Roman" w:cs="Times New Roman"/>
        </w:rPr>
        <w:t xml:space="preserve">ata was </w:t>
      </w:r>
      <w:r w:rsidR="00243959">
        <w:rPr>
          <w:rFonts w:ascii="Times New Roman" w:hAnsi="Times New Roman" w:cs="Times New Roman"/>
        </w:rPr>
        <w:t xml:space="preserve">provided from a </w:t>
      </w:r>
      <w:r>
        <w:rPr>
          <w:rFonts w:ascii="Times New Roman" w:hAnsi="Times New Roman" w:cs="Times New Roman"/>
        </w:rPr>
        <w:t xml:space="preserve">total of </w:t>
      </w:r>
      <w:r w:rsidR="001901DE">
        <w:rPr>
          <w:rFonts w:ascii="Times New Roman" w:hAnsi="Times New Roman" w:cs="Times New Roman"/>
        </w:rPr>
        <w:t>5</w:t>
      </w:r>
      <w:r>
        <w:rPr>
          <w:rFonts w:ascii="Times New Roman" w:hAnsi="Times New Roman" w:cs="Times New Roman"/>
        </w:rPr>
        <w:t xml:space="preserve"> </w:t>
      </w:r>
      <w:r w:rsidR="00243959">
        <w:rPr>
          <w:rFonts w:ascii="Times New Roman" w:hAnsi="Times New Roman" w:cs="Times New Roman"/>
        </w:rPr>
        <w:t>t</w:t>
      </w:r>
      <w:r w:rsidR="00456195">
        <w:rPr>
          <w:rFonts w:ascii="Times New Roman" w:hAnsi="Times New Roman" w:cs="Times New Roman"/>
        </w:rPr>
        <w:t>ime points</w:t>
      </w:r>
      <w:r>
        <w:rPr>
          <w:rFonts w:ascii="Times New Roman" w:hAnsi="Times New Roman" w:cs="Times New Roman"/>
        </w:rPr>
        <w:t xml:space="preserve">: </w:t>
      </w:r>
      <w:r w:rsidR="00ED6E25">
        <w:rPr>
          <w:rFonts w:ascii="Times New Roman" w:hAnsi="Times New Roman" w:cs="Times New Roman"/>
        </w:rPr>
        <w:t>Time point</w:t>
      </w:r>
      <w:r w:rsidR="004F0C66">
        <w:rPr>
          <w:rFonts w:ascii="Times New Roman" w:hAnsi="Times New Roman" w:cs="Times New Roman"/>
        </w:rPr>
        <w:t xml:space="preserve"> </w:t>
      </w:r>
      <w:r w:rsidR="00D55AEE">
        <w:rPr>
          <w:rFonts w:ascii="Times New Roman" w:hAnsi="Times New Roman" w:cs="Times New Roman"/>
        </w:rPr>
        <w:t>1</w:t>
      </w:r>
      <w:r w:rsidR="004F0C66">
        <w:rPr>
          <w:rFonts w:ascii="Times New Roman" w:hAnsi="Times New Roman" w:cs="Times New Roman"/>
        </w:rPr>
        <w:t xml:space="preserve"> – p</w:t>
      </w:r>
      <w:r w:rsidR="004F0C66" w:rsidRPr="004F0C66">
        <w:rPr>
          <w:rFonts w:ascii="Times New Roman" w:hAnsi="Times New Roman" w:cs="Times New Roman"/>
        </w:rPr>
        <w:t>articipants provide</w:t>
      </w:r>
      <w:r w:rsidR="00D55AEE">
        <w:rPr>
          <w:rFonts w:ascii="Times New Roman" w:hAnsi="Times New Roman" w:cs="Times New Roman"/>
        </w:rPr>
        <w:t>d</w:t>
      </w:r>
      <w:r w:rsidR="004F0C66" w:rsidRPr="004F0C66">
        <w:rPr>
          <w:rFonts w:ascii="Times New Roman" w:hAnsi="Times New Roman" w:cs="Times New Roman"/>
        </w:rPr>
        <w:t xml:space="preserve"> a salivary sample</w:t>
      </w:r>
      <w:r w:rsidR="00F93716">
        <w:rPr>
          <w:rFonts w:ascii="Times New Roman" w:hAnsi="Times New Roman" w:cs="Times New Roman"/>
        </w:rPr>
        <w:t xml:space="preserve"> </w:t>
      </w:r>
      <w:r w:rsidR="004F0C66" w:rsidRPr="004F0C66">
        <w:rPr>
          <w:rFonts w:ascii="Times New Roman" w:hAnsi="Times New Roman" w:cs="Times New Roman"/>
        </w:rPr>
        <w:t xml:space="preserve">on a day of no activity </w:t>
      </w:r>
      <w:r w:rsidR="004F0C66">
        <w:rPr>
          <w:rFonts w:ascii="Times New Roman" w:hAnsi="Times New Roman" w:cs="Times New Roman"/>
        </w:rPr>
        <w:t>that serve</w:t>
      </w:r>
      <w:r w:rsidR="00D55AEE">
        <w:rPr>
          <w:rFonts w:ascii="Times New Roman" w:hAnsi="Times New Roman" w:cs="Times New Roman"/>
        </w:rPr>
        <w:t>d</w:t>
      </w:r>
      <w:r w:rsidR="004F0C66">
        <w:rPr>
          <w:rFonts w:ascii="Times New Roman" w:hAnsi="Times New Roman" w:cs="Times New Roman"/>
        </w:rPr>
        <w:t xml:space="preserve"> as</w:t>
      </w:r>
      <w:r w:rsidR="004F0C66" w:rsidRPr="004F0C66">
        <w:rPr>
          <w:rFonts w:ascii="Times New Roman" w:hAnsi="Times New Roman" w:cs="Times New Roman"/>
        </w:rPr>
        <w:t xml:space="preserve"> </w:t>
      </w:r>
      <w:r w:rsidR="00ED6E25">
        <w:rPr>
          <w:rFonts w:ascii="Times New Roman" w:hAnsi="Times New Roman" w:cs="Times New Roman"/>
        </w:rPr>
        <w:t>the baseline assessment</w:t>
      </w:r>
      <w:r w:rsidR="004F0C66" w:rsidRPr="004F0C66">
        <w:rPr>
          <w:rFonts w:ascii="Times New Roman" w:hAnsi="Times New Roman" w:cs="Times New Roman"/>
        </w:rPr>
        <w:t xml:space="preserve"> sampl</w:t>
      </w:r>
      <w:r w:rsidR="00F93716">
        <w:rPr>
          <w:rFonts w:ascii="Times New Roman" w:hAnsi="Times New Roman" w:cs="Times New Roman"/>
        </w:rPr>
        <w:t>e</w:t>
      </w:r>
      <w:r w:rsidR="004F0C66">
        <w:rPr>
          <w:rFonts w:ascii="Times New Roman" w:hAnsi="Times New Roman" w:cs="Times New Roman"/>
        </w:rPr>
        <w:t xml:space="preserve">; </w:t>
      </w:r>
      <w:r w:rsidR="00ED6E25">
        <w:rPr>
          <w:rFonts w:ascii="Times New Roman" w:hAnsi="Times New Roman" w:cs="Times New Roman"/>
        </w:rPr>
        <w:t>Time point</w:t>
      </w:r>
      <w:r>
        <w:rPr>
          <w:rFonts w:ascii="Times New Roman" w:hAnsi="Times New Roman" w:cs="Times New Roman"/>
        </w:rPr>
        <w:t xml:space="preserve"> </w:t>
      </w:r>
      <w:r w:rsidR="00D55AEE">
        <w:rPr>
          <w:rFonts w:ascii="Times New Roman" w:hAnsi="Times New Roman" w:cs="Times New Roman"/>
        </w:rPr>
        <w:t>2</w:t>
      </w:r>
      <w:r>
        <w:rPr>
          <w:rFonts w:ascii="Times New Roman" w:hAnsi="Times New Roman" w:cs="Times New Roman"/>
        </w:rPr>
        <w:t xml:space="preserve"> – </w:t>
      </w:r>
      <w:r w:rsidR="00F93716">
        <w:rPr>
          <w:rFonts w:ascii="Times New Roman" w:hAnsi="Times New Roman" w:cs="Times New Roman"/>
        </w:rPr>
        <w:t xml:space="preserve">one week later a </w:t>
      </w:r>
      <w:r w:rsidRPr="00A04F56">
        <w:rPr>
          <w:rFonts w:ascii="Times New Roman" w:hAnsi="Times New Roman" w:cs="Times New Roman"/>
        </w:rPr>
        <w:t>pre-practice salivary sample and countermovement jump (CMJ) testing followed by a sport-specific training session in the form of a team practice</w:t>
      </w:r>
      <w:r w:rsidR="00F93716">
        <w:rPr>
          <w:rFonts w:ascii="Times New Roman" w:hAnsi="Times New Roman" w:cs="Times New Roman"/>
        </w:rPr>
        <w:t xml:space="preserve"> was collected</w:t>
      </w:r>
      <w:r w:rsidR="00FF638D">
        <w:rPr>
          <w:rFonts w:ascii="Times New Roman" w:hAnsi="Times New Roman" w:cs="Times New Roman"/>
        </w:rPr>
        <w:t xml:space="preserve">; Time point 3 – </w:t>
      </w:r>
      <w:r w:rsidRPr="00A04F56">
        <w:rPr>
          <w:rFonts w:ascii="Times New Roman" w:hAnsi="Times New Roman" w:cs="Times New Roman"/>
        </w:rPr>
        <w:t xml:space="preserve">post-practice salivary sample and CMJ testing. </w:t>
      </w:r>
      <w:r w:rsidR="004521DD">
        <w:rPr>
          <w:rFonts w:ascii="Times New Roman" w:hAnsi="Times New Roman" w:cs="Times New Roman"/>
        </w:rPr>
        <w:t>Time points 4 and 5 included data collected in parallel to Time points 2 and 3, but occurred a</w:t>
      </w:r>
      <w:r w:rsidRPr="00A04F56">
        <w:rPr>
          <w:rFonts w:ascii="Times New Roman" w:hAnsi="Times New Roman" w:cs="Times New Roman"/>
        </w:rPr>
        <w:t xml:space="preserve">fter the </w:t>
      </w:r>
      <w:r w:rsidR="00F917DD">
        <w:rPr>
          <w:rFonts w:ascii="Times New Roman" w:hAnsi="Times New Roman" w:cs="Times New Roman"/>
        </w:rPr>
        <w:t>four</w:t>
      </w:r>
      <w:r w:rsidR="004521DD">
        <w:rPr>
          <w:rFonts w:ascii="Times New Roman" w:hAnsi="Times New Roman" w:cs="Times New Roman"/>
        </w:rPr>
        <w:t>-</w:t>
      </w:r>
      <w:r w:rsidRPr="00A04F56">
        <w:rPr>
          <w:rFonts w:ascii="Times New Roman" w:hAnsi="Times New Roman" w:cs="Times New Roman"/>
        </w:rPr>
        <w:t>week</w:t>
      </w:r>
      <w:r w:rsidR="004521DD">
        <w:rPr>
          <w:rFonts w:ascii="Times New Roman" w:hAnsi="Times New Roman" w:cs="Times New Roman"/>
        </w:rPr>
        <w:t>s</w:t>
      </w:r>
      <w:r w:rsidRPr="00A04F56">
        <w:rPr>
          <w:rFonts w:ascii="Times New Roman" w:hAnsi="Times New Roman" w:cs="Times New Roman"/>
        </w:rPr>
        <w:t xml:space="preserve"> </w:t>
      </w:r>
      <w:r w:rsidR="004521DD">
        <w:rPr>
          <w:rFonts w:ascii="Times New Roman" w:hAnsi="Times New Roman" w:cs="Times New Roman"/>
        </w:rPr>
        <w:t xml:space="preserve">of the </w:t>
      </w:r>
      <w:r w:rsidRPr="00A04F56">
        <w:rPr>
          <w:rFonts w:ascii="Times New Roman" w:hAnsi="Times New Roman" w:cs="Times New Roman"/>
        </w:rPr>
        <w:t>preseason training phase</w:t>
      </w:r>
      <w:r w:rsidR="004521DD">
        <w:rPr>
          <w:rFonts w:ascii="Times New Roman" w:hAnsi="Times New Roman" w:cs="Times New Roman"/>
        </w:rPr>
        <w:t xml:space="preserve">. Specifically, these time points included: </w:t>
      </w:r>
      <w:r w:rsidR="00F917DD">
        <w:rPr>
          <w:rFonts w:ascii="Times New Roman" w:hAnsi="Times New Roman" w:cs="Times New Roman"/>
        </w:rPr>
        <w:t>Time point 4</w:t>
      </w:r>
      <w:r w:rsidR="00797D25">
        <w:rPr>
          <w:rFonts w:ascii="Times New Roman" w:hAnsi="Times New Roman" w:cs="Times New Roman"/>
        </w:rPr>
        <w:t xml:space="preserve"> </w:t>
      </w:r>
      <w:r w:rsidRPr="00A04F56">
        <w:rPr>
          <w:rFonts w:ascii="Times New Roman" w:hAnsi="Times New Roman" w:cs="Times New Roman"/>
        </w:rPr>
        <w:t xml:space="preserve">– pre-practice salivary sample and CMJ testing followed by a sport-specific training session in the </w:t>
      </w:r>
      <w:r w:rsidRPr="00A04F56">
        <w:rPr>
          <w:rFonts w:ascii="Times New Roman" w:hAnsi="Times New Roman" w:cs="Times New Roman"/>
        </w:rPr>
        <w:lastRenderedPageBreak/>
        <w:t xml:space="preserve">form of a team practice that </w:t>
      </w:r>
      <w:r w:rsidR="003C3BC4">
        <w:rPr>
          <w:rFonts w:ascii="Times New Roman" w:hAnsi="Times New Roman" w:cs="Times New Roman"/>
        </w:rPr>
        <w:t xml:space="preserve">resembled the </w:t>
      </w:r>
      <w:proofErr w:type="spellStart"/>
      <w:r w:rsidR="003C3BC4">
        <w:rPr>
          <w:rFonts w:ascii="Times New Roman" w:hAnsi="Times New Roman" w:cs="Times New Roman"/>
        </w:rPr>
        <w:t>eTL</w:t>
      </w:r>
      <w:proofErr w:type="spellEnd"/>
      <w:r w:rsidRPr="00A04F56">
        <w:rPr>
          <w:rFonts w:ascii="Times New Roman" w:hAnsi="Times New Roman" w:cs="Times New Roman"/>
        </w:rPr>
        <w:t xml:space="preserve"> demands in </w:t>
      </w:r>
      <w:r w:rsidR="00993A48">
        <w:rPr>
          <w:rFonts w:ascii="Times New Roman" w:hAnsi="Times New Roman" w:cs="Times New Roman"/>
        </w:rPr>
        <w:t>time point</w:t>
      </w:r>
      <w:r w:rsidRPr="00A04F56">
        <w:rPr>
          <w:rFonts w:ascii="Times New Roman" w:hAnsi="Times New Roman" w:cs="Times New Roman"/>
        </w:rPr>
        <w:t xml:space="preserve"> 2</w:t>
      </w:r>
      <w:r w:rsidR="00993A48">
        <w:rPr>
          <w:rFonts w:ascii="Times New Roman" w:hAnsi="Times New Roman" w:cs="Times New Roman"/>
        </w:rPr>
        <w:t>;</w:t>
      </w:r>
      <w:r w:rsidRPr="00A04F56">
        <w:rPr>
          <w:rFonts w:ascii="Times New Roman" w:hAnsi="Times New Roman" w:cs="Times New Roman"/>
        </w:rPr>
        <w:t xml:space="preserve"> and finally </w:t>
      </w:r>
      <w:r w:rsidR="00F917DD">
        <w:rPr>
          <w:rFonts w:ascii="Times New Roman" w:hAnsi="Times New Roman" w:cs="Times New Roman"/>
        </w:rPr>
        <w:t xml:space="preserve">time point 5 – </w:t>
      </w:r>
      <w:r w:rsidRPr="00A04F56">
        <w:rPr>
          <w:rFonts w:ascii="Times New Roman" w:hAnsi="Times New Roman" w:cs="Times New Roman"/>
        </w:rPr>
        <w:t>a post-practice salivary sample and CMJ testing</w:t>
      </w:r>
      <w:r w:rsidR="00993A48">
        <w:rPr>
          <w:rFonts w:ascii="Times New Roman" w:hAnsi="Times New Roman" w:cs="Times New Roman"/>
        </w:rPr>
        <w:t xml:space="preserve">. </w:t>
      </w:r>
    </w:p>
    <w:p w14:paraId="3711BA13" w14:textId="046A119F" w:rsidR="00993A48" w:rsidRDefault="00F43576" w:rsidP="0051641E">
      <w:pPr>
        <w:spacing w:line="480" w:lineRule="auto"/>
        <w:jc w:val="both"/>
        <w:rPr>
          <w:rFonts w:ascii="Times New Roman" w:hAnsi="Times New Roman" w:cs="Times New Roman"/>
        </w:rPr>
      </w:pPr>
      <w:r>
        <w:rPr>
          <w:noProof/>
        </w:rPr>
        <mc:AlternateContent>
          <mc:Choice Requires="wps">
            <w:drawing>
              <wp:anchor distT="0" distB="0" distL="114300" distR="114300" simplePos="0" relativeHeight="251679744" behindDoc="0" locked="0" layoutInCell="1" allowOverlap="1" wp14:anchorId="0A5F05D4" wp14:editId="56950349">
                <wp:simplePos x="0" y="0"/>
                <wp:positionH relativeFrom="column">
                  <wp:posOffset>300990</wp:posOffset>
                </wp:positionH>
                <wp:positionV relativeFrom="paragraph">
                  <wp:posOffset>1712636</wp:posOffset>
                </wp:positionV>
                <wp:extent cx="5384800" cy="635"/>
                <wp:effectExtent l="0" t="0" r="0" b="12065"/>
                <wp:wrapTopAndBottom/>
                <wp:docPr id="1" name="Text Box 1"/>
                <wp:cNvGraphicFramePr/>
                <a:graphic xmlns:a="http://schemas.openxmlformats.org/drawingml/2006/main">
                  <a:graphicData uri="http://schemas.microsoft.com/office/word/2010/wordprocessingShape">
                    <wps:wsp>
                      <wps:cNvSpPr txBox="1"/>
                      <wps:spPr>
                        <a:xfrm>
                          <a:off x="0" y="0"/>
                          <a:ext cx="5384800" cy="635"/>
                        </a:xfrm>
                        <a:prstGeom prst="rect">
                          <a:avLst/>
                        </a:prstGeom>
                        <a:solidFill>
                          <a:prstClr val="white"/>
                        </a:solidFill>
                        <a:ln>
                          <a:noFill/>
                        </a:ln>
                      </wps:spPr>
                      <wps:txbx>
                        <w:txbxContent>
                          <w:p w14:paraId="588E990F" w14:textId="4040FC57" w:rsidR="00F43576" w:rsidRPr="00F43576" w:rsidRDefault="00F43576" w:rsidP="00F43576">
                            <w:pPr>
                              <w:pStyle w:val="Caption"/>
                              <w:jc w:val="center"/>
                              <w:rPr>
                                <w:rFonts w:ascii="Times New Roman" w:eastAsiaTheme="minorHAnsi" w:hAnsi="Times New Roman"/>
                                <w:noProof/>
                                <w:sz w:val="20"/>
                                <w:szCs w:val="20"/>
                              </w:rPr>
                            </w:pPr>
                            <w:bookmarkStart w:id="44" w:name="_Toc100670665"/>
                            <w:r w:rsidRPr="00F43576">
                              <w:rPr>
                                <w:rFonts w:ascii="Times New Roman" w:hAnsi="Times New Roman"/>
                                <w:sz w:val="20"/>
                                <w:szCs w:val="20"/>
                              </w:rPr>
                              <w:t xml:space="preserve">Figure </w:t>
                            </w:r>
                            <w:r w:rsidRPr="00F43576">
                              <w:rPr>
                                <w:rFonts w:ascii="Times New Roman" w:hAnsi="Times New Roman"/>
                                <w:sz w:val="20"/>
                                <w:szCs w:val="20"/>
                              </w:rPr>
                              <w:fldChar w:fldCharType="begin"/>
                            </w:r>
                            <w:r w:rsidRPr="00F43576">
                              <w:rPr>
                                <w:rFonts w:ascii="Times New Roman" w:hAnsi="Times New Roman"/>
                                <w:sz w:val="20"/>
                                <w:szCs w:val="20"/>
                              </w:rPr>
                              <w:instrText xml:space="preserve"> SEQ Figure \* ARABIC </w:instrText>
                            </w:r>
                            <w:r w:rsidRPr="00F43576">
                              <w:rPr>
                                <w:rFonts w:ascii="Times New Roman" w:hAnsi="Times New Roman"/>
                                <w:sz w:val="20"/>
                                <w:szCs w:val="20"/>
                              </w:rPr>
                              <w:fldChar w:fldCharType="separate"/>
                            </w:r>
                            <w:r w:rsidR="002101E0">
                              <w:rPr>
                                <w:rFonts w:ascii="Times New Roman" w:hAnsi="Times New Roman"/>
                                <w:noProof/>
                                <w:sz w:val="20"/>
                                <w:szCs w:val="20"/>
                              </w:rPr>
                              <w:t>1</w:t>
                            </w:r>
                            <w:r w:rsidRPr="00F43576">
                              <w:rPr>
                                <w:rFonts w:ascii="Times New Roman" w:hAnsi="Times New Roman"/>
                                <w:sz w:val="20"/>
                                <w:szCs w:val="20"/>
                              </w:rPr>
                              <w:fldChar w:fldCharType="end"/>
                            </w:r>
                            <w:r w:rsidRPr="00F43576">
                              <w:rPr>
                                <w:rFonts w:ascii="Times New Roman" w:hAnsi="Times New Roman"/>
                                <w:sz w:val="20"/>
                                <w:szCs w:val="20"/>
                              </w:rPr>
                              <w:t xml:space="preserve">. Diagrammatic </w:t>
                            </w:r>
                            <w:r>
                              <w:rPr>
                                <w:rFonts w:ascii="Times New Roman" w:hAnsi="Times New Roman"/>
                                <w:sz w:val="20"/>
                                <w:szCs w:val="20"/>
                              </w:rPr>
                              <w:t>R</w:t>
                            </w:r>
                            <w:r w:rsidRPr="00F43576">
                              <w:rPr>
                                <w:rFonts w:ascii="Times New Roman" w:hAnsi="Times New Roman"/>
                                <w:sz w:val="20"/>
                                <w:szCs w:val="20"/>
                              </w:rPr>
                              <w:t xml:space="preserve">epresentation of the </w:t>
                            </w:r>
                            <w:r>
                              <w:rPr>
                                <w:rFonts w:ascii="Times New Roman" w:hAnsi="Times New Roman"/>
                                <w:sz w:val="20"/>
                                <w:szCs w:val="20"/>
                              </w:rPr>
                              <w:t>R</w:t>
                            </w:r>
                            <w:r w:rsidRPr="00F43576">
                              <w:rPr>
                                <w:rFonts w:ascii="Times New Roman" w:hAnsi="Times New Roman"/>
                                <w:sz w:val="20"/>
                                <w:szCs w:val="20"/>
                              </w:rPr>
                              <w:t xml:space="preserve">esearch </w:t>
                            </w:r>
                            <w:r>
                              <w:rPr>
                                <w:rFonts w:ascii="Times New Roman" w:hAnsi="Times New Roman"/>
                                <w:sz w:val="20"/>
                                <w:szCs w:val="20"/>
                              </w:rPr>
                              <w:t>D</w:t>
                            </w:r>
                            <w:r w:rsidRPr="00F43576">
                              <w:rPr>
                                <w:rFonts w:ascii="Times New Roman" w:hAnsi="Times New Roman"/>
                                <w:sz w:val="20"/>
                                <w:szCs w:val="20"/>
                              </w:rPr>
                              <w:t>esign.</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A5F05D4" id="_x0000_t202" coordsize="21600,21600" o:spt="202" path="m,l,21600r21600,l21600,xe">
                <v:stroke joinstyle="miter"/>
                <v:path gradientshapeok="t" o:connecttype="rect"/>
              </v:shapetype>
              <v:shape id="Text Box 1" o:spid="_x0000_s1026" type="#_x0000_t202" style="position:absolute;left:0;text-align:left;margin-left:23.7pt;margin-top:134.85pt;width:424pt;height:.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" stroked="f">
                <v:textbox style="mso-fit-shape-to-text:t" inset="0,0,0,0">
                  <w:txbxContent>
                    <w:p w14:paraId="588E990F" w14:textId="4040FC57" w:rsidR="00F43576" w:rsidRPr="00F43576" w:rsidRDefault="00F43576" w:rsidP="00F43576">
                      <w:pPr>
                        <w:pStyle w:val="Caption"/>
                        <w:jc w:val="center"/>
                        <w:rPr>
                          <w:rFonts w:ascii="Times New Roman" w:eastAsiaTheme="minorHAnsi" w:hAnsi="Times New Roman"/>
                          <w:noProof/>
                          <w:sz w:val="20"/>
                          <w:szCs w:val="20"/>
                        </w:rPr>
                      </w:pPr>
                      <w:bookmarkStart w:id="45" w:name="_Toc100670665"/>
                      <w:r w:rsidRPr="00F43576">
                        <w:rPr>
                          <w:rFonts w:ascii="Times New Roman" w:hAnsi="Times New Roman"/>
                          <w:sz w:val="20"/>
                          <w:szCs w:val="20"/>
                        </w:rPr>
                        <w:t xml:space="preserve">Figure </w:t>
                      </w:r>
                      <w:r w:rsidRPr="00F43576">
                        <w:rPr>
                          <w:rFonts w:ascii="Times New Roman" w:hAnsi="Times New Roman"/>
                          <w:sz w:val="20"/>
                          <w:szCs w:val="20"/>
                        </w:rPr>
                        <w:fldChar w:fldCharType="begin"/>
                      </w:r>
                      <w:r w:rsidRPr="00F43576">
                        <w:rPr>
                          <w:rFonts w:ascii="Times New Roman" w:hAnsi="Times New Roman"/>
                          <w:sz w:val="20"/>
                          <w:szCs w:val="20"/>
                        </w:rPr>
                        <w:instrText xml:space="preserve"> SEQ Figure \* ARABIC </w:instrText>
                      </w:r>
                      <w:r w:rsidRPr="00F43576">
                        <w:rPr>
                          <w:rFonts w:ascii="Times New Roman" w:hAnsi="Times New Roman"/>
                          <w:sz w:val="20"/>
                          <w:szCs w:val="20"/>
                        </w:rPr>
                        <w:fldChar w:fldCharType="separate"/>
                      </w:r>
                      <w:r w:rsidR="002101E0">
                        <w:rPr>
                          <w:rFonts w:ascii="Times New Roman" w:hAnsi="Times New Roman"/>
                          <w:noProof/>
                          <w:sz w:val="20"/>
                          <w:szCs w:val="20"/>
                        </w:rPr>
                        <w:t>1</w:t>
                      </w:r>
                      <w:r w:rsidRPr="00F43576">
                        <w:rPr>
                          <w:rFonts w:ascii="Times New Roman" w:hAnsi="Times New Roman"/>
                          <w:sz w:val="20"/>
                          <w:szCs w:val="20"/>
                        </w:rPr>
                        <w:fldChar w:fldCharType="end"/>
                      </w:r>
                      <w:r w:rsidRPr="00F43576">
                        <w:rPr>
                          <w:rFonts w:ascii="Times New Roman" w:hAnsi="Times New Roman"/>
                          <w:sz w:val="20"/>
                          <w:szCs w:val="20"/>
                        </w:rPr>
                        <w:t xml:space="preserve">. Diagrammatic </w:t>
                      </w:r>
                      <w:r>
                        <w:rPr>
                          <w:rFonts w:ascii="Times New Roman" w:hAnsi="Times New Roman"/>
                          <w:sz w:val="20"/>
                          <w:szCs w:val="20"/>
                        </w:rPr>
                        <w:t>R</w:t>
                      </w:r>
                      <w:r w:rsidRPr="00F43576">
                        <w:rPr>
                          <w:rFonts w:ascii="Times New Roman" w:hAnsi="Times New Roman"/>
                          <w:sz w:val="20"/>
                          <w:szCs w:val="20"/>
                        </w:rPr>
                        <w:t xml:space="preserve">epresentation of the </w:t>
                      </w:r>
                      <w:r>
                        <w:rPr>
                          <w:rFonts w:ascii="Times New Roman" w:hAnsi="Times New Roman"/>
                          <w:sz w:val="20"/>
                          <w:szCs w:val="20"/>
                        </w:rPr>
                        <w:t>R</w:t>
                      </w:r>
                      <w:r w:rsidRPr="00F43576">
                        <w:rPr>
                          <w:rFonts w:ascii="Times New Roman" w:hAnsi="Times New Roman"/>
                          <w:sz w:val="20"/>
                          <w:szCs w:val="20"/>
                        </w:rPr>
                        <w:t xml:space="preserve">esearch </w:t>
                      </w:r>
                      <w:r>
                        <w:rPr>
                          <w:rFonts w:ascii="Times New Roman" w:hAnsi="Times New Roman"/>
                          <w:sz w:val="20"/>
                          <w:szCs w:val="20"/>
                        </w:rPr>
                        <w:t>D</w:t>
                      </w:r>
                      <w:r w:rsidRPr="00F43576">
                        <w:rPr>
                          <w:rFonts w:ascii="Times New Roman" w:hAnsi="Times New Roman"/>
                          <w:sz w:val="20"/>
                          <w:szCs w:val="20"/>
                        </w:rPr>
                        <w:t>esign.</w:t>
                      </w:r>
                      <w:bookmarkEnd w:id="45"/>
                    </w:p>
                  </w:txbxContent>
                </v:textbox>
                <w10:wrap type="topAndBottom"/>
              </v:shape>
            </w:pict>
          </mc:Fallback>
        </mc:AlternateContent>
      </w:r>
      <w:r w:rsidR="00993A48">
        <w:rPr>
          <w:rFonts w:ascii="Times New Roman" w:hAnsi="Times New Roman" w:cs="Times New Roman"/>
          <w:noProof/>
        </w:rPr>
        <w:drawing>
          <wp:inline distT="0" distB="0" distL="0" distR="0" wp14:anchorId="4921B1DC" wp14:editId="37C0B588">
            <wp:extent cx="5943600" cy="1542415"/>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943600" cy="1542415"/>
                    </a:xfrm>
                    <a:prstGeom prst="rect">
                      <a:avLst/>
                    </a:prstGeom>
                  </pic:spPr>
                </pic:pic>
              </a:graphicData>
            </a:graphic>
          </wp:inline>
        </w:drawing>
      </w:r>
    </w:p>
    <w:p w14:paraId="7432AFD0" w14:textId="77777777" w:rsidR="00F43576" w:rsidRDefault="00F43576" w:rsidP="0051641E">
      <w:pPr>
        <w:spacing w:line="480" w:lineRule="auto"/>
        <w:jc w:val="both"/>
        <w:rPr>
          <w:rFonts w:ascii="Times New Roman" w:hAnsi="Times New Roman" w:cs="Times New Roman"/>
        </w:rPr>
      </w:pPr>
    </w:p>
    <w:p w14:paraId="397AE5C1" w14:textId="637A1DEC" w:rsidR="00044CD8" w:rsidRDefault="00E96E9C" w:rsidP="00993A48">
      <w:pPr>
        <w:spacing w:line="480" w:lineRule="auto"/>
        <w:ind w:firstLine="720"/>
        <w:jc w:val="both"/>
        <w:rPr>
          <w:rFonts w:ascii="Times New Roman" w:hAnsi="Times New Roman" w:cs="Times New Roman"/>
        </w:rPr>
      </w:pPr>
      <w:r>
        <w:rPr>
          <w:rFonts w:ascii="Times New Roman" w:hAnsi="Times New Roman" w:cs="Times New Roman"/>
        </w:rPr>
        <w:t>Time point</w:t>
      </w:r>
      <w:r w:rsidR="0059389E">
        <w:rPr>
          <w:rFonts w:ascii="Times New Roman" w:hAnsi="Times New Roman" w:cs="Times New Roman"/>
        </w:rPr>
        <w:t xml:space="preserve"> </w:t>
      </w:r>
      <w:r w:rsidR="00091C96">
        <w:rPr>
          <w:rFonts w:ascii="Times New Roman" w:hAnsi="Times New Roman" w:cs="Times New Roman"/>
        </w:rPr>
        <w:t>1</w:t>
      </w:r>
      <w:r w:rsidR="0059389E">
        <w:rPr>
          <w:rFonts w:ascii="Times New Roman" w:hAnsi="Times New Roman" w:cs="Times New Roman"/>
        </w:rPr>
        <w:t xml:space="preserve"> serve</w:t>
      </w:r>
      <w:r w:rsidR="00523D3A">
        <w:rPr>
          <w:rFonts w:ascii="Times New Roman" w:hAnsi="Times New Roman" w:cs="Times New Roman"/>
        </w:rPr>
        <w:t>d</w:t>
      </w:r>
      <w:r w:rsidR="0059389E">
        <w:rPr>
          <w:rFonts w:ascii="Times New Roman" w:hAnsi="Times New Roman" w:cs="Times New Roman"/>
        </w:rPr>
        <w:t xml:space="preserve"> as a </w:t>
      </w:r>
      <w:r>
        <w:rPr>
          <w:rFonts w:ascii="Times New Roman" w:hAnsi="Times New Roman" w:cs="Times New Roman"/>
        </w:rPr>
        <w:t>baseline assessment</w:t>
      </w:r>
      <w:r w:rsidR="0059389E">
        <w:rPr>
          <w:rFonts w:ascii="Times New Roman" w:hAnsi="Times New Roman" w:cs="Times New Roman"/>
        </w:rPr>
        <w:t xml:space="preserve"> sample that help</w:t>
      </w:r>
      <w:r w:rsidR="00523D3A">
        <w:rPr>
          <w:rFonts w:ascii="Times New Roman" w:hAnsi="Times New Roman" w:cs="Times New Roman"/>
        </w:rPr>
        <w:t>ed</w:t>
      </w:r>
      <w:r w:rsidR="0059389E">
        <w:rPr>
          <w:rFonts w:ascii="Times New Roman" w:hAnsi="Times New Roman" w:cs="Times New Roman"/>
        </w:rPr>
        <w:t xml:space="preserve"> to identify any influences of an anticipatory change in salivary hormone responses for the activity in </w:t>
      </w:r>
      <w:r>
        <w:rPr>
          <w:rFonts w:ascii="Times New Roman" w:hAnsi="Times New Roman" w:cs="Times New Roman"/>
        </w:rPr>
        <w:t>time points</w:t>
      </w:r>
      <w:r w:rsidR="0059389E">
        <w:rPr>
          <w:rFonts w:ascii="Times New Roman" w:hAnsi="Times New Roman" w:cs="Times New Roman"/>
        </w:rPr>
        <w:t xml:space="preserve"> </w:t>
      </w:r>
      <w:r w:rsidR="00091C96">
        <w:rPr>
          <w:rFonts w:ascii="Times New Roman" w:hAnsi="Times New Roman" w:cs="Times New Roman"/>
        </w:rPr>
        <w:t>2</w:t>
      </w:r>
      <w:r w:rsidR="0059389E">
        <w:rPr>
          <w:rFonts w:ascii="Times New Roman" w:hAnsi="Times New Roman" w:cs="Times New Roman"/>
        </w:rPr>
        <w:t xml:space="preserve">, </w:t>
      </w:r>
      <w:r w:rsidR="00091C96">
        <w:rPr>
          <w:rFonts w:ascii="Times New Roman" w:hAnsi="Times New Roman" w:cs="Times New Roman"/>
        </w:rPr>
        <w:t>3</w:t>
      </w:r>
      <w:r w:rsidR="0059389E">
        <w:rPr>
          <w:rFonts w:ascii="Times New Roman" w:hAnsi="Times New Roman" w:cs="Times New Roman"/>
        </w:rPr>
        <w:t xml:space="preserve">, </w:t>
      </w:r>
      <w:r w:rsidR="00091C96">
        <w:rPr>
          <w:rFonts w:ascii="Times New Roman" w:hAnsi="Times New Roman" w:cs="Times New Roman"/>
        </w:rPr>
        <w:t>4</w:t>
      </w:r>
      <w:r>
        <w:rPr>
          <w:rFonts w:ascii="Times New Roman" w:hAnsi="Times New Roman" w:cs="Times New Roman"/>
        </w:rPr>
        <w:t>, and 5</w:t>
      </w:r>
      <w:r w:rsidR="0059389E">
        <w:rPr>
          <w:rFonts w:ascii="Times New Roman" w:hAnsi="Times New Roman" w:cs="Times New Roman"/>
        </w:rPr>
        <w:t xml:space="preserve"> </w:t>
      </w:r>
      <w:r w:rsidR="0059389E">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{"citationID":"VjVXAilZ","properties":{"formattedCitation":"(Hayes et al., 2015)","plainCitation":"(Hayes et al., 2015)","noteIndex":0},"citationItems":[{"id":493,"uris":["http://zotero.org/users/6327055/items/PWS8RGZ9"],"itemData":{"id":493,"type":"article-journal","abstract":"Background Testosterone, cortisol and their ratios may be indicators of anabolic status, but technical issues surrounding blood sampling has limited wider application. The advent of salivary testosterone (sal-T) analysis simpliﬁed sample acquisition, resulting in a subsequent rapid increase in the number of published research articles.","container-title":"Sports Medicine","DOI":"10.1007/s40279-015-0306-y","ISSN":"0112-1642, 1179-2035","issue":"5","journalAbbreviation":"Sports Med","language":"en","page":"713-726","source":"DOI.org (Crossref)","title":"Exercise-induced responses in salivary testosterone, cortisol, and their ratios in men: a meta-analysis","title-short":"Exercise-Induced Responses in Salivary Testosterone, Cortisol, and Their Ratios in Men","volume":"45","author":[{"family":"Hayes","given":"Lawrence D."},{"family":"Grace","given":"Fergal M."},{"family":"Baker","given":"Julien S."},{"family":"Sculthorpe","given":"Nicholas"}],"issued":{"date-parts":[["2015",5]]}}}],"schema":"https://github.com/citation-style-language/schema/raw/master/csl-citation.json"} </w:instrText>
      </w:r>
      <w:r w:rsidR="0059389E">
        <w:rPr>
          <w:rFonts w:ascii="Times New Roman" w:hAnsi="Times New Roman" w:cs="Times New Roman"/>
        </w:rPr>
        <w:fldChar w:fldCharType="separate"/>
      </w:r>
      <w:r w:rsidR="0059389E">
        <w:rPr>
          <w:rFonts w:ascii="Times New Roman" w:hAnsi="Times New Roman" w:cs="Times New Roman"/>
          <w:noProof/>
        </w:rPr>
        <w:t>(Hayes et al., 2015)</w:t>
      </w:r>
      <w:r w:rsidR="0059389E">
        <w:rPr>
          <w:rFonts w:ascii="Times New Roman" w:hAnsi="Times New Roman" w:cs="Times New Roman"/>
        </w:rPr>
        <w:fldChar w:fldCharType="end"/>
      </w:r>
      <w:r w:rsidR="0059389E">
        <w:rPr>
          <w:rFonts w:ascii="Times New Roman" w:hAnsi="Times New Roman" w:cs="Times New Roman"/>
        </w:rPr>
        <w:t>.</w:t>
      </w:r>
      <w:r w:rsidR="00993A48">
        <w:rPr>
          <w:rFonts w:ascii="Times New Roman" w:hAnsi="Times New Roman" w:cs="Times New Roman"/>
        </w:rPr>
        <w:t xml:space="preserve"> </w:t>
      </w:r>
      <w:r w:rsidR="00007FD9">
        <w:rPr>
          <w:rFonts w:ascii="Times New Roman" w:hAnsi="Times New Roman" w:cs="Times New Roman"/>
        </w:rPr>
        <w:t xml:space="preserve">The variables of interest were all collected at the same time of day to limit the influence of diurnal variations of hormones </w:t>
      </w:r>
      <w:r w:rsidR="00007FD9">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{"citationID":"y5j22rmN","properties":{"formattedCitation":"(Kraemer &amp; Ratamess, 2005)","plainCitation":"(Kraemer &amp; Ratamess, 2005)","noteIndex":0},"citationItems":[{"id":129,"uris":["http://zotero.org/users/6327055/items/SPBDA3V8"],"itemData":{"id":129,"type":"article-journal","container-title":"Sports Medicine","DOI":"10.2165/00007256-200535040-00004","ISSN":"0112-1642","issue":"4","journalAbbreviation":"Sports Medicine","language":"en","page":"339-361","source":"DOI.org (Crossref)","title":"Hormonal responses and adaptations to resistance exercise and training:","title-short":"Hormonal Responses and Adaptations to Resistance Exercise and Training","volume":"35","author":[{"family":"Kraemer","given":"William J"},{"family":"Ratamess","given":"Nicholas A"}],"issued":{"date-parts":[["2005"]]}}}],"schema":"https://github.com/citation-style-language/schema/raw/master/csl-citation.json"} </w:instrText>
      </w:r>
      <w:r w:rsidR="00007FD9">
        <w:rPr>
          <w:rFonts w:ascii="Times New Roman" w:hAnsi="Times New Roman" w:cs="Times New Roman"/>
        </w:rPr>
        <w:fldChar w:fldCharType="separate"/>
      </w:r>
      <w:r w:rsidR="00007FD9">
        <w:rPr>
          <w:rFonts w:ascii="Times New Roman" w:hAnsi="Times New Roman" w:cs="Times New Roman"/>
          <w:noProof/>
        </w:rPr>
        <w:t>(Kraemer &amp; Ratamess, 2005)</w:t>
      </w:r>
      <w:r w:rsidR="00007FD9">
        <w:rPr>
          <w:rFonts w:ascii="Times New Roman" w:hAnsi="Times New Roman" w:cs="Times New Roman"/>
        </w:rPr>
        <w:fldChar w:fldCharType="end"/>
      </w:r>
      <w:r w:rsidR="00007FD9">
        <w:rPr>
          <w:rFonts w:ascii="Times New Roman" w:hAnsi="Times New Roman" w:cs="Times New Roman"/>
        </w:rPr>
        <w:t xml:space="preserve"> as well as CMJ performance alterations </w:t>
      </w:r>
      <w:r w:rsidR="00007FD9">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{"citationID":"euMQX8OL","properties":{"formattedCitation":"(A. D. Heishman et al., 2017)","plainCitation":"(A. D. Heishman et al., 2017)","noteIndex":0},"citationItems":[{"id":72,"uris":["http://zotero.org/users/6327055/items/5BLUV5Q6"],"itemData":{"id":72,"type":"article-journal","container-title":"Journal of Strength and Conditioning Research","DOI":"10.1519/JSC.0000000000001882","ISSN":"1064-8011","issue":"6","journalAbbreviation":"Journal of Strength and Conditioning Research","language":"en","page":"1557-1562","source":"DOI.org (Crossref)","title":"Comparing Performance During Morning vs. Afternoon Training Sessions in Intercollegiate Basketball Players:","title-short":"Comparing Performance During Morning vs. Afternoon Training Sessions in Intercollegiate Basketball Players","volume":"31","author":[{"family":"Heishman","given":"Aaron D."},{"family":"Curtis","given":"Michael A."},{"family":"Saliba","given":"Ethan N."},{"family":"Hornett","given":"Robert J."},{"family":"Malin","given":"Steven K."},{"family":"Weltman","given":"Arthur L."}],"issued":{"date-parts":[["2017",6]]}}}],"schema":"https://github.com/citation-style-language/schema/raw/master/csl-citation.json"} </w:instrText>
      </w:r>
      <w:r w:rsidR="00007FD9">
        <w:rPr>
          <w:rFonts w:ascii="Times New Roman" w:hAnsi="Times New Roman" w:cs="Times New Roman"/>
        </w:rPr>
        <w:fldChar w:fldCharType="separate"/>
      </w:r>
      <w:r w:rsidR="00007FD9">
        <w:rPr>
          <w:rFonts w:ascii="Times New Roman" w:hAnsi="Times New Roman" w:cs="Times New Roman"/>
          <w:noProof/>
        </w:rPr>
        <w:t>(A. D. Heishman et al., 2017)</w:t>
      </w:r>
      <w:r w:rsidR="00007FD9">
        <w:rPr>
          <w:rFonts w:ascii="Times New Roman" w:hAnsi="Times New Roman" w:cs="Times New Roman"/>
        </w:rPr>
        <w:fldChar w:fldCharType="end"/>
      </w:r>
      <w:r w:rsidR="00007FD9">
        <w:rPr>
          <w:rFonts w:ascii="Times New Roman" w:hAnsi="Times New Roman" w:cs="Times New Roman"/>
        </w:rPr>
        <w:t xml:space="preserve">. </w:t>
      </w:r>
      <w:r>
        <w:rPr>
          <w:rFonts w:ascii="Times New Roman" w:hAnsi="Times New Roman" w:cs="Times New Roman"/>
        </w:rPr>
        <w:t>Each participant</w:t>
      </w:r>
      <w:r w:rsidR="00007FD9">
        <w:rPr>
          <w:rFonts w:ascii="Times New Roman" w:hAnsi="Times New Roman" w:cs="Times New Roman"/>
        </w:rPr>
        <w:t xml:space="preserve"> </w:t>
      </w:r>
      <w:r w:rsidR="003B3C9C">
        <w:rPr>
          <w:rFonts w:ascii="Times New Roman" w:hAnsi="Times New Roman" w:cs="Times New Roman"/>
        </w:rPr>
        <w:t>consented</w:t>
      </w:r>
      <w:r w:rsidR="00007FD9">
        <w:rPr>
          <w:rFonts w:ascii="Times New Roman" w:hAnsi="Times New Roman" w:cs="Times New Roman"/>
        </w:rPr>
        <w:t xml:space="preserve"> to </w:t>
      </w:r>
      <w:r w:rsidR="003B3C9C">
        <w:rPr>
          <w:rFonts w:ascii="Times New Roman" w:hAnsi="Times New Roman" w:cs="Times New Roman"/>
        </w:rPr>
        <w:t xml:space="preserve">the </w:t>
      </w:r>
      <w:r>
        <w:rPr>
          <w:rFonts w:ascii="Times New Roman" w:hAnsi="Times New Roman" w:cs="Times New Roman"/>
        </w:rPr>
        <w:t xml:space="preserve">release </w:t>
      </w:r>
      <w:r w:rsidR="003B3C9C">
        <w:rPr>
          <w:rFonts w:ascii="Times New Roman" w:hAnsi="Times New Roman" w:cs="Times New Roman"/>
        </w:rPr>
        <w:t xml:space="preserve">of </w:t>
      </w:r>
      <w:r>
        <w:rPr>
          <w:rFonts w:ascii="Times New Roman" w:hAnsi="Times New Roman" w:cs="Times New Roman"/>
        </w:rPr>
        <w:t xml:space="preserve">their </w:t>
      </w:r>
      <w:r w:rsidR="003B3C9C">
        <w:rPr>
          <w:rFonts w:ascii="Times New Roman" w:hAnsi="Times New Roman" w:cs="Times New Roman"/>
        </w:rPr>
        <w:t xml:space="preserve">individual </w:t>
      </w:r>
      <w:r>
        <w:rPr>
          <w:rFonts w:ascii="Times New Roman" w:hAnsi="Times New Roman" w:cs="Times New Roman"/>
        </w:rPr>
        <w:t xml:space="preserve">de-identified data to the research team and were informed of the inherent risks and benefits </w:t>
      </w:r>
      <w:r w:rsidR="00BB2A28">
        <w:rPr>
          <w:rFonts w:ascii="Times New Roman" w:hAnsi="Times New Roman" w:cs="Times New Roman"/>
        </w:rPr>
        <w:t>from this retrospective study.</w:t>
      </w:r>
      <w:r w:rsidR="00007FD9">
        <w:rPr>
          <w:rFonts w:ascii="Times New Roman" w:hAnsi="Times New Roman" w:cs="Times New Roman"/>
        </w:rPr>
        <w:t xml:space="preserve"> </w:t>
      </w:r>
      <w:r w:rsidR="003B3C9C">
        <w:rPr>
          <w:rFonts w:ascii="Times New Roman" w:hAnsi="Times New Roman" w:cs="Times New Roman"/>
        </w:rPr>
        <w:t xml:space="preserve">All participants were assured that their decision to allow the use of their data in the analysis would have no impact on their </w:t>
      </w:r>
      <w:r w:rsidR="00842918">
        <w:rPr>
          <w:rFonts w:ascii="Times New Roman" w:hAnsi="Times New Roman" w:cs="Times New Roman"/>
        </w:rPr>
        <w:t xml:space="preserve">status on the team. </w:t>
      </w:r>
    </w:p>
    <w:p w14:paraId="22A3D5F5" w14:textId="71AA935B" w:rsidR="0051641E" w:rsidRPr="00195D51" w:rsidRDefault="0051641E" w:rsidP="00F829B9">
      <w:pPr>
        <w:pStyle w:val="Heading2"/>
      </w:pPr>
      <w:bookmarkStart w:id="45" w:name="_Toc99267623"/>
      <w:r w:rsidRPr="00195D51">
        <w:t>Participants</w:t>
      </w:r>
      <w:bookmarkEnd w:id="45"/>
    </w:p>
    <w:p w14:paraId="0253D706" w14:textId="5CDD3FA3" w:rsidR="0051641E" w:rsidRDefault="0051641E" w:rsidP="0051641E">
      <w:pPr>
        <w:spacing w:line="480" w:lineRule="auto"/>
        <w:jc w:val="both"/>
        <w:rPr>
          <w:rFonts w:ascii="Times New Roman" w:hAnsi="Times New Roman" w:cs="Times New Roman"/>
        </w:rPr>
      </w:pPr>
      <w:r>
        <w:rPr>
          <w:rFonts w:ascii="Times New Roman" w:hAnsi="Times New Roman" w:cs="Times New Roman"/>
        </w:rPr>
        <w:tab/>
        <w:t>A convenience sample of 1</w:t>
      </w:r>
      <w:r w:rsidR="00091C96">
        <w:rPr>
          <w:rFonts w:ascii="Times New Roman" w:hAnsi="Times New Roman" w:cs="Times New Roman"/>
        </w:rPr>
        <w:t>5</w:t>
      </w:r>
      <w:r>
        <w:rPr>
          <w:rFonts w:ascii="Times New Roman" w:hAnsi="Times New Roman" w:cs="Times New Roman"/>
        </w:rPr>
        <w:t xml:space="preserve"> NCAA Division </w:t>
      </w:r>
      <w:r w:rsidR="00E74A24">
        <w:rPr>
          <w:rFonts w:ascii="Times New Roman" w:hAnsi="Times New Roman" w:cs="Times New Roman"/>
        </w:rPr>
        <w:t>I</w:t>
      </w:r>
      <w:r>
        <w:rPr>
          <w:rFonts w:ascii="Times New Roman" w:hAnsi="Times New Roman" w:cs="Times New Roman"/>
        </w:rPr>
        <w:t xml:space="preserve"> male collegiate basketball players from the University of Oklahoma Men’s Basketball program </w:t>
      </w:r>
      <w:r w:rsidR="009F4BC9">
        <w:rPr>
          <w:rFonts w:ascii="Times New Roman" w:hAnsi="Times New Roman" w:cs="Times New Roman"/>
        </w:rPr>
        <w:t>were included</w:t>
      </w:r>
      <w:r>
        <w:rPr>
          <w:rFonts w:ascii="Times New Roman" w:hAnsi="Times New Roman" w:cs="Times New Roman"/>
        </w:rPr>
        <w:t xml:space="preserve"> in this</w:t>
      </w:r>
      <w:r w:rsidR="009F4BC9">
        <w:rPr>
          <w:rFonts w:ascii="Times New Roman" w:hAnsi="Times New Roman" w:cs="Times New Roman"/>
        </w:rPr>
        <w:t xml:space="preserve"> </w:t>
      </w:r>
      <w:r>
        <w:rPr>
          <w:rFonts w:ascii="Times New Roman" w:hAnsi="Times New Roman" w:cs="Times New Roman"/>
        </w:rPr>
        <w:t xml:space="preserve">study. </w:t>
      </w:r>
    </w:p>
    <w:p w14:paraId="656CAB70" w14:textId="36174F76" w:rsidR="0051641E" w:rsidRPr="00195D51" w:rsidRDefault="0051641E" w:rsidP="00F829B9">
      <w:pPr>
        <w:pStyle w:val="Heading2"/>
      </w:pPr>
      <w:bookmarkStart w:id="46" w:name="_Toc99267624"/>
      <w:r w:rsidRPr="00195D51">
        <w:t>Inclusion Criteria</w:t>
      </w:r>
      <w:bookmarkEnd w:id="46"/>
    </w:p>
    <w:p w14:paraId="14F9D29E" w14:textId="585DD78E" w:rsidR="0051641E" w:rsidRPr="0045459C" w:rsidRDefault="0051641E" w:rsidP="0051641E">
      <w:pPr>
        <w:pStyle w:val="ListParagraph"/>
        <w:numPr>
          <w:ilvl w:val="0"/>
          <w:numId w:val="12"/>
        </w:numPr>
        <w:jc w:val="both"/>
        <w:rPr>
          <w:rFonts w:ascii="Times New Roman" w:hAnsi="Times New Roman"/>
          <w:b/>
          <w:bCs/>
          <w:i/>
          <w:iCs/>
        </w:rPr>
      </w:pPr>
      <w:r>
        <w:rPr>
          <w:rFonts w:ascii="Times New Roman" w:hAnsi="Times New Roman"/>
        </w:rPr>
        <w:t>Participants included w</w:t>
      </w:r>
      <w:r w:rsidR="001918D2">
        <w:rPr>
          <w:rFonts w:ascii="Times New Roman" w:hAnsi="Times New Roman"/>
        </w:rPr>
        <w:t>ere</w:t>
      </w:r>
      <w:r>
        <w:rPr>
          <w:rFonts w:ascii="Times New Roman" w:hAnsi="Times New Roman"/>
        </w:rPr>
        <w:t xml:space="preserve"> men between the ages of 18 and 2</w:t>
      </w:r>
      <w:r w:rsidR="00091C96">
        <w:rPr>
          <w:rFonts w:ascii="Times New Roman" w:hAnsi="Times New Roman"/>
        </w:rPr>
        <w:t>5</w:t>
      </w:r>
      <w:r>
        <w:rPr>
          <w:rFonts w:ascii="Times New Roman" w:hAnsi="Times New Roman"/>
        </w:rPr>
        <w:t xml:space="preserve"> years of age that </w:t>
      </w:r>
      <w:r w:rsidR="001918D2">
        <w:rPr>
          <w:rFonts w:ascii="Times New Roman" w:hAnsi="Times New Roman"/>
        </w:rPr>
        <w:t>are</w:t>
      </w:r>
      <w:r>
        <w:rPr>
          <w:rFonts w:ascii="Times New Roman" w:hAnsi="Times New Roman"/>
        </w:rPr>
        <w:t xml:space="preserve"> current members of the University of Oklahoma Men’s Basketball Program.</w:t>
      </w:r>
    </w:p>
    <w:p w14:paraId="4F11A33B" w14:textId="29E81FFC" w:rsidR="0051641E" w:rsidRPr="0045459C" w:rsidRDefault="0051641E" w:rsidP="0051641E">
      <w:pPr>
        <w:pStyle w:val="ListParagraph"/>
        <w:numPr>
          <w:ilvl w:val="0"/>
          <w:numId w:val="12"/>
        </w:numPr>
        <w:jc w:val="both"/>
        <w:rPr>
          <w:rFonts w:ascii="Times New Roman" w:hAnsi="Times New Roman"/>
          <w:b/>
          <w:bCs/>
          <w:i/>
          <w:iCs/>
        </w:rPr>
      </w:pPr>
      <w:r>
        <w:rPr>
          <w:rFonts w:ascii="Times New Roman" w:hAnsi="Times New Roman"/>
        </w:rPr>
        <w:lastRenderedPageBreak/>
        <w:t>Participants include</w:t>
      </w:r>
      <w:r w:rsidR="001918D2">
        <w:rPr>
          <w:rFonts w:ascii="Times New Roman" w:hAnsi="Times New Roman"/>
        </w:rPr>
        <w:t>d</w:t>
      </w:r>
      <w:r>
        <w:rPr>
          <w:rFonts w:ascii="Times New Roman" w:hAnsi="Times New Roman"/>
        </w:rPr>
        <w:t xml:space="preserve"> males free of any musculoskeletal injuries at the time of testing and healthy for participation.</w:t>
      </w:r>
    </w:p>
    <w:p w14:paraId="72AFF23C" w14:textId="6EA9AB3C" w:rsidR="0051641E" w:rsidRPr="00195D51" w:rsidRDefault="0051641E" w:rsidP="00F829B9">
      <w:pPr>
        <w:pStyle w:val="Heading2"/>
      </w:pPr>
      <w:bookmarkStart w:id="47" w:name="_Toc99267625"/>
      <w:r w:rsidRPr="00195D51">
        <w:t>Exclusion Criteria</w:t>
      </w:r>
      <w:bookmarkEnd w:id="47"/>
    </w:p>
    <w:p w14:paraId="62ECE5E6" w14:textId="77777777" w:rsidR="0051641E" w:rsidRDefault="0051641E" w:rsidP="0051641E">
      <w:pPr>
        <w:pStyle w:val="ListParagraph"/>
        <w:numPr>
          <w:ilvl w:val="0"/>
          <w:numId w:val="13"/>
        </w:numPr>
        <w:jc w:val="both"/>
        <w:rPr>
          <w:rFonts w:ascii="Times New Roman" w:hAnsi="Times New Roman"/>
        </w:rPr>
      </w:pPr>
      <w:r>
        <w:rPr>
          <w:rFonts w:ascii="Times New Roman" w:hAnsi="Times New Roman"/>
        </w:rPr>
        <w:t>Individuals who are not part of the University of Oklahoma Men’s Basketball Program.</w:t>
      </w:r>
    </w:p>
    <w:p w14:paraId="353C9D5E" w14:textId="5E9AB031" w:rsidR="0051641E" w:rsidRDefault="0051641E" w:rsidP="0051641E">
      <w:pPr>
        <w:pStyle w:val="ListParagraph"/>
        <w:numPr>
          <w:ilvl w:val="0"/>
          <w:numId w:val="13"/>
        </w:numPr>
        <w:jc w:val="both"/>
        <w:rPr>
          <w:rFonts w:ascii="Times New Roman" w:hAnsi="Times New Roman"/>
        </w:rPr>
      </w:pPr>
      <w:r>
        <w:rPr>
          <w:rFonts w:ascii="Times New Roman" w:hAnsi="Times New Roman"/>
        </w:rPr>
        <w:t>Participants that have experienced a re</w:t>
      </w:r>
      <w:r w:rsidR="00CD5326">
        <w:rPr>
          <w:rFonts w:ascii="Times New Roman" w:hAnsi="Times New Roman"/>
        </w:rPr>
        <w:t>striction in their participation in team training or practice sessions at the time of testing.</w:t>
      </w:r>
    </w:p>
    <w:p w14:paraId="0100BCC7" w14:textId="39582DF1" w:rsidR="00917AEB" w:rsidRPr="00755CD7" w:rsidRDefault="0051641E" w:rsidP="00755CD7">
      <w:pPr>
        <w:pStyle w:val="ListParagraph"/>
        <w:numPr>
          <w:ilvl w:val="0"/>
          <w:numId w:val="13"/>
        </w:numPr>
        <w:jc w:val="both"/>
        <w:rPr>
          <w:rFonts w:ascii="Times New Roman" w:hAnsi="Times New Roman"/>
        </w:rPr>
      </w:pPr>
      <w:r>
        <w:rPr>
          <w:rFonts w:ascii="Times New Roman" w:hAnsi="Times New Roman"/>
        </w:rPr>
        <w:t>Participants not fully cleared to participate in team practices or training.</w:t>
      </w:r>
    </w:p>
    <w:p w14:paraId="23FB67D1" w14:textId="6E8FA075" w:rsidR="0051641E" w:rsidRPr="00195D51" w:rsidRDefault="0051641E" w:rsidP="00F829B9">
      <w:pPr>
        <w:pStyle w:val="Heading2"/>
      </w:pPr>
      <w:bookmarkStart w:id="48" w:name="_Toc99267626"/>
      <w:r w:rsidRPr="00195D51">
        <w:t>Questionnaires and Documentation</w:t>
      </w:r>
      <w:bookmarkEnd w:id="48"/>
    </w:p>
    <w:p w14:paraId="7ECA78A4" w14:textId="5AEC69CD" w:rsidR="0051641E" w:rsidRPr="00FC08AB" w:rsidRDefault="0051641E" w:rsidP="00FC08AB">
      <w:pPr>
        <w:pStyle w:val="Heading3"/>
        <w:spacing w:line="480" w:lineRule="auto"/>
        <w:rPr>
          <w:rFonts w:ascii="Times New Roman" w:hAnsi="Times New Roman" w:cs="Times New Roman"/>
          <w:b/>
          <w:bCs/>
          <w:i/>
          <w:iCs/>
          <w:color w:val="000000" w:themeColor="text1"/>
        </w:rPr>
      </w:pPr>
      <w:bookmarkStart w:id="49" w:name="_Toc99267627"/>
      <w:r w:rsidRPr="00FC08AB">
        <w:rPr>
          <w:rFonts w:ascii="Times New Roman" w:hAnsi="Times New Roman" w:cs="Times New Roman"/>
          <w:b/>
          <w:bCs/>
          <w:i/>
          <w:iCs/>
          <w:color w:val="000000" w:themeColor="text1"/>
        </w:rPr>
        <w:t>Informed Consent</w:t>
      </w:r>
      <w:bookmarkEnd w:id="49"/>
    </w:p>
    <w:p w14:paraId="388322DD" w14:textId="29B44E26" w:rsidR="0051641E" w:rsidRDefault="00842918" w:rsidP="0051641E">
      <w:pPr>
        <w:spacing w:line="480" w:lineRule="auto"/>
        <w:ind w:firstLine="720"/>
        <w:jc w:val="both"/>
        <w:rPr>
          <w:rFonts w:ascii="Times New Roman" w:hAnsi="Times New Roman"/>
        </w:rPr>
      </w:pPr>
      <w:r>
        <w:rPr>
          <w:rFonts w:ascii="Times New Roman" w:hAnsi="Times New Roman"/>
        </w:rPr>
        <w:t>Informed written consent was provided to each participant prior to releasing their de-identified data to the research team in this retrospective study. Additionally, e</w:t>
      </w:r>
      <w:r w:rsidR="0051641E" w:rsidRPr="00731385">
        <w:rPr>
          <w:rFonts w:ascii="Times New Roman" w:hAnsi="Times New Roman"/>
        </w:rPr>
        <w:t xml:space="preserve">ach participant </w:t>
      </w:r>
      <w:r w:rsidR="0051641E">
        <w:rPr>
          <w:rFonts w:ascii="Times New Roman" w:hAnsi="Times New Roman"/>
        </w:rPr>
        <w:t>w</w:t>
      </w:r>
      <w:r w:rsidR="00357231">
        <w:rPr>
          <w:rFonts w:ascii="Times New Roman" w:hAnsi="Times New Roman"/>
        </w:rPr>
        <w:t>as</w:t>
      </w:r>
      <w:r w:rsidR="0051641E" w:rsidRPr="00731385">
        <w:rPr>
          <w:rFonts w:ascii="Times New Roman" w:hAnsi="Times New Roman"/>
        </w:rPr>
        <w:t xml:space="preserve"> informed of the inherent risk and benefits of the </w:t>
      </w:r>
      <w:r w:rsidR="00464E1A">
        <w:rPr>
          <w:rFonts w:ascii="Times New Roman" w:hAnsi="Times New Roman"/>
        </w:rPr>
        <w:t xml:space="preserve">retrospective </w:t>
      </w:r>
      <w:r w:rsidR="0051641E" w:rsidRPr="00731385">
        <w:rPr>
          <w:rFonts w:ascii="Times New Roman" w:hAnsi="Times New Roman"/>
        </w:rPr>
        <w:t>study</w:t>
      </w:r>
      <w:r w:rsidR="0051641E">
        <w:rPr>
          <w:rFonts w:ascii="Times New Roman" w:hAnsi="Times New Roman"/>
        </w:rPr>
        <w:t xml:space="preserve"> prior to </w:t>
      </w:r>
      <w:r w:rsidR="00464E1A">
        <w:rPr>
          <w:rFonts w:ascii="Times New Roman" w:hAnsi="Times New Roman"/>
        </w:rPr>
        <w:t>disclosing any de-identified</w:t>
      </w:r>
      <w:r w:rsidR="0051641E">
        <w:rPr>
          <w:rFonts w:ascii="Times New Roman" w:hAnsi="Times New Roman"/>
        </w:rPr>
        <w:t xml:space="preserve"> data</w:t>
      </w:r>
      <w:r>
        <w:rPr>
          <w:rFonts w:ascii="Times New Roman" w:hAnsi="Times New Roman"/>
        </w:rPr>
        <w:t xml:space="preserve">. </w:t>
      </w:r>
      <w:r w:rsidR="0051641E">
        <w:rPr>
          <w:rFonts w:ascii="Times New Roman" w:hAnsi="Times New Roman"/>
        </w:rPr>
        <w:t>The investigation w</w:t>
      </w:r>
      <w:r w:rsidR="00357231">
        <w:rPr>
          <w:rFonts w:ascii="Times New Roman" w:hAnsi="Times New Roman"/>
        </w:rPr>
        <w:t>as</w:t>
      </w:r>
      <w:r w:rsidR="0051641E">
        <w:rPr>
          <w:rFonts w:ascii="Times New Roman" w:hAnsi="Times New Roman"/>
        </w:rPr>
        <w:t xml:space="preserve"> approved by the Institutional Review Board at the University of Oklahoma.</w:t>
      </w:r>
    </w:p>
    <w:p w14:paraId="19DD58B8" w14:textId="1A3AC2BA" w:rsidR="0051641E" w:rsidRPr="00FC08AB" w:rsidRDefault="0051641E" w:rsidP="00FC08AB">
      <w:pPr>
        <w:pStyle w:val="Heading3"/>
        <w:spacing w:line="480" w:lineRule="auto"/>
        <w:rPr>
          <w:rFonts w:ascii="Times New Roman" w:hAnsi="Times New Roman" w:cs="Times New Roman"/>
          <w:b/>
          <w:bCs/>
          <w:i/>
          <w:iCs/>
          <w:color w:val="000000" w:themeColor="text1"/>
        </w:rPr>
      </w:pPr>
      <w:bookmarkStart w:id="50" w:name="_Toc99267628"/>
      <w:r w:rsidRPr="00FC08AB">
        <w:rPr>
          <w:rFonts w:ascii="Times New Roman" w:hAnsi="Times New Roman" w:cs="Times New Roman"/>
          <w:b/>
          <w:bCs/>
          <w:i/>
          <w:iCs/>
          <w:color w:val="000000" w:themeColor="text1"/>
        </w:rPr>
        <w:t>Health Insurance Portability and Accountability Act</w:t>
      </w:r>
      <w:bookmarkEnd w:id="50"/>
    </w:p>
    <w:p w14:paraId="5BA15BEA" w14:textId="206BFDEB" w:rsidR="0051641E" w:rsidRDefault="0051641E" w:rsidP="0051641E">
      <w:pPr>
        <w:spacing w:line="480" w:lineRule="auto"/>
        <w:jc w:val="both"/>
        <w:rPr>
          <w:rFonts w:ascii="Times New Roman" w:hAnsi="Times New Roman"/>
        </w:rPr>
      </w:pPr>
      <w:r>
        <w:rPr>
          <w:rFonts w:ascii="Times New Roman" w:hAnsi="Times New Roman"/>
        </w:rPr>
        <w:tab/>
        <w:t>The Health Insurance Portability an</w:t>
      </w:r>
      <w:r w:rsidR="00E766EC">
        <w:rPr>
          <w:rFonts w:ascii="Times New Roman" w:hAnsi="Times New Roman"/>
        </w:rPr>
        <w:t>d</w:t>
      </w:r>
      <w:r>
        <w:rPr>
          <w:rFonts w:ascii="Times New Roman" w:hAnsi="Times New Roman"/>
        </w:rPr>
        <w:t xml:space="preserve"> Accountability Act (HIPAA) inform</w:t>
      </w:r>
      <w:r w:rsidR="00357231">
        <w:rPr>
          <w:rFonts w:ascii="Times New Roman" w:hAnsi="Times New Roman"/>
        </w:rPr>
        <w:t>ed</w:t>
      </w:r>
      <w:r>
        <w:rPr>
          <w:rFonts w:ascii="Times New Roman" w:hAnsi="Times New Roman"/>
        </w:rPr>
        <w:t xml:space="preserve"> the participant of the potential use of protected health information acquired during the investigation.</w:t>
      </w:r>
    </w:p>
    <w:p w14:paraId="7EEC1AF6" w14:textId="1963731A" w:rsidR="0051641E" w:rsidRPr="00195D51" w:rsidRDefault="0051641E" w:rsidP="00F829B9">
      <w:pPr>
        <w:pStyle w:val="Heading2"/>
      </w:pPr>
      <w:bookmarkStart w:id="51" w:name="_Toc99267629"/>
      <w:r w:rsidRPr="00195D51">
        <w:t>Anthropometric Measurements</w:t>
      </w:r>
      <w:r w:rsidR="00803AA3">
        <w:t xml:space="preserve"> and Familiarization</w:t>
      </w:r>
      <w:bookmarkEnd w:id="51"/>
    </w:p>
    <w:p w14:paraId="42D33B44" w14:textId="46977097" w:rsidR="0051641E" w:rsidRDefault="0051641E" w:rsidP="0051641E">
      <w:pPr>
        <w:spacing w:line="480" w:lineRule="auto"/>
        <w:ind w:firstLine="720"/>
        <w:jc w:val="both"/>
        <w:rPr>
          <w:rFonts w:ascii="Times New Roman" w:hAnsi="Times New Roman" w:cs="Times New Roman"/>
        </w:rPr>
      </w:pPr>
      <w:r>
        <w:rPr>
          <w:rFonts w:ascii="Times New Roman" w:hAnsi="Times New Roman" w:cs="Times New Roman"/>
        </w:rPr>
        <w:t xml:space="preserve">Body height </w:t>
      </w:r>
      <w:r w:rsidR="008640E2">
        <w:rPr>
          <w:rFonts w:ascii="Times New Roman" w:hAnsi="Times New Roman" w:cs="Times New Roman"/>
        </w:rPr>
        <w:t xml:space="preserve">and weight </w:t>
      </w:r>
      <w:r>
        <w:rPr>
          <w:rFonts w:ascii="Times New Roman" w:hAnsi="Times New Roman" w:cs="Times New Roman"/>
        </w:rPr>
        <w:t>w</w:t>
      </w:r>
      <w:r w:rsidR="008A68BF">
        <w:rPr>
          <w:rFonts w:ascii="Times New Roman" w:hAnsi="Times New Roman" w:cs="Times New Roman"/>
        </w:rPr>
        <w:t>ere</w:t>
      </w:r>
      <w:r>
        <w:rPr>
          <w:rFonts w:ascii="Times New Roman" w:hAnsi="Times New Roman" w:cs="Times New Roman"/>
        </w:rPr>
        <w:t xml:space="preserve"> measured during </w:t>
      </w:r>
      <w:r w:rsidR="00C65F82">
        <w:rPr>
          <w:rFonts w:ascii="Times New Roman" w:hAnsi="Times New Roman" w:cs="Times New Roman"/>
        </w:rPr>
        <w:t>V</w:t>
      </w:r>
      <w:r>
        <w:rPr>
          <w:rFonts w:ascii="Times New Roman" w:hAnsi="Times New Roman" w:cs="Times New Roman"/>
        </w:rPr>
        <w:t xml:space="preserve">isit 1. </w:t>
      </w:r>
      <w:r w:rsidR="008640E2">
        <w:rPr>
          <w:rFonts w:ascii="Times New Roman" w:hAnsi="Times New Roman" w:cs="Times New Roman"/>
        </w:rPr>
        <w:t>Body h</w:t>
      </w:r>
      <w:r>
        <w:rPr>
          <w:rFonts w:ascii="Times New Roman" w:hAnsi="Times New Roman" w:cs="Times New Roman"/>
        </w:rPr>
        <w:t>eight w</w:t>
      </w:r>
      <w:r w:rsidR="008A68BF">
        <w:rPr>
          <w:rFonts w:ascii="Times New Roman" w:hAnsi="Times New Roman" w:cs="Times New Roman"/>
        </w:rPr>
        <w:t>as</w:t>
      </w:r>
      <w:r>
        <w:rPr>
          <w:rFonts w:ascii="Times New Roman" w:hAnsi="Times New Roman" w:cs="Times New Roman"/>
        </w:rPr>
        <w:t xml:space="preserve"> measured using a wall mounted stadiometer with the participant’s back to the wall, heels together,</w:t>
      </w:r>
      <w:r w:rsidR="008640E2">
        <w:rPr>
          <w:rFonts w:ascii="Times New Roman" w:hAnsi="Times New Roman" w:cs="Times New Roman"/>
        </w:rPr>
        <w:t xml:space="preserve"> shoes off,</w:t>
      </w:r>
      <w:r>
        <w:rPr>
          <w:rFonts w:ascii="Times New Roman" w:hAnsi="Times New Roman" w:cs="Times New Roman"/>
        </w:rPr>
        <w:t xml:space="preserve"> head looking forward at a 90-degree angle, and a deep inhalation following for recording of a value to the nearest centimeter. </w:t>
      </w:r>
      <w:r w:rsidR="008640E2">
        <w:rPr>
          <w:rFonts w:ascii="Times New Roman" w:hAnsi="Times New Roman" w:cs="Times New Roman"/>
        </w:rPr>
        <w:t xml:space="preserve">Body weight was measured to the nearest 0.1kg with the </w:t>
      </w:r>
      <w:proofErr w:type="spellStart"/>
      <w:r w:rsidR="008640E2">
        <w:rPr>
          <w:rFonts w:ascii="Times New Roman" w:hAnsi="Times New Roman" w:cs="Times New Roman"/>
        </w:rPr>
        <w:t>ForceDecks</w:t>
      </w:r>
      <w:proofErr w:type="spellEnd"/>
      <w:r w:rsidR="008640E2">
        <w:rPr>
          <w:rFonts w:ascii="Times New Roman" w:hAnsi="Times New Roman" w:cs="Times New Roman"/>
        </w:rPr>
        <w:t xml:space="preserve"> Dual Force Plate Systems (</w:t>
      </w:r>
      <w:proofErr w:type="spellStart"/>
      <w:r w:rsidR="008640E2">
        <w:rPr>
          <w:rFonts w:ascii="Times New Roman" w:hAnsi="Times New Roman" w:cs="Times New Roman"/>
        </w:rPr>
        <w:t>Vald</w:t>
      </w:r>
      <w:proofErr w:type="spellEnd"/>
      <w:r w:rsidR="008640E2">
        <w:rPr>
          <w:rFonts w:ascii="Times New Roman" w:hAnsi="Times New Roman" w:cs="Times New Roman"/>
        </w:rPr>
        <w:t xml:space="preserve">, Newstead, Queensland, Australia), while wearing </w:t>
      </w:r>
      <w:r w:rsidR="00D56947">
        <w:rPr>
          <w:rFonts w:ascii="Times New Roman" w:hAnsi="Times New Roman" w:cs="Times New Roman"/>
        </w:rPr>
        <w:t>basketball shoes.</w:t>
      </w:r>
      <w:r w:rsidR="00C07489">
        <w:rPr>
          <w:rFonts w:ascii="Times New Roman" w:hAnsi="Times New Roman" w:cs="Times New Roman"/>
        </w:rPr>
        <w:t xml:space="preserve"> In </w:t>
      </w:r>
      <w:r w:rsidR="00C07489">
        <w:rPr>
          <w:rFonts w:ascii="Times New Roman" w:hAnsi="Times New Roman" w:cs="Times New Roman"/>
        </w:rPr>
        <w:lastRenderedPageBreak/>
        <w:t xml:space="preserve">addition, participants were provided verbal instructions as well as a visual demonstration of the CMJ procedure and process of providing a salivary sample and underwent familiarization of each procedure prior to testing. </w:t>
      </w:r>
    </w:p>
    <w:p w14:paraId="2A04F281" w14:textId="28094CC1" w:rsidR="0051641E" w:rsidRPr="00195D51" w:rsidRDefault="0051641E" w:rsidP="00F829B9">
      <w:pPr>
        <w:pStyle w:val="Heading2"/>
      </w:pPr>
      <w:bookmarkStart w:id="52" w:name="_Toc99267630"/>
      <w:r w:rsidRPr="00195D51">
        <w:t>External Load Monitoring of Sport Specific Training Exposures</w:t>
      </w:r>
      <w:bookmarkEnd w:id="52"/>
    </w:p>
    <w:p w14:paraId="59350C53" w14:textId="23075D90" w:rsidR="00261470" w:rsidRDefault="0073482D" w:rsidP="00F43576">
      <w:pPr>
        <w:spacing w:line="480" w:lineRule="auto"/>
        <w:jc w:val="both"/>
        <w:rPr>
          <w:rFonts w:ascii="Times New Roman" w:hAnsi="Times New Roman" w:cs="Times New Roman"/>
        </w:rPr>
      </w:pPr>
      <w:r>
        <w:rPr>
          <w:noProof/>
        </w:rPr>
        <mc:AlternateContent>
          <mc:Choice Requires="wps">
            <w:drawing>
              <wp:anchor distT="0" distB="0" distL="114300" distR="114300" simplePos="0" relativeHeight="251681792" behindDoc="0" locked="0" layoutInCell="1" allowOverlap="1" wp14:anchorId="39D7075D" wp14:editId="2359E6DA">
                <wp:simplePos x="0" y="0"/>
                <wp:positionH relativeFrom="column">
                  <wp:posOffset>1145526</wp:posOffset>
                </wp:positionH>
                <wp:positionV relativeFrom="paragraph">
                  <wp:posOffset>4794885</wp:posOffset>
                </wp:positionV>
                <wp:extent cx="3670935" cy="635"/>
                <wp:effectExtent l="0" t="0" r="0" b="12065"/>
                <wp:wrapTopAndBottom/>
                <wp:docPr id="28" name="Text Box 28"/>
                <wp:cNvGraphicFramePr/>
                <a:graphic xmlns:a="http://schemas.openxmlformats.org/drawingml/2006/main">
                  <a:graphicData uri="http://schemas.microsoft.com/office/word/2010/wordprocessingShape">
                    <wps:wsp>
                      <wps:cNvSpPr txBox="1"/>
                      <wps:spPr>
                        <a:xfrm>
                          <a:off x="0" y="0"/>
                          <a:ext cx="3670935" cy="635"/>
                        </a:xfrm>
                        <a:prstGeom prst="rect">
                          <a:avLst/>
                        </a:prstGeom>
                        <a:solidFill>
                          <a:prstClr val="white"/>
                        </a:solidFill>
                        <a:ln>
                          <a:noFill/>
                        </a:ln>
                      </wps:spPr>
                      <wps:txbx>
                        <w:txbxContent>
                          <w:p w14:paraId="55AC3A35" w14:textId="72F6001B" w:rsidR="00F43576" w:rsidRPr="00F43576" w:rsidRDefault="00F43576" w:rsidP="00F43576">
                            <w:pPr>
                              <w:pStyle w:val="Caption"/>
                              <w:jc w:val="center"/>
                              <w:rPr>
                                <w:rFonts w:ascii="Times New Roman" w:eastAsiaTheme="minorHAnsi" w:hAnsi="Times New Roman"/>
                                <w:noProof/>
                                <w:sz w:val="20"/>
                                <w:szCs w:val="20"/>
                              </w:rPr>
                            </w:pPr>
                            <w:bookmarkStart w:id="53" w:name="_Toc100670666"/>
                            <w:r w:rsidRPr="00F43576">
                              <w:rPr>
                                <w:rFonts w:ascii="Times New Roman" w:hAnsi="Times New Roman"/>
                                <w:sz w:val="20"/>
                                <w:szCs w:val="20"/>
                              </w:rPr>
                              <w:t xml:space="preserve">Figure </w:t>
                            </w:r>
                            <w:r w:rsidRPr="00F43576">
                              <w:rPr>
                                <w:rFonts w:ascii="Times New Roman" w:hAnsi="Times New Roman"/>
                                <w:sz w:val="20"/>
                                <w:szCs w:val="20"/>
                              </w:rPr>
                              <w:fldChar w:fldCharType="begin"/>
                            </w:r>
                            <w:r w:rsidRPr="00F43576">
                              <w:rPr>
                                <w:rFonts w:ascii="Times New Roman" w:hAnsi="Times New Roman"/>
                                <w:sz w:val="20"/>
                                <w:szCs w:val="20"/>
                              </w:rPr>
                              <w:instrText xml:space="preserve"> SEQ Figure \* ARABIC </w:instrText>
                            </w:r>
                            <w:r w:rsidRPr="00F43576">
                              <w:rPr>
                                <w:rFonts w:ascii="Times New Roman" w:hAnsi="Times New Roman"/>
                                <w:sz w:val="20"/>
                                <w:szCs w:val="20"/>
                              </w:rPr>
                              <w:fldChar w:fldCharType="separate"/>
                            </w:r>
                            <w:r w:rsidR="002101E0">
                              <w:rPr>
                                <w:rFonts w:ascii="Times New Roman" w:hAnsi="Times New Roman"/>
                                <w:noProof/>
                                <w:sz w:val="20"/>
                                <w:szCs w:val="20"/>
                              </w:rPr>
                              <w:t>2</w:t>
                            </w:r>
                            <w:r w:rsidRPr="00F43576">
                              <w:rPr>
                                <w:rFonts w:ascii="Times New Roman" w:hAnsi="Times New Roman"/>
                                <w:sz w:val="20"/>
                                <w:szCs w:val="20"/>
                              </w:rPr>
                              <w:fldChar w:fldCharType="end"/>
                            </w:r>
                            <w:r w:rsidRPr="00F43576">
                              <w:rPr>
                                <w:rFonts w:ascii="Times New Roman" w:hAnsi="Times New Roman"/>
                                <w:sz w:val="20"/>
                                <w:szCs w:val="20"/>
                              </w:rPr>
                              <w:t>. Inertial Measurement Unit (IMU) Placement.</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D7075D" id="Text Box 28" o:spid="_x0000_s1027" type="#_x0000_t202" style="position:absolute;left:0;text-align:left;margin-left:90.2pt;margin-top:377.55pt;width:289.05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" stroked="f">
                <v:textbox style="mso-fit-shape-to-text:t" inset="0,0,0,0">
                  <w:txbxContent>
                    <w:p w14:paraId="55AC3A35" w14:textId="72F6001B" w:rsidR="00F43576" w:rsidRPr="00F43576" w:rsidRDefault="00F43576" w:rsidP="00F43576">
                      <w:pPr>
                        <w:pStyle w:val="Caption"/>
                        <w:jc w:val="center"/>
                        <w:rPr>
                          <w:rFonts w:ascii="Times New Roman" w:eastAsiaTheme="minorHAnsi" w:hAnsi="Times New Roman"/>
                          <w:noProof/>
                          <w:sz w:val="20"/>
                          <w:szCs w:val="20"/>
                        </w:rPr>
                      </w:pPr>
                      <w:bookmarkStart w:id="55" w:name="_Toc100670666"/>
                      <w:r w:rsidRPr="00F43576">
                        <w:rPr>
                          <w:rFonts w:ascii="Times New Roman" w:hAnsi="Times New Roman"/>
                          <w:sz w:val="20"/>
                          <w:szCs w:val="20"/>
                        </w:rPr>
                        <w:t xml:space="preserve">Figure </w:t>
                      </w:r>
                      <w:r w:rsidRPr="00F43576">
                        <w:rPr>
                          <w:rFonts w:ascii="Times New Roman" w:hAnsi="Times New Roman"/>
                          <w:sz w:val="20"/>
                          <w:szCs w:val="20"/>
                        </w:rPr>
                        <w:fldChar w:fldCharType="begin"/>
                      </w:r>
                      <w:r w:rsidRPr="00F43576">
                        <w:rPr>
                          <w:rFonts w:ascii="Times New Roman" w:hAnsi="Times New Roman"/>
                          <w:sz w:val="20"/>
                          <w:szCs w:val="20"/>
                        </w:rPr>
                        <w:instrText xml:space="preserve"> SEQ Figure \* ARABIC </w:instrText>
                      </w:r>
                      <w:r w:rsidRPr="00F43576">
                        <w:rPr>
                          <w:rFonts w:ascii="Times New Roman" w:hAnsi="Times New Roman"/>
                          <w:sz w:val="20"/>
                          <w:szCs w:val="20"/>
                        </w:rPr>
                        <w:fldChar w:fldCharType="separate"/>
                      </w:r>
                      <w:r w:rsidR="002101E0">
                        <w:rPr>
                          <w:rFonts w:ascii="Times New Roman" w:hAnsi="Times New Roman"/>
                          <w:noProof/>
                          <w:sz w:val="20"/>
                          <w:szCs w:val="20"/>
                        </w:rPr>
                        <w:t>2</w:t>
                      </w:r>
                      <w:r w:rsidRPr="00F43576">
                        <w:rPr>
                          <w:rFonts w:ascii="Times New Roman" w:hAnsi="Times New Roman"/>
                          <w:sz w:val="20"/>
                          <w:szCs w:val="20"/>
                        </w:rPr>
                        <w:fldChar w:fldCharType="end"/>
                      </w:r>
                      <w:r w:rsidRPr="00F43576">
                        <w:rPr>
                          <w:rFonts w:ascii="Times New Roman" w:hAnsi="Times New Roman"/>
                          <w:sz w:val="20"/>
                          <w:szCs w:val="20"/>
                        </w:rPr>
                        <w:t>. Inertial Measurement Unit (IMU) Placement.</w:t>
                      </w:r>
                      <w:bookmarkEnd w:id="55"/>
                    </w:p>
                  </w:txbxContent>
                </v:textbox>
                <w10:wrap type="topAndBottom"/>
              </v:shape>
            </w:pict>
          </mc:Fallback>
        </mc:AlternateContent>
      </w:r>
      <w:r w:rsidR="00F43576">
        <w:rPr>
          <w:noProof/>
          <w:color w:val="FF0000"/>
        </w:rPr>
        <w:drawing>
          <wp:anchor distT="0" distB="0" distL="114300" distR="114300" simplePos="0" relativeHeight="251659264" behindDoc="0" locked="0" layoutInCell="1" allowOverlap="1" wp14:anchorId="4A9D85ED" wp14:editId="7388FCCA">
            <wp:simplePos x="0" y="0"/>
            <wp:positionH relativeFrom="margin">
              <wp:align>center</wp:align>
            </wp:positionH>
            <wp:positionV relativeFrom="paragraph">
              <wp:posOffset>2411109</wp:posOffset>
            </wp:positionV>
            <wp:extent cx="1654810" cy="2212340"/>
            <wp:effectExtent l="0" t="0" r="0" b="0"/>
            <wp:wrapTopAndBottom/>
            <wp:docPr id="46" name="Picture 46" descr="A person holding a cell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erson holding a cell phone&#10;&#10;Description automatically generated with low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54810" cy="2212340"/>
                    </a:xfrm>
                    <a:prstGeom prst="rect">
                      <a:avLst/>
                    </a:prstGeom>
                  </pic:spPr>
                </pic:pic>
              </a:graphicData>
            </a:graphic>
            <wp14:sizeRelH relativeFrom="page">
              <wp14:pctWidth>0</wp14:pctWidth>
            </wp14:sizeRelH>
            <wp14:sizeRelV relativeFrom="page">
              <wp14:pctHeight>0</wp14:pctHeight>
            </wp14:sizeRelV>
          </wp:anchor>
        </w:drawing>
      </w:r>
      <w:r w:rsidR="0051641E">
        <w:rPr>
          <w:rFonts w:ascii="Times New Roman" w:hAnsi="Times New Roman" w:cs="Times New Roman"/>
        </w:rPr>
        <w:tab/>
        <w:t>Participants w</w:t>
      </w:r>
      <w:r w:rsidR="00357231">
        <w:rPr>
          <w:rFonts w:ascii="Times New Roman" w:hAnsi="Times New Roman" w:cs="Times New Roman"/>
        </w:rPr>
        <w:t>ore</w:t>
      </w:r>
      <w:r w:rsidR="0051641E">
        <w:rPr>
          <w:rFonts w:ascii="Times New Roman" w:hAnsi="Times New Roman" w:cs="Times New Roman"/>
        </w:rPr>
        <w:t xml:space="preserve"> a supportive garment </w:t>
      </w:r>
      <w:r w:rsidR="00803AA3">
        <w:rPr>
          <w:rFonts w:ascii="Times New Roman" w:hAnsi="Times New Roman" w:cs="Times New Roman"/>
        </w:rPr>
        <w:t xml:space="preserve">fitted with the appropriate size that </w:t>
      </w:r>
      <w:r w:rsidR="0051641E">
        <w:rPr>
          <w:rFonts w:ascii="Times New Roman" w:hAnsi="Times New Roman" w:cs="Times New Roman"/>
        </w:rPr>
        <w:t>secur</w:t>
      </w:r>
      <w:r w:rsidR="00803AA3">
        <w:rPr>
          <w:rFonts w:ascii="Times New Roman" w:hAnsi="Times New Roman" w:cs="Times New Roman"/>
        </w:rPr>
        <w:t>e</w:t>
      </w:r>
      <w:r w:rsidR="00357231">
        <w:rPr>
          <w:rFonts w:ascii="Times New Roman" w:hAnsi="Times New Roman" w:cs="Times New Roman"/>
        </w:rPr>
        <w:t>d</w:t>
      </w:r>
      <w:r w:rsidR="0051641E">
        <w:rPr>
          <w:rFonts w:ascii="Times New Roman" w:hAnsi="Times New Roman" w:cs="Times New Roman"/>
        </w:rPr>
        <w:t xml:space="preserve"> the Catapult Sport </w:t>
      </w:r>
      <w:proofErr w:type="spellStart"/>
      <w:r w:rsidR="0051641E">
        <w:rPr>
          <w:rFonts w:ascii="Times New Roman" w:hAnsi="Times New Roman" w:cs="Times New Roman"/>
        </w:rPr>
        <w:t>OptimEye</w:t>
      </w:r>
      <w:proofErr w:type="spellEnd"/>
      <w:r w:rsidR="0051641E">
        <w:rPr>
          <w:rFonts w:ascii="Times New Roman" w:hAnsi="Times New Roman" w:cs="Times New Roman"/>
        </w:rPr>
        <w:t xml:space="preserve"> T6 Inertial Movement Unit (IMU) (Catapult Innovations, </w:t>
      </w:r>
      <w:proofErr w:type="spellStart"/>
      <w:r w:rsidR="0051641E">
        <w:rPr>
          <w:rFonts w:ascii="Times New Roman" w:hAnsi="Times New Roman" w:cs="Times New Roman"/>
        </w:rPr>
        <w:t>Melborne</w:t>
      </w:r>
      <w:proofErr w:type="spellEnd"/>
      <w:r w:rsidR="0051641E">
        <w:rPr>
          <w:rFonts w:ascii="Times New Roman" w:hAnsi="Times New Roman" w:cs="Times New Roman"/>
        </w:rPr>
        <w:t>, VIC, Australia),</w:t>
      </w:r>
      <w:r w:rsidR="00803AA3">
        <w:rPr>
          <w:rFonts w:ascii="Times New Roman" w:hAnsi="Times New Roman" w:cs="Times New Roman"/>
        </w:rPr>
        <w:t xml:space="preserve"> </w:t>
      </w:r>
      <w:r w:rsidR="0051641E">
        <w:rPr>
          <w:rFonts w:ascii="Times New Roman" w:hAnsi="Times New Roman" w:cs="Times New Roman"/>
        </w:rPr>
        <w:t>for the quantification of the mechanical load of the practice session</w:t>
      </w:r>
      <w:r w:rsidR="00261470">
        <w:rPr>
          <w:rFonts w:ascii="Times New Roman" w:hAnsi="Times New Roman" w:cs="Times New Roman"/>
        </w:rPr>
        <w:t xml:space="preserve"> to be analyzed via the Catapult Software (</w:t>
      </w:r>
      <w:proofErr w:type="spellStart"/>
      <w:r w:rsidR="00261470">
        <w:rPr>
          <w:rFonts w:ascii="Times New Roman" w:hAnsi="Times New Roman" w:cs="Times New Roman"/>
        </w:rPr>
        <w:t>Openfield</w:t>
      </w:r>
      <w:proofErr w:type="spellEnd"/>
      <w:r w:rsidR="00261470">
        <w:rPr>
          <w:rFonts w:ascii="Times New Roman" w:hAnsi="Times New Roman" w:cs="Times New Roman"/>
        </w:rPr>
        <w:t xml:space="preserve">, Catapult, Innovations, </w:t>
      </w:r>
      <w:proofErr w:type="spellStart"/>
      <w:r w:rsidR="00261470">
        <w:rPr>
          <w:rFonts w:ascii="Times New Roman" w:hAnsi="Times New Roman" w:cs="Times New Roman"/>
        </w:rPr>
        <w:t>Melborne</w:t>
      </w:r>
      <w:proofErr w:type="spellEnd"/>
      <w:r w:rsidR="00261470">
        <w:rPr>
          <w:rFonts w:ascii="Times New Roman" w:hAnsi="Times New Roman" w:cs="Times New Roman"/>
        </w:rPr>
        <w:t>, VIC, Australia)</w:t>
      </w:r>
      <w:r w:rsidR="0051641E">
        <w:rPr>
          <w:rFonts w:ascii="Times New Roman" w:hAnsi="Times New Roman" w:cs="Times New Roman"/>
        </w:rPr>
        <w:t xml:space="preserve">. </w:t>
      </w:r>
      <w:r w:rsidR="008F429C">
        <w:rPr>
          <w:rFonts w:ascii="Times New Roman" w:hAnsi="Times New Roman" w:cs="Times New Roman"/>
        </w:rPr>
        <w:t>I</w:t>
      </w:r>
      <w:r w:rsidR="00803AA3">
        <w:rPr>
          <w:rFonts w:ascii="Times New Roman" w:hAnsi="Times New Roman" w:cs="Times New Roman"/>
        </w:rPr>
        <w:t>n order to mitigate the influence o</w:t>
      </w:r>
      <w:r w:rsidR="008F429C">
        <w:rPr>
          <w:rFonts w:ascii="Times New Roman" w:hAnsi="Times New Roman" w:cs="Times New Roman"/>
        </w:rPr>
        <w:t>n</w:t>
      </w:r>
      <w:r w:rsidR="00803AA3">
        <w:rPr>
          <w:rFonts w:ascii="Times New Roman" w:hAnsi="Times New Roman" w:cs="Times New Roman"/>
        </w:rPr>
        <w:t xml:space="preserve"> </w:t>
      </w:r>
      <w:r w:rsidR="008F429C">
        <w:rPr>
          <w:rFonts w:ascii="Times New Roman" w:hAnsi="Times New Roman" w:cs="Times New Roman"/>
        </w:rPr>
        <w:t xml:space="preserve">accelerometer loads, the garment was placed on each subject as tight as possible without impeding movement </w:t>
      </w:r>
      <w:r w:rsidR="008F429C">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{"citationID":"qSoixsaA","properties":{"formattedCitation":"(McLean et al., 2018)","plainCitation":"(McLean et al., 2018)","noteIndex":0},"citationItems":[{"id":495,"uris":["http://zotero.org/users/6327055/items/IFTFZCFT"],"itemData":{"id":495,"type":"article-journal","abstract":"PURPOSE: Determine the relationship between drill type and accelerometer-derived loads during various team sport activities, and examine the influence of unit fitting on these loads. METHODS: Sixteen rugby league players were fitted with microtechnology devices in either manufacturer vests or playing jerseys before completing standardised running, agility and tackling drills. Two-dimensional (2D) and three-dimensional (3D) accelerometer loads (BodyLoadTM) per km were compared across drills and fittings (i.e. vest and jersey). RESULTS: When fitted in a vest, 2D BodyLoadTM was higher during tackling (21.5±14.8 AU/km) compared with running (9.5±2.5 AU/km) and agility (10.3±2.7 AU/km). Jersey fitting resulted in more than two-fold higher BodyLoadTM during running (2D 9.5±2.7 vs 29.3±14.8 AU/km; 3D 48.5±14.8 vs 111.5±45.4) and agility (2D 10.3±2.7 vs 21.0±8.1 AU/km; 3D 40.4±13.6 vs 77.7±26.8 AU/km), compared with a vest fitting. Jersey fitting also produced higher BodyLoadTM during tackling drills (2D = 21.5±14.8 vs 27.8±18.6 AU/km; 3D = 42.0±21.4 vs 63.2±33.1 AU/km). CONCLUSIONS: This study provides evidence supporting the construct validity of 2D BodyLoadTM for assessing collision/tackling load in rugby league training drills. Conversely, the large values obtained from 3D BodyLoadTM (which includes the vertical load vector) appear to mask small increases in load during tackling drills, rendering 3D BodyLoadTM insensitive to changes in contact load. Unit fitting has a large influence on accumulated accelerometer loads during all drills, which is likely related to greater incidental unit movement when units are fitted in jerseys. Therefore, it is recommended that athletes wear microtechnology units in manufacturer provided vests to provide valid and reliable information.","container-title":"International Journal of Sports Physiology and Performance","DOI":"10.1123/ijspp.2017-0729","ISSN":"1555-0265, 1555-0273","issue":"8","language":"en","page":"1083-1089","source":"DOI.org (Crossref)","title":"The fit matters: influence of accelerometer fitting and training drill demands on load measures in rugby league players","title-short":"The Fit Matters","volume":"13","author":[{"family":"McLean","given":"Blake D."},{"family":"Cummins","given":"Cloe"},{"family":"Conlan","given":"Greta"},{"family":"Duthie","given":"Grant"},{"family":"Coutts","given":"Aaron J."}],"issued":{"date-parts":[["2018",9,1]]}}}],"schema":"https://github.com/citation-style-language/schema/raw/master/csl-citation.json"} </w:instrText>
      </w:r>
      <w:r w:rsidR="008F429C">
        <w:rPr>
          <w:rFonts w:ascii="Times New Roman" w:hAnsi="Times New Roman" w:cs="Times New Roman"/>
        </w:rPr>
        <w:fldChar w:fldCharType="separate"/>
      </w:r>
      <w:r w:rsidR="008F429C">
        <w:rPr>
          <w:rFonts w:ascii="Times New Roman" w:hAnsi="Times New Roman" w:cs="Times New Roman"/>
          <w:noProof/>
        </w:rPr>
        <w:t>(McLean et al., 2018)</w:t>
      </w:r>
      <w:r w:rsidR="008F429C">
        <w:rPr>
          <w:rFonts w:ascii="Times New Roman" w:hAnsi="Times New Roman" w:cs="Times New Roman"/>
        </w:rPr>
        <w:fldChar w:fldCharType="end"/>
      </w:r>
      <w:r w:rsidR="00261470">
        <w:rPr>
          <w:rFonts w:ascii="Times New Roman" w:hAnsi="Times New Roman" w:cs="Times New Roman"/>
        </w:rPr>
        <w:t xml:space="preserve">, and the IMU was worn in a pocket between the scapulae of the supportive harness depicted in </w:t>
      </w:r>
      <w:r w:rsidR="00261470" w:rsidRPr="000B4613">
        <w:rPr>
          <w:rFonts w:ascii="Times New Roman" w:hAnsi="Times New Roman" w:cs="Times New Roman"/>
          <w:b/>
          <w:bCs/>
          <w:i/>
          <w:iCs/>
        </w:rPr>
        <w:t xml:space="preserve">Figure </w:t>
      </w:r>
      <w:r w:rsidR="000B4613" w:rsidRPr="000B4613">
        <w:rPr>
          <w:rFonts w:ascii="Times New Roman" w:hAnsi="Times New Roman" w:cs="Times New Roman"/>
          <w:b/>
          <w:bCs/>
          <w:i/>
          <w:iCs/>
        </w:rPr>
        <w:t>2</w:t>
      </w:r>
      <w:r w:rsidR="008F429C">
        <w:rPr>
          <w:rFonts w:ascii="Times New Roman" w:hAnsi="Times New Roman" w:cs="Times New Roman"/>
        </w:rPr>
        <w:t xml:space="preserve">. </w:t>
      </w:r>
    </w:p>
    <w:p w14:paraId="56A3DF48" w14:textId="66C4D75A" w:rsidR="00610BD3" w:rsidRDefault="00610BD3" w:rsidP="00610BD3">
      <w:pPr>
        <w:spacing w:line="480" w:lineRule="auto"/>
        <w:jc w:val="center"/>
        <w:rPr>
          <w:rFonts w:ascii="Times New Roman" w:hAnsi="Times New Roman" w:cs="Times New Roman"/>
        </w:rPr>
      </w:pPr>
    </w:p>
    <w:p w14:paraId="3C1E3156" w14:textId="7846A88B" w:rsidR="00917AEB" w:rsidRPr="009A2D75" w:rsidRDefault="00EB6FBA" w:rsidP="00261470">
      <w:pPr>
        <w:spacing w:line="480" w:lineRule="auto"/>
        <w:ind w:firstLine="720"/>
        <w:jc w:val="both"/>
        <w:rPr>
          <w:rFonts w:ascii="Times New Roman" w:hAnsi="Times New Roman" w:cs="Times New Roman"/>
        </w:rPr>
      </w:pPr>
      <w:r>
        <w:rPr>
          <w:rFonts w:ascii="Times New Roman" w:hAnsi="Times New Roman" w:cs="Times New Roman"/>
        </w:rPr>
        <w:t xml:space="preserve">In parallel to previous methods </w:t>
      </w:r>
      <w:r>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{"citationID":"VFaKbU5U","properties":{"formattedCitation":"(A. Heishman et al., 2018)","plainCitation":"(A. Heishman et al., 2018)","noteIndex":0},"citationItems":[{"id":267,"uris":["http://zotero.org/users/6327055/items/V555YN52"],"itemData":{"id":267,"type":"article-journal","container-title":"Journal of Strength and Conditioning Research","DOI":"10.1519/JSC.0000000000002413","ISSN":"1064-8011","issue":"5","language":"en","page":"1280-1287","source":"DOI.org (Crossref)","title":"Noninvasive assessment of internal and external player load: Implications for optimizing athletic performance","title-short":"Noninvasive Assessment of Internal and External Player Load","volume":"32","author":[{"family":"Heishman","given":"Aaron"},{"family":"Curtis","given":"Michael"},{"family":"Saliba","given":"Ethan"},{"family":"Hornett","given":"Robert"},{"family":"Malin","given":"Steven"},{"family":"Weltman","given":"Arthur"}],"issued":{"date-parts":[["2018",5]]}}}],"schema":"https://github.com/citation-style-language/schema/raw/master/csl-citation.json"} </w:instrText>
      </w:r>
      <w:r>
        <w:rPr>
          <w:rFonts w:ascii="Times New Roman" w:hAnsi="Times New Roman" w:cs="Times New Roman"/>
        </w:rPr>
        <w:fldChar w:fldCharType="separate"/>
      </w:r>
      <w:r w:rsidR="00546507">
        <w:rPr>
          <w:rFonts w:ascii="Times New Roman" w:hAnsi="Times New Roman" w:cs="Times New Roman"/>
          <w:noProof/>
        </w:rPr>
        <w:t>(A. Heishman et al., 2018)</w:t>
      </w:r>
      <w:r>
        <w:rPr>
          <w:rFonts w:ascii="Times New Roman" w:hAnsi="Times New Roman" w:cs="Times New Roman"/>
        </w:rPr>
        <w:fldChar w:fldCharType="end"/>
      </w:r>
      <w:r>
        <w:rPr>
          <w:rFonts w:ascii="Times New Roman" w:hAnsi="Times New Roman" w:cs="Times New Roman"/>
        </w:rPr>
        <w:t>, d</w:t>
      </w:r>
      <w:r w:rsidR="0051641E">
        <w:rPr>
          <w:rFonts w:ascii="Times New Roman" w:hAnsi="Times New Roman" w:cs="Times New Roman"/>
        </w:rPr>
        <w:t>ata collection beg</w:t>
      </w:r>
      <w:r w:rsidR="00357231">
        <w:rPr>
          <w:rFonts w:ascii="Times New Roman" w:hAnsi="Times New Roman" w:cs="Times New Roman"/>
        </w:rPr>
        <w:t>a</w:t>
      </w:r>
      <w:r w:rsidR="0051641E">
        <w:rPr>
          <w:rFonts w:ascii="Times New Roman" w:hAnsi="Times New Roman" w:cs="Times New Roman"/>
        </w:rPr>
        <w:t>n the instant the athletes beg</w:t>
      </w:r>
      <w:r w:rsidR="00357231">
        <w:rPr>
          <w:rFonts w:ascii="Times New Roman" w:hAnsi="Times New Roman" w:cs="Times New Roman"/>
        </w:rPr>
        <w:t>a</w:t>
      </w:r>
      <w:r w:rsidR="0051641E">
        <w:rPr>
          <w:rFonts w:ascii="Times New Roman" w:hAnsi="Times New Roman" w:cs="Times New Roman"/>
        </w:rPr>
        <w:t>n practice. A “Live” feedback w</w:t>
      </w:r>
      <w:r w:rsidR="00357231">
        <w:rPr>
          <w:rFonts w:ascii="Times New Roman" w:hAnsi="Times New Roman" w:cs="Times New Roman"/>
        </w:rPr>
        <w:t>as</w:t>
      </w:r>
      <w:r w:rsidR="0051641E">
        <w:rPr>
          <w:rFonts w:ascii="Times New Roman" w:hAnsi="Times New Roman" w:cs="Times New Roman"/>
        </w:rPr>
        <w:t xml:space="preserve"> provided throughout the session and assessment of the variables of interest w</w:t>
      </w:r>
      <w:r w:rsidR="00357231">
        <w:rPr>
          <w:rFonts w:ascii="Times New Roman" w:hAnsi="Times New Roman" w:cs="Times New Roman"/>
        </w:rPr>
        <w:t>as</w:t>
      </w:r>
      <w:r w:rsidR="0051641E">
        <w:rPr>
          <w:rFonts w:ascii="Times New Roman" w:hAnsi="Times New Roman" w:cs="Times New Roman"/>
        </w:rPr>
        <w:t xml:space="preserve"> performed throughout the duration of the practice. The </w:t>
      </w:r>
      <w:r w:rsidR="0051641E">
        <w:rPr>
          <w:rFonts w:ascii="Times New Roman" w:hAnsi="Times New Roman" w:cs="Times New Roman"/>
        </w:rPr>
        <w:lastRenderedPageBreak/>
        <w:t>data w</w:t>
      </w:r>
      <w:r w:rsidR="00357231">
        <w:rPr>
          <w:rFonts w:ascii="Times New Roman" w:hAnsi="Times New Roman" w:cs="Times New Roman"/>
        </w:rPr>
        <w:t>as then</w:t>
      </w:r>
      <w:r w:rsidR="0051641E">
        <w:rPr>
          <w:rFonts w:ascii="Times New Roman" w:hAnsi="Times New Roman" w:cs="Times New Roman"/>
        </w:rPr>
        <w:t xml:space="preserve"> analyzed through the Catapult software (</w:t>
      </w:r>
      <w:proofErr w:type="spellStart"/>
      <w:r w:rsidR="0051641E">
        <w:rPr>
          <w:rFonts w:ascii="Times New Roman" w:hAnsi="Times New Roman" w:cs="Times New Roman"/>
        </w:rPr>
        <w:t>Openfield</w:t>
      </w:r>
      <w:proofErr w:type="spellEnd"/>
      <w:r w:rsidR="0051641E">
        <w:rPr>
          <w:rFonts w:ascii="Times New Roman" w:hAnsi="Times New Roman" w:cs="Times New Roman"/>
        </w:rPr>
        <w:t xml:space="preserve">, Catapult, Innovations, </w:t>
      </w:r>
      <w:proofErr w:type="spellStart"/>
      <w:r w:rsidR="0051641E">
        <w:rPr>
          <w:rFonts w:ascii="Times New Roman" w:hAnsi="Times New Roman" w:cs="Times New Roman"/>
        </w:rPr>
        <w:t>Melborne</w:t>
      </w:r>
      <w:proofErr w:type="spellEnd"/>
      <w:r w:rsidR="0051641E">
        <w:rPr>
          <w:rFonts w:ascii="Times New Roman" w:hAnsi="Times New Roman" w:cs="Times New Roman"/>
        </w:rPr>
        <w:t xml:space="preserve">, VIC, Australia). </w:t>
      </w:r>
    </w:p>
    <w:p w14:paraId="6C670385" w14:textId="031F4953" w:rsidR="0051641E" w:rsidRDefault="0051641E" w:rsidP="00F829B9">
      <w:pPr>
        <w:pStyle w:val="Heading2"/>
      </w:pPr>
      <w:bookmarkStart w:id="54" w:name="_Toc99267631"/>
      <w:r>
        <w:t>Internal Load Monitoring of Sport Specific Training Exposures</w:t>
      </w:r>
      <w:bookmarkEnd w:id="54"/>
    </w:p>
    <w:p w14:paraId="46FF03A5" w14:textId="7E9AF294" w:rsidR="0051641E" w:rsidRDefault="0051641E" w:rsidP="00F829B9">
      <w:pPr>
        <w:spacing w:line="480" w:lineRule="auto"/>
        <w:jc w:val="both"/>
        <w:rPr>
          <w:rFonts w:ascii="Times New Roman" w:hAnsi="Times New Roman" w:cs="Times New Roman"/>
        </w:rPr>
      </w:pPr>
      <w:r>
        <w:rPr>
          <w:rFonts w:ascii="Times New Roman" w:hAnsi="Times New Roman" w:cs="Times New Roman"/>
        </w:rPr>
        <w:tab/>
        <w:t xml:space="preserve">The </w:t>
      </w:r>
      <w:proofErr w:type="spellStart"/>
      <w:r>
        <w:rPr>
          <w:rFonts w:ascii="Times New Roman" w:hAnsi="Times New Roman" w:cs="Times New Roman"/>
        </w:rPr>
        <w:t>FirstBeat</w:t>
      </w:r>
      <w:proofErr w:type="spellEnd"/>
      <w:r>
        <w:rPr>
          <w:rFonts w:ascii="Times New Roman" w:hAnsi="Times New Roman" w:cs="Times New Roman"/>
        </w:rPr>
        <w:t xml:space="preserve"> SPORT heart rate monitor (</w:t>
      </w:r>
      <w:proofErr w:type="spellStart"/>
      <w:r>
        <w:rPr>
          <w:rFonts w:ascii="Times New Roman" w:hAnsi="Times New Roman" w:cs="Times New Roman"/>
        </w:rPr>
        <w:t>FirstBeat</w:t>
      </w:r>
      <w:proofErr w:type="spellEnd"/>
      <w:r>
        <w:rPr>
          <w:rFonts w:ascii="Times New Roman" w:hAnsi="Times New Roman" w:cs="Times New Roman"/>
        </w:rPr>
        <w:t xml:space="preserve"> SPORT, Jyvaskyla Finland) w</w:t>
      </w:r>
      <w:r w:rsidR="00357231">
        <w:rPr>
          <w:rFonts w:ascii="Times New Roman" w:hAnsi="Times New Roman" w:cs="Times New Roman"/>
        </w:rPr>
        <w:t>as</w:t>
      </w:r>
      <w:r>
        <w:rPr>
          <w:rFonts w:ascii="Times New Roman" w:hAnsi="Times New Roman" w:cs="Times New Roman"/>
        </w:rPr>
        <w:t xml:space="preserve"> worn by all participants throughout the duration of practice to assess the internal response from the sport specific training session. It w</w:t>
      </w:r>
      <w:r w:rsidR="00357231">
        <w:rPr>
          <w:rFonts w:ascii="Times New Roman" w:hAnsi="Times New Roman" w:cs="Times New Roman"/>
        </w:rPr>
        <w:t>as</w:t>
      </w:r>
      <w:r>
        <w:rPr>
          <w:rFonts w:ascii="Times New Roman" w:hAnsi="Times New Roman" w:cs="Times New Roman"/>
        </w:rPr>
        <w:t xml:space="preserve"> positioned in line with the xiphoid process of the sternum and securely tightened around their torso by an elastic strap. The monitoring start</w:t>
      </w:r>
      <w:r w:rsidR="00357231">
        <w:rPr>
          <w:rFonts w:ascii="Times New Roman" w:hAnsi="Times New Roman" w:cs="Times New Roman"/>
        </w:rPr>
        <w:t>ed</w:t>
      </w:r>
      <w:r>
        <w:rPr>
          <w:rFonts w:ascii="Times New Roman" w:hAnsi="Times New Roman" w:cs="Times New Roman"/>
        </w:rPr>
        <w:t xml:space="preserve"> and end</w:t>
      </w:r>
      <w:r w:rsidR="00357231">
        <w:rPr>
          <w:rFonts w:ascii="Times New Roman" w:hAnsi="Times New Roman" w:cs="Times New Roman"/>
        </w:rPr>
        <w:t>ed</w:t>
      </w:r>
      <w:r>
        <w:rPr>
          <w:rFonts w:ascii="Times New Roman" w:hAnsi="Times New Roman" w:cs="Times New Roman"/>
        </w:rPr>
        <w:t xml:space="preserve"> in conjunction with the Catapult software. </w:t>
      </w:r>
    </w:p>
    <w:p w14:paraId="43B2D98B" w14:textId="22FB173D" w:rsidR="001C062C" w:rsidRPr="0073079E" w:rsidRDefault="001C062C" w:rsidP="00F829B9">
      <w:pPr>
        <w:spacing w:line="480" w:lineRule="auto"/>
        <w:jc w:val="both"/>
        <w:rPr>
          <w:rFonts w:ascii="Times New Roman" w:hAnsi="Times New Roman" w:cs="Times New Roman"/>
        </w:rPr>
      </w:pPr>
      <w:r>
        <w:rPr>
          <w:rFonts w:ascii="Times New Roman" w:hAnsi="Times New Roman" w:cs="Times New Roman"/>
        </w:rPr>
        <w:tab/>
        <w:t xml:space="preserve">Additionally, at the end of the training exposure, each participant </w:t>
      </w:r>
      <w:r w:rsidR="00357231">
        <w:rPr>
          <w:rFonts w:ascii="Times New Roman" w:hAnsi="Times New Roman" w:cs="Times New Roman"/>
        </w:rPr>
        <w:t>gave</w:t>
      </w:r>
      <w:r>
        <w:rPr>
          <w:rFonts w:ascii="Times New Roman" w:hAnsi="Times New Roman" w:cs="Times New Roman"/>
        </w:rPr>
        <w:t xml:space="preserve"> a rating of perceived exertion (RPE) describing how difficult they felt the training was based on a scale numbered 0-10, with 0 representing no exertion and 10 describing maximal </w:t>
      </w:r>
      <w:r w:rsidR="006E4BBB">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{"citationID":"Cj24yVyR","properties":{"formattedCitation":"(Foster et al., 2001)","plainCitation":"(Foster et al., 2001)","noteIndex":0},"citationItems":[{"id":483,"uris":["http://zotero.org/users/6327055/items/7L5RW8G7"],"itemData":{"id":483,"type":"article-journal","container-title":"Journal of Strength and Conditioning Research","DOI":"10.1519/00124278-200102000-00019","ISSN":"1064-8011","issue":"1","journalAbbreviation":"Journal of Strength and Conditioning Research","language":"en","page":"109-115","source":"DOI.org (Crossref)","title":"A new approach to monitoring exercise training:","title-short":"A New Approach to Monitoring Exercise Training","volume":"15","author":[{"family":"Foster","given":"Carl"},{"family":"Florhaug","given":"Jessica A."},{"family":"Franklin","given":"Jodi"},{"family":"Gottschall","given":"Lori"},{"family":"Hrovatin","given":"Lauri A."},{"family":"Parker","given":"Suzanne"},{"family":"Doleshal","given":"Pamela"},{"family":"Dodge","given":"Christopher"}],"issued":{"date-parts":[["2001",2]]}}}],"schema":"https://github.com/citation-style-language/schema/raw/master/csl-citation.json"} </w:instrText>
      </w:r>
      <w:r w:rsidR="006E4BBB">
        <w:rPr>
          <w:rFonts w:ascii="Times New Roman" w:hAnsi="Times New Roman" w:cs="Times New Roman"/>
        </w:rPr>
        <w:fldChar w:fldCharType="separate"/>
      </w:r>
      <w:r w:rsidR="006E4BBB">
        <w:rPr>
          <w:rFonts w:ascii="Times New Roman" w:hAnsi="Times New Roman" w:cs="Times New Roman"/>
          <w:noProof/>
        </w:rPr>
        <w:t>(Foster et al., 2001)</w:t>
      </w:r>
      <w:r w:rsidR="006E4BBB">
        <w:rPr>
          <w:rFonts w:ascii="Times New Roman" w:hAnsi="Times New Roman" w:cs="Times New Roman"/>
        </w:rPr>
        <w:fldChar w:fldCharType="end"/>
      </w:r>
      <w:r>
        <w:rPr>
          <w:rFonts w:ascii="Times New Roman" w:hAnsi="Times New Roman" w:cs="Times New Roman"/>
        </w:rPr>
        <w:t>. Each value w</w:t>
      </w:r>
      <w:r w:rsidR="00357231">
        <w:rPr>
          <w:rFonts w:ascii="Times New Roman" w:hAnsi="Times New Roman" w:cs="Times New Roman"/>
        </w:rPr>
        <w:t>as</w:t>
      </w:r>
      <w:r>
        <w:rPr>
          <w:rFonts w:ascii="Times New Roman" w:hAnsi="Times New Roman" w:cs="Times New Roman"/>
        </w:rPr>
        <w:t xml:space="preserve"> obtained in isolation from the rest of the participants to mitigate any influence from others and recorded to the nearest half digit. Session-RPE </w:t>
      </w:r>
      <w:r w:rsidR="00BF4005">
        <w:rPr>
          <w:rFonts w:ascii="Times New Roman" w:hAnsi="Times New Roman" w:cs="Times New Roman"/>
        </w:rPr>
        <w:t>(</w:t>
      </w:r>
      <w:proofErr w:type="spellStart"/>
      <w:r w:rsidR="00BF4005">
        <w:rPr>
          <w:rFonts w:ascii="Times New Roman" w:hAnsi="Times New Roman" w:cs="Times New Roman"/>
        </w:rPr>
        <w:t>sRPE</w:t>
      </w:r>
      <w:proofErr w:type="spellEnd"/>
      <w:r w:rsidR="00BF4005">
        <w:rPr>
          <w:rFonts w:ascii="Times New Roman" w:hAnsi="Times New Roman" w:cs="Times New Roman"/>
        </w:rPr>
        <w:t xml:space="preserve">) </w:t>
      </w:r>
      <w:r w:rsidR="00357231">
        <w:rPr>
          <w:rFonts w:ascii="Times New Roman" w:hAnsi="Times New Roman" w:cs="Times New Roman"/>
        </w:rPr>
        <w:t>was</w:t>
      </w:r>
      <w:r>
        <w:rPr>
          <w:rFonts w:ascii="Times New Roman" w:hAnsi="Times New Roman" w:cs="Times New Roman"/>
        </w:rPr>
        <w:t xml:space="preserve"> then be gathered by multiplying the value by the duration of practice </w:t>
      </w:r>
      <w:r>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{"citationID":"PxigBq6v","properties":{"formattedCitation":"(Casamichana et al., 2013)","plainCitation":"(Casamichana et al., 2013)","noteIndex":0},"citationItems":[{"id":481,"uris":["http://zotero.org/users/6327055/items/UXYCKJK5"],"itemData":{"id":481,"type":"article-journal","abstract":"Casamichana, D, Castellano, J, Calleja-Gonzalez, J, San Roma´n, J, and Castagna, C. Relationship between indicators of training load in soccer players. J Strength Cond Res 27(2): 369–374, 2013—This study examined the relationship between work load indicators used to quantify full training sessions in soccer. The participants were 28 semiprofessional male soccer players age 22.9 6 4.2 years, height 177 6 5 cm, body mass 73.6 6 4.4 kg. Players’ physical and physiological work load was monitored over 44 training sessions using global positioning system devices (10 Hz) and heart rate, respectively. After each training session, players’ training perceived-exertion (rating of perceived exertion [RPE]) was assessed using the Borg CR-10 scale. Players’ internal training load was assessed using the session-RPE and the Edwards methods. Total distance, distances covered at arbitrary selected high-intensity speed zones ($18 and 21 kmÁh21), bout frequency at speed .18 and 21 kmÁh21, and work:rest ratio during training drills were considered as signs of physical work load. Furthermore, player load assumed as reﬂection of total center-of-mass acceleration was considered as representative of players’ external load. Very-large association of player load with Edwards and session-RPE methods was found. Total distance covered was large to very large associated with Player Load, Session-RPE, and Edwards methods. The ﬁndings of this study provided evidence for the safe use of session-RPE, Edwards methods, and Players Load as valid indicators of training responses in soccer.","container-title":"Journal of Strength and Conditioning Research","DOI":"10.1519/JSC.0b013e3182548af1","ISSN":"1064-8011","issue":"2","language":"en","page":"369-374","source":"DOI.org (Crossref)","title":"Relationship between indicators of training load in soccer players","volume":"27","author":[{"family":"Casamichana","given":"David"},{"family":"Castellano","given":"Julen"},{"family":"Calleja-Gonzalez","given":"Julio"},{"family":"San Román","given":"Jaime"},{"family":"Castagna","given":"Carlo"}],"issued":{"date-parts":[["2013",2]]}}}],"schema":"https://github.com/citation-style-language/schema/raw/master/csl-citation.json"}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(Casamichana et al., 2013)</w:t>
      </w:r>
      <w:r>
        <w:rPr>
          <w:rFonts w:ascii="Times New Roman" w:hAnsi="Times New Roman" w:cs="Times New Roman"/>
        </w:rPr>
        <w:fldChar w:fldCharType="end"/>
      </w:r>
      <w:r>
        <w:rPr>
          <w:rFonts w:ascii="Times New Roman" w:hAnsi="Times New Roman" w:cs="Times New Roman"/>
        </w:rPr>
        <w:t xml:space="preserve">. </w:t>
      </w:r>
    </w:p>
    <w:p w14:paraId="403BB45F" w14:textId="4601F6F5" w:rsidR="0051641E" w:rsidRPr="00195D51" w:rsidRDefault="0051641E" w:rsidP="00F829B9">
      <w:pPr>
        <w:pStyle w:val="Heading2"/>
      </w:pPr>
      <w:bookmarkStart w:id="55" w:name="_Toc99267632"/>
      <w:r w:rsidRPr="00195D51">
        <w:t>Countermovement Jump Testing</w:t>
      </w:r>
      <w:bookmarkEnd w:id="55"/>
    </w:p>
    <w:p w14:paraId="4D837BC6" w14:textId="24FAAE2A" w:rsidR="0051641E" w:rsidRDefault="0051641E" w:rsidP="00F829B9">
      <w:pPr>
        <w:spacing w:line="480" w:lineRule="auto"/>
        <w:jc w:val="both"/>
        <w:rPr>
          <w:rFonts w:ascii="Times New Roman" w:hAnsi="Times New Roman" w:cs="Times New Roman"/>
        </w:rPr>
      </w:pPr>
      <w:r>
        <w:rPr>
          <w:rFonts w:ascii="Times New Roman" w:hAnsi="Times New Roman" w:cs="Times New Roman"/>
        </w:rPr>
        <w:tab/>
        <w:t>The CMJ w</w:t>
      </w:r>
      <w:r w:rsidR="009525B0">
        <w:rPr>
          <w:rFonts w:ascii="Times New Roman" w:hAnsi="Times New Roman" w:cs="Times New Roman"/>
        </w:rPr>
        <w:t>as</w:t>
      </w:r>
      <w:r>
        <w:rPr>
          <w:rFonts w:ascii="Times New Roman" w:hAnsi="Times New Roman" w:cs="Times New Roman"/>
        </w:rPr>
        <w:t xml:space="preserve"> performed on the </w:t>
      </w:r>
      <w:proofErr w:type="spellStart"/>
      <w:r>
        <w:rPr>
          <w:rFonts w:ascii="Times New Roman" w:hAnsi="Times New Roman" w:cs="Times New Roman"/>
        </w:rPr>
        <w:t>ForceDecks</w:t>
      </w:r>
      <w:proofErr w:type="spellEnd"/>
      <w:r>
        <w:rPr>
          <w:rFonts w:ascii="Times New Roman" w:hAnsi="Times New Roman" w:cs="Times New Roman"/>
        </w:rPr>
        <w:t xml:space="preserve"> Dual Force Plate Systems (</w:t>
      </w:r>
      <w:proofErr w:type="spellStart"/>
      <w:r>
        <w:rPr>
          <w:rFonts w:ascii="Times New Roman" w:hAnsi="Times New Roman" w:cs="Times New Roman"/>
        </w:rPr>
        <w:t>Vald</w:t>
      </w:r>
      <w:proofErr w:type="spellEnd"/>
      <w:r>
        <w:rPr>
          <w:rFonts w:ascii="Times New Roman" w:hAnsi="Times New Roman" w:cs="Times New Roman"/>
        </w:rPr>
        <w:t xml:space="preserve">, Newstead, Queensland, Australia), with a sample rate of 1000Hz. </w:t>
      </w:r>
      <w:r w:rsidR="000B37E0">
        <w:rPr>
          <w:rFonts w:ascii="Times New Roman" w:hAnsi="Times New Roman" w:cs="Times New Roman"/>
        </w:rPr>
        <w:t xml:space="preserve">In line with previous work </w:t>
      </w:r>
      <w:r w:rsidR="000B37E0">
        <w:rPr>
          <w:rFonts w:ascii="Times New Roman" w:hAnsi="Times New Roman" w:cs="Times New Roman"/>
        </w:rPr>
        <w:fldChar w:fldCharType="begin"/>
      </w:r>
      <w:r w:rsidR="00A05ADB">
        <w:rPr>
          <w:rFonts w:ascii="Times New Roman" w:hAnsi="Times New Roman" w:cs="Times New Roman"/>
        </w:rPr>
        <w:instrText xml:space="preserve"> ADDIN ZOTERO_ITEM CSL_CITATION {"citationID":"6bRwTaX3","properties":{"formattedCitation":"(A. Heishman, Daub, et al., 2020; A. Heishman et al., 2018; A. Heishman, Peak, et al., 2021)","plainCitation":"(A. Heishman, Daub, et al., 2020; A. Heishman et al., 2018; A. Heishman, Peak, et al., 2021)","noteIndex":0},"citationItems":[{"id":267,"uris":["http://zotero.org/users/6327055/items/V555YN52"],"itemData":{"id":267,"type":"article-journal","container-title":"Journal of Strength and Conditioning Research","DOI":"10.1519/JSC.0000000000002413","ISSN":"1064-8011","issue":"5","language":"en","page":"1280-1287","source":"DOI.org (Crossref)","title":"Noninvasive assessment of internal and external player load: Implications for optimizing athletic performance","title-short":"Noninvasive Assessment of Internal and External Player Load","volume":"32","author":[{"family":"Heishman","given":"Aaron"},{"family":"Curtis","given":"Michael"},{"family":"Saliba","given":"Ethan"},{"family":"Hornett","given":"Robert"},{"family":"Malin","given":"Steven"},{"family":"Weltman","given":"Arthur"}],"issued":{"date-parts":[["2018",5]]}}},{"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id":457,"uris":["http://zotero.org/users/6327055/items/7Z5LDBUV"],"itemData":{"id":457,"type":"article-journal","abstract":"Background: The countermovement jump (CMJ) is used to monitor short- and long-term changes in neuromuscular performance, where practically relevant alteration may be subtle, requiring detailed and consistent testing protocols to limit error and allow detection of meaningful change. Collegiate basketball players often wear different types of footwear depending upon the training activity, potentially influencing CMJ performance outcomes. Objective: This study evaluated the influence of footwear on key CMJ variables used for routine performance assessments in a cohort of 11 NCAA women’s collegiate basketball players. Method: In a cross-over repeated measures study design, players performed three CMJs in Basketball-, Training-(Trainers), and Olympic Weightlifting (WL) shoes, in a randomized order during one testing session. Oneway repeated measures analyses of variance (p ≤ .05) and effect sizes (Cohen’s d) were used to discern differences in CMJ variables among shoe conditions. Results: WL demonstrated greater Eccentric Mean Force (p ≤ .014, d ≥ 0.03) and lower Flight Time:Contraction Time (p ≤ .029, d ≥ 0.31), Jump Height (p ≤ .040, d ≥ 0.32), and Reactive Strength Index-Modified (p ≤ .032, d ≥ 0.40) than both Basketball and Trainers. Additionally, WL exhibited lower Concentric Mean Force (p = .018, d = 0.19), Concentric Mean Power (p = .008, d = 0.29), Eccentric Peak Force (p = .050, d = 0.19), and Flight Time (p = .036, d = 0.31) compared to Trainer. No significant differences and only trivial effects appeared between Basketball and Trainers (p &gt; 0.05, d &lt; 0.1). Conclusion: These findings suggest footwear significantly influences CMJ performance. WL shoes appear to negatively impact CMJ performance; however, Basketball and Trainers appear to exert negligible effects that should allow clinicians and practitioners to feel confident about measurement and data quality when performing short- and long-term CMJ measurements in either Basketball or Trainers.","container-title":"International Journal of Kinesiology and Sports Science","DOI":"10.7575/aiac.ijkss.v.9n.2p.14","ISSN":"2202-946X","issue":"2","language":"en","page":"14","source":"DOI.org (Crossref)","title":"Does footwear influence countermovement jump parameters used to assess performance in collegiate basketball players?","volume":"9","author":[{"family":"Heishman","given":"Aaron"},{"family":"Peak","given":"Keldon"},{"family":"Daub","given":"Bryce"},{"family":"Miller","given":"Ryan"},{"family":"Freitas","given":"Eduardo"}],"issued":{"date-parts":[["2021",4,30]]}}}],"schema":"https://github.com/citation-style-language/schema/raw/master/csl-citation.json"} </w:instrText>
      </w:r>
      <w:r w:rsidR="000B37E0">
        <w:rPr>
          <w:rFonts w:ascii="Times New Roman" w:hAnsi="Times New Roman" w:cs="Times New Roman"/>
        </w:rPr>
        <w:fldChar w:fldCharType="separate"/>
      </w:r>
      <w:r w:rsidR="00A05ADB">
        <w:rPr>
          <w:rFonts w:ascii="Times New Roman" w:hAnsi="Times New Roman" w:cs="Times New Roman"/>
          <w:noProof/>
        </w:rPr>
        <w:t>(A. Heishman, Daub, et al., 2020; A. Heishman et al., 2018; A. Heishman, Peak, et al., 2021)</w:t>
      </w:r>
      <w:r w:rsidR="000B37E0">
        <w:rPr>
          <w:rFonts w:ascii="Times New Roman" w:hAnsi="Times New Roman" w:cs="Times New Roman"/>
        </w:rPr>
        <w:fldChar w:fldCharType="end"/>
      </w:r>
      <w:r w:rsidR="000B37E0">
        <w:rPr>
          <w:rFonts w:ascii="Times New Roman" w:hAnsi="Times New Roman" w:cs="Times New Roman"/>
        </w:rPr>
        <w:t>, p</w:t>
      </w:r>
      <w:r>
        <w:rPr>
          <w:rFonts w:ascii="Times New Roman" w:hAnsi="Times New Roman" w:cs="Times New Roman"/>
        </w:rPr>
        <w:t>rior to each test</w:t>
      </w:r>
      <w:r w:rsidR="00022E00">
        <w:rPr>
          <w:rFonts w:ascii="Times New Roman" w:hAnsi="Times New Roman" w:cs="Times New Roman"/>
        </w:rPr>
        <w:t xml:space="preserve"> participants under</w:t>
      </w:r>
      <w:r w:rsidR="009525B0">
        <w:rPr>
          <w:rFonts w:ascii="Times New Roman" w:hAnsi="Times New Roman" w:cs="Times New Roman"/>
        </w:rPr>
        <w:t>went</w:t>
      </w:r>
      <w:r>
        <w:rPr>
          <w:rFonts w:ascii="Times New Roman" w:hAnsi="Times New Roman" w:cs="Times New Roman"/>
        </w:rPr>
        <w:t xml:space="preserve"> a standardized warm-up including dynamic stretching</w:t>
      </w:r>
      <w:r w:rsidR="00022E00">
        <w:rPr>
          <w:rFonts w:ascii="Times New Roman" w:hAnsi="Times New Roman" w:cs="Times New Roman"/>
        </w:rPr>
        <w:t xml:space="preserve"> and</w:t>
      </w:r>
      <w:r>
        <w:rPr>
          <w:rFonts w:ascii="Times New Roman" w:hAnsi="Times New Roman" w:cs="Times New Roman"/>
        </w:rPr>
        <w:t xml:space="preserve"> locomotion including a series of skips performed linearly and laterally. The intensities of the movements performed gradually increase</w:t>
      </w:r>
      <w:r w:rsidR="00A40CA0">
        <w:rPr>
          <w:rFonts w:ascii="Times New Roman" w:hAnsi="Times New Roman" w:cs="Times New Roman"/>
        </w:rPr>
        <w:t>d</w:t>
      </w:r>
      <w:r>
        <w:rPr>
          <w:rFonts w:ascii="Times New Roman" w:hAnsi="Times New Roman" w:cs="Times New Roman"/>
        </w:rPr>
        <w:t xml:space="preserve"> throughout to ensure the participants are prepared for the maximal CMJs. The warm-up was not performed after participating in the practice session in order to limit the additional load accumulation</w:t>
      </w:r>
      <w:r w:rsidR="00C03FB1">
        <w:rPr>
          <w:rFonts w:ascii="Times New Roman" w:hAnsi="Times New Roman" w:cs="Times New Roman"/>
        </w:rPr>
        <w:t xml:space="preserve"> </w:t>
      </w:r>
      <w:r w:rsidR="00C03FB1">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{"citationID":"nPKH1gvT","properties":{"formattedCitation":"(A. Heishman, Daub, et al., 2020; A. D. Heishman et al., 2017)","plainCitation":"(A. Heishman, Daub, et al., 2020; A. D. Heishman et al., 2017)","noteIndex":0},"citationItems":[{"id":72,"uris":["http://zotero.org/users/6327055/items/5BLUV5Q6"],"itemData":{"id":72,"type":"article-journal","container-title":"Journal of Strength and Conditioning Research","DOI":"10.1519/JSC.0000000000001882","ISSN":"1064-8011","issue":"6","journalAbbreviation":"Journal of Strength and Conditioning Research","language":"en","page":"1557-1562","source":"DOI.org (Crossref)","title":"Comparing Performance During Morning vs. Afternoon Training Sessions in Intercollegiate Basketball Players:","title-short":"Comparing Performance During Morning vs. Afternoon Training Sessions in Intercollegiate Basketball Players","volume":"31","author":[{"family":"Heishman","given":"Aaron D."},{"family":"Curtis","given":"Michael A."},{"family":"Saliba","given":"Ethan N."},{"family":"Hornett","given":"Robert J."},{"family":"Malin","given":"Steven K."},{"family":"Weltman","given":"Arthur L."}],"issued":{"date-parts":[["2017",6]]}}},{"id":15,"uris":["http://zotero.org/users/6327055/items/JSD3CII9"],"itemData":{"id":15,"type":"article-journal","abstract":"Heishman,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sidR="00C03FB1">
        <w:rPr>
          <w:rFonts w:ascii="Times New Roman" w:hAnsi="Times New Roman" w:cs="Times New Roman"/>
        </w:rPr>
        <w:fldChar w:fldCharType="separate"/>
      </w:r>
      <w:r w:rsidR="00546507">
        <w:rPr>
          <w:rFonts w:ascii="Times New Roman" w:hAnsi="Times New Roman" w:cs="Times New Roman"/>
          <w:noProof/>
        </w:rPr>
        <w:t>(A. Heishman, Daub, et al., 2020; A. D. Heishman et al., 2017)</w:t>
      </w:r>
      <w:r w:rsidR="00C03FB1">
        <w:rPr>
          <w:rFonts w:ascii="Times New Roman" w:hAnsi="Times New Roman" w:cs="Times New Roman"/>
        </w:rPr>
        <w:fldChar w:fldCharType="end"/>
      </w:r>
      <w:r>
        <w:rPr>
          <w:rFonts w:ascii="Times New Roman" w:hAnsi="Times New Roman" w:cs="Times New Roman"/>
        </w:rPr>
        <w:t xml:space="preserve">. </w:t>
      </w:r>
    </w:p>
    <w:p w14:paraId="48303DE9" w14:textId="510B5435" w:rsidR="0051641E" w:rsidRDefault="0051641E" w:rsidP="00F829B9">
      <w:pPr>
        <w:spacing w:line="480" w:lineRule="auto"/>
        <w:jc w:val="both"/>
        <w:rPr>
          <w:rFonts w:ascii="Times New Roman" w:hAnsi="Times New Roman" w:cs="Times New Roman"/>
        </w:rPr>
      </w:pPr>
      <w:r>
        <w:rPr>
          <w:rFonts w:ascii="Times New Roman" w:hAnsi="Times New Roman" w:cs="Times New Roman"/>
        </w:rPr>
        <w:lastRenderedPageBreak/>
        <w:tab/>
        <w:t>The performance of the CMJ w</w:t>
      </w:r>
      <w:r w:rsidR="00A40CA0">
        <w:rPr>
          <w:rFonts w:ascii="Times New Roman" w:hAnsi="Times New Roman" w:cs="Times New Roman"/>
        </w:rPr>
        <w:t>as</w:t>
      </w:r>
      <w:r>
        <w:rPr>
          <w:rFonts w:ascii="Times New Roman" w:hAnsi="Times New Roman" w:cs="Times New Roman"/>
        </w:rPr>
        <w:t xml:space="preserve"> done by instructing the participant to stand tall with their feet shoulder width apart and their hands on their hips. The participant obtain</w:t>
      </w:r>
      <w:r w:rsidR="00A40CA0">
        <w:rPr>
          <w:rFonts w:ascii="Times New Roman" w:hAnsi="Times New Roman" w:cs="Times New Roman"/>
        </w:rPr>
        <w:t>ed</w:t>
      </w:r>
      <w:r>
        <w:rPr>
          <w:rFonts w:ascii="Times New Roman" w:hAnsi="Times New Roman" w:cs="Times New Roman"/>
        </w:rPr>
        <w:t xml:space="preserve"> an equal weight distribution on the force plates displayed by the </w:t>
      </w:r>
      <w:proofErr w:type="spellStart"/>
      <w:r>
        <w:rPr>
          <w:rFonts w:ascii="Times New Roman" w:hAnsi="Times New Roman" w:cs="Times New Roman"/>
        </w:rPr>
        <w:t>Vald</w:t>
      </w:r>
      <w:proofErr w:type="spellEnd"/>
      <w:r>
        <w:rPr>
          <w:rFonts w:ascii="Times New Roman" w:hAnsi="Times New Roman" w:cs="Times New Roman"/>
        </w:rPr>
        <w:t xml:space="preserve"> software. Once calibrated with an equal weight distribution, the participants w</w:t>
      </w:r>
      <w:r w:rsidR="00A40CA0">
        <w:rPr>
          <w:rFonts w:ascii="Times New Roman" w:hAnsi="Times New Roman" w:cs="Times New Roman"/>
        </w:rPr>
        <w:t>ere</w:t>
      </w:r>
      <w:r>
        <w:rPr>
          <w:rFonts w:ascii="Times New Roman" w:hAnsi="Times New Roman" w:cs="Times New Roman"/>
        </w:rPr>
        <w:t xml:space="preserve"> instructed to lower themselves to a self-selected depth for their CMJ and propel themselves off the force plates into the air while keeping their hands on their hips and in a controlled manner to land in an athletic position back on the force plates. This w</w:t>
      </w:r>
      <w:r w:rsidR="00A40CA0">
        <w:rPr>
          <w:rFonts w:ascii="Times New Roman" w:hAnsi="Times New Roman" w:cs="Times New Roman"/>
        </w:rPr>
        <w:t>as</w:t>
      </w:r>
      <w:r>
        <w:rPr>
          <w:rFonts w:ascii="Times New Roman" w:hAnsi="Times New Roman" w:cs="Times New Roman"/>
        </w:rPr>
        <w:t xml:space="preserve"> followed by another CMJ performance after a clear 3 second reset </w:t>
      </w:r>
      <w:r w:rsidR="00A40CA0">
        <w:rPr>
          <w:rFonts w:ascii="Times New Roman" w:hAnsi="Times New Roman" w:cs="Times New Roman"/>
        </w:rPr>
        <w:t>was</w:t>
      </w:r>
      <w:r>
        <w:rPr>
          <w:rFonts w:ascii="Times New Roman" w:hAnsi="Times New Roman" w:cs="Times New Roman"/>
        </w:rPr>
        <w:t xml:space="preserve"> exhibited for a total of 3 trials. If there </w:t>
      </w:r>
      <w:r w:rsidR="00A40CA0">
        <w:rPr>
          <w:rFonts w:ascii="Times New Roman" w:hAnsi="Times New Roman" w:cs="Times New Roman"/>
        </w:rPr>
        <w:t>was</w:t>
      </w:r>
      <w:r>
        <w:rPr>
          <w:rFonts w:ascii="Times New Roman" w:hAnsi="Times New Roman" w:cs="Times New Roman"/>
        </w:rPr>
        <w:t xml:space="preserve"> any excessive knee bend while mid-air, the participants’ hands c</w:t>
      </w:r>
      <w:r w:rsidR="00A40CA0">
        <w:rPr>
          <w:rFonts w:ascii="Times New Roman" w:hAnsi="Times New Roman" w:cs="Times New Roman"/>
        </w:rPr>
        <w:t>a</w:t>
      </w:r>
      <w:r>
        <w:rPr>
          <w:rFonts w:ascii="Times New Roman" w:hAnsi="Times New Roman" w:cs="Times New Roman"/>
        </w:rPr>
        <w:t>me off their hips, or the participant d</w:t>
      </w:r>
      <w:r w:rsidR="00A40CA0">
        <w:rPr>
          <w:rFonts w:ascii="Times New Roman" w:hAnsi="Times New Roman" w:cs="Times New Roman"/>
        </w:rPr>
        <w:t>idn’t</w:t>
      </w:r>
      <w:r>
        <w:rPr>
          <w:rFonts w:ascii="Times New Roman" w:hAnsi="Times New Roman" w:cs="Times New Roman"/>
        </w:rPr>
        <w:t xml:space="preserve"> land on the cell or l</w:t>
      </w:r>
      <w:r w:rsidR="00A40CA0">
        <w:rPr>
          <w:rFonts w:ascii="Times New Roman" w:hAnsi="Times New Roman" w:cs="Times New Roman"/>
        </w:rPr>
        <w:t>ost</w:t>
      </w:r>
      <w:r>
        <w:rPr>
          <w:rFonts w:ascii="Times New Roman" w:hAnsi="Times New Roman" w:cs="Times New Roman"/>
        </w:rPr>
        <w:t xml:space="preserve"> balance on the landing, then the CMJ w</w:t>
      </w:r>
      <w:r w:rsidR="00A40CA0">
        <w:rPr>
          <w:rFonts w:ascii="Times New Roman" w:hAnsi="Times New Roman" w:cs="Times New Roman"/>
        </w:rPr>
        <w:t>as</w:t>
      </w:r>
      <w:r>
        <w:rPr>
          <w:rFonts w:ascii="Times New Roman" w:hAnsi="Times New Roman" w:cs="Times New Roman"/>
        </w:rPr>
        <w:t xml:space="preserve"> ruled invalid and repeated. Participants w</w:t>
      </w:r>
      <w:r w:rsidR="00A40CA0">
        <w:rPr>
          <w:rFonts w:ascii="Times New Roman" w:hAnsi="Times New Roman" w:cs="Times New Roman"/>
        </w:rPr>
        <w:t>ere</w:t>
      </w:r>
      <w:r>
        <w:rPr>
          <w:rFonts w:ascii="Times New Roman" w:hAnsi="Times New Roman" w:cs="Times New Roman"/>
        </w:rPr>
        <w:t xml:space="preserve"> encouraged to jump as high and as fast as possible to promote a maximal effort during each trial. Instructions as well as encouragement across all participants w</w:t>
      </w:r>
      <w:r w:rsidR="00A40CA0">
        <w:rPr>
          <w:rFonts w:ascii="Times New Roman" w:hAnsi="Times New Roman" w:cs="Times New Roman"/>
        </w:rPr>
        <w:t>ere</w:t>
      </w:r>
      <w:r>
        <w:rPr>
          <w:rFonts w:ascii="Times New Roman" w:hAnsi="Times New Roman" w:cs="Times New Roman"/>
        </w:rPr>
        <w:t xml:space="preserve"> kept the same to limit the impact on performance of the CMJ </w:t>
      </w:r>
      <w:r w:rsidR="00BC5100">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{"citationID":"vOJKZF0M","properties":{"formattedCitation":"(Young et al., 1995)","plainCitation":"(Young et al., 1995)","noteIndex":0},"citationItems":[{"id":346,"uris":["http://zotero.org/users/6327055/items/DU33MVC9"],"itemData":{"id":346,"type":"article-journal","abstract":"This study compared a countermovement jump (CMJ) and drop jumps performed according to 3 objectives: maximum jump height (DJ-H), minimum contact time (DJ-t), and maximum jump height/contact time ratio (DJ-H/t). Subjects (N = 17 males) performed all 4 jump conditions on a contact mat/computer system that recorded the contact and flight times. DJ-H produced significantly greater jump height/contact time at all drop heights than DJ-H/t. DJ-H/t produced significantly greater jump height, longer contact time, and greater jump height/contact time at all drop heights than DJ-t. CMJ and best height in DJ-H height and best DJ-H/t performance was low. As DJ drop height increased, so did the jumps resulting in heel-ground contact. DJ characteristics are similar to CMJ when jump height is the only objective. But when DJ contact time is shortened, the imposed stretch loads probably increase and different qualities are required for successful jumps.","container-title":"The Journal of Strength &amp; Conditioning Research","ISSN":"1064-8011","issue":"4","language":"en-US","page":"232–236","source":"journals.lww.com","title":"Effect of instructions on characteristics of countermovement and drop jump performance","volume":"9","author":[{"family":"Young","given":"Warren B."},{"family":"Pryor","given":"John F."},{"family":"Wilson","given":"Greg J."}],"issued":{"date-parts":[["1995",11]]}}}],"schema":"https://github.com/citation-style-language/schema/raw/master/csl-citation.json"} </w:instrText>
      </w:r>
      <w:r w:rsidR="00BC5100">
        <w:rPr>
          <w:rFonts w:ascii="Times New Roman" w:hAnsi="Times New Roman" w:cs="Times New Roman"/>
          <w:noProof/>
        </w:rPr>
        <w:fldChar w:fldCharType="separate"/>
      </w:r>
      <w:r w:rsidR="00BC5100">
        <w:rPr>
          <w:rFonts w:ascii="Times New Roman" w:hAnsi="Times New Roman" w:cs="Times New Roman"/>
          <w:noProof/>
        </w:rPr>
        <w:t>(Young et al., 1995)</w:t>
      </w:r>
      <w:r w:rsidR="00BC5100">
        <w:rPr>
          <w:rFonts w:ascii="Times New Roman" w:hAnsi="Times New Roman" w:cs="Times New Roman"/>
          <w:noProof/>
        </w:rPr>
        <w:fldChar w:fldCharType="end"/>
      </w:r>
      <w:r>
        <w:rPr>
          <w:rFonts w:ascii="Times New Roman" w:hAnsi="Times New Roman" w:cs="Times New Roman"/>
        </w:rPr>
        <w:t xml:space="preserve">. During each visit, </w:t>
      </w:r>
      <w:r w:rsidR="0042392E">
        <w:rPr>
          <w:rFonts w:ascii="Times New Roman" w:hAnsi="Times New Roman" w:cs="Times New Roman"/>
        </w:rPr>
        <w:t xml:space="preserve">to maintain ecological validity, </w:t>
      </w:r>
      <w:r>
        <w:rPr>
          <w:rFonts w:ascii="Times New Roman" w:hAnsi="Times New Roman" w:cs="Times New Roman"/>
        </w:rPr>
        <w:t xml:space="preserve">the participant </w:t>
      </w:r>
      <w:r w:rsidR="000C36C3">
        <w:rPr>
          <w:rFonts w:ascii="Times New Roman" w:hAnsi="Times New Roman" w:cs="Times New Roman"/>
        </w:rPr>
        <w:t>wore</w:t>
      </w:r>
      <w:r>
        <w:rPr>
          <w:rFonts w:ascii="Times New Roman" w:hAnsi="Times New Roman" w:cs="Times New Roman"/>
        </w:rPr>
        <w:t xml:space="preserve"> practice attire and basketball shoes during testing</w:t>
      </w:r>
      <w:r w:rsidR="00CD5326">
        <w:rPr>
          <w:rFonts w:ascii="Times New Roman" w:hAnsi="Times New Roman" w:cs="Times New Roman"/>
        </w:rPr>
        <w:t xml:space="preserve"> </w:t>
      </w:r>
      <w:r w:rsidR="0042392E">
        <w:rPr>
          <w:rFonts w:ascii="Times New Roman" w:hAnsi="Times New Roman" w:cs="Times New Roman"/>
        </w:rPr>
        <w:t>and w</w:t>
      </w:r>
      <w:r w:rsidR="00A40CA0">
        <w:rPr>
          <w:rFonts w:ascii="Times New Roman" w:hAnsi="Times New Roman" w:cs="Times New Roman"/>
        </w:rPr>
        <w:t>ere</w:t>
      </w:r>
      <w:r w:rsidR="0042392E">
        <w:rPr>
          <w:rFonts w:ascii="Times New Roman" w:hAnsi="Times New Roman" w:cs="Times New Roman"/>
        </w:rPr>
        <w:t xml:space="preserve"> required to wear the same pair of shoes during each testing session </w:t>
      </w:r>
      <w:r w:rsidR="00CD5326">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{"citationID":"SILXInb2","properties":{"formattedCitation":"(A. Heishman, Peak, et al., 2021)","plainCitation":"(A. Heishman, Peak, et al., 2021)","noteIndex":0},"citationItems":[{"id":457,"uris":["http://zotero.org/users/6327055/items/7Z5LDBUV"],"itemData":{"id":457,"type":"article-journal","abstract":"Background: The countermovement jump (CMJ) is used to monitor short- and long-term changes in neuromuscular performance, where practically relevant alteration may be subtle, requiring detailed and consistent testing protocols to limit error and allow detection of meaningful change. Collegiate basketball players often wear different types of footwear depending upon the training activity, potentially influencing CMJ performance outcomes. Objective: This study evaluated the influence of footwear on key CMJ variables used for routine performance assessments in a cohort of 11 NCAA women’s collegiate basketball players. Method: In a cross-over repeated measures study design, players performed three CMJs in Basketball-, Training-(Trainers), and Olympic Weightlifting (WL) shoes, in a randomized order during one testing session. Oneway repeated measures analyses of variance (p ≤ .05) and effect sizes (Cohen’s d) were used to discern differences in CMJ variables among shoe conditions. Results: WL demonstrated greater Eccentric Mean Force (p ≤ .014, d ≥ 0.03) and lower Flight Time:Contraction Time (p ≤ .029, d ≥ 0.31), Jump Height (p ≤ .040, d ≥ 0.32), and Reactive Strength Index-Modified (p ≤ .032, d ≥ 0.40) than both Basketball and Trainers. Additionally, WL exhibited lower Concentric Mean Force (p = .018, d = 0.19), Concentric Mean Power (p = .008, d = 0.29), Eccentric Peak Force (p = .050, d = 0.19), and Flight Time (p = .036, d = 0.31) compared to Trainer. No significant differences and only trivial effects appeared between Basketball and Trainers (p &gt; 0.05, d &lt; 0.1). Conclusion: These findings suggest footwear significantly influences CMJ performance. WL shoes appear to negatively impact CMJ performance; however, Basketball and Trainers appear to exert negligible effects that should allow clinicians and practitioners to feel confident about measurement and data quality when performing short- and long-term CMJ measurements in either Basketball or Trainers.","container-title":"International Journal of Kinesiology and Sports Science","DOI":"10.7575/aiac.ijkss.v.9n.2p.14","ISSN":"2202-946X","issue":"2","language":"en","page":"14","source":"DOI.org (Crossref)","title":"Does footwear influence countermovement jump parameters used to assess performance in collegiate basketball players?","volume":"9","author":[{"family":"Heishman","given":"Aaron"},{"family":"Peak","given":"Keldon"},{"family":"Daub","given":"Bryce"},{"family":"Miller","given":"Ryan"},{"family":"Freitas","given":"Eduardo"}],"issued":{"date-parts":[["2021",4,30]]}}}],"schema":"https://github.com/citation-style-language/schema/raw/master/csl-citation.json"} </w:instrText>
      </w:r>
      <w:r w:rsidR="00CD5326">
        <w:rPr>
          <w:rFonts w:ascii="Times New Roman" w:hAnsi="Times New Roman" w:cs="Times New Roman"/>
        </w:rPr>
        <w:fldChar w:fldCharType="separate"/>
      </w:r>
      <w:r w:rsidR="00546507">
        <w:rPr>
          <w:rFonts w:ascii="Times New Roman" w:hAnsi="Times New Roman" w:cs="Times New Roman"/>
          <w:noProof/>
        </w:rPr>
        <w:t>(A. Heishman, Peak, et al., 2021)</w:t>
      </w:r>
      <w:r w:rsidR="00CD5326">
        <w:rPr>
          <w:rFonts w:ascii="Times New Roman" w:hAnsi="Times New Roman" w:cs="Times New Roman"/>
        </w:rPr>
        <w:fldChar w:fldCharType="end"/>
      </w:r>
      <w:r>
        <w:rPr>
          <w:rFonts w:ascii="Times New Roman" w:hAnsi="Times New Roman" w:cs="Times New Roman"/>
        </w:rPr>
        <w:t>.</w:t>
      </w:r>
      <w:r w:rsidR="000C36C3">
        <w:rPr>
          <w:rFonts w:ascii="Times New Roman" w:hAnsi="Times New Roman" w:cs="Times New Roman"/>
        </w:rPr>
        <w:t xml:space="preserve"> Furthermore, a maximal effort during each jump attempt was promoted through verbal encouragement. </w:t>
      </w:r>
    </w:p>
    <w:p w14:paraId="7DC3EB75" w14:textId="6F024118" w:rsidR="0051641E" w:rsidRDefault="0051641E" w:rsidP="00F829B9">
      <w:pPr>
        <w:pStyle w:val="Heading2"/>
      </w:pPr>
      <w:bookmarkStart w:id="56" w:name="_Toc99267633"/>
      <w:r>
        <w:t>Endocrine Measures</w:t>
      </w:r>
      <w:bookmarkEnd w:id="56"/>
    </w:p>
    <w:p w14:paraId="602CE335" w14:textId="513FD7CD" w:rsidR="0051641E" w:rsidRDefault="0051641E" w:rsidP="00F829B9">
      <w:pPr>
        <w:spacing w:line="480" w:lineRule="auto"/>
        <w:jc w:val="both"/>
        <w:rPr>
          <w:rFonts w:ascii="Times New Roman" w:hAnsi="Times New Roman" w:cs="Times New Roman"/>
        </w:rPr>
      </w:pPr>
      <w:r>
        <w:rPr>
          <w:rFonts w:ascii="Times New Roman" w:hAnsi="Times New Roman" w:cs="Times New Roman"/>
        </w:rPr>
        <w:tab/>
        <w:t>Samples of saliva w</w:t>
      </w:r>
      <w:r w:rsidR="00A66684">
        <w:rPr>
          <w:rFonts w:ascii="Times New Roman" w:hAnsi="Times New Roman" w:cs="Times New Roman"/>
        </w:rPr>
        <w:t>ere</w:t>
      </w:r>
      <w:r>
        <w:rPr>
          <w:rFonts w:ascii="Times New Roman" w:hAnsi="Times New Roman" w:cs="Times New Roman"/>
        </w:rPr>
        <w:t xml:space="preserve"> </w:t>
      </w:r>
      <w:r w:rsidR="00CF4F47">
        <w:rPr>
          <w:rFonts w:ascii="Times New Roman" w:hAnsi="Times New Roman" w:cs="Times New Roman"/>
        </w:rPr>
        <w:t>utilized</w:t>
      </w:r>
      <w:r>
        <w:rPr>
          <w:rFonts w:ascii="Times New Roman" w:hAnsi="Times New Roman" w:cs="Times New Roman"/>
        </w:rPr>
        <w:t xml:space="preserve"> instead of serum </w:t>
      </w:r>
      <w:r w:rsidR="00CF4F47">
        <w:rPr>
          <w:rFonts w:ascii="Times New Roman" w:hAnsi="Times New Roman" w:cs="Times New Roman"/>
        </w:rPr>
        <w:t xml:space="preserve">allowing for the </w:t>
      </w:r>
      <w:r>
        <w:rPr>
          <w:rFonts w:ascii="Times New Roman" w:hAnsi="Times New Roman" w:cs="Times New Roman"/>
        </w:rPr>
        <w:t>collect</w:t>
      </w:r>
      <w:r w:rsidR="00CF4F47">
        <w:rPr>
          <w:rFonts w:ascii="Times New Roman" w:hAnsi="Times New Roman" w:cs="Times New Roman"/>
        </w:rPr>
        <w:t>ion of</w:t>
      </w:r>
      <w:r>
        <w:rPr>
          <w:rFonts w:ascii="Times New Roman" w:hAnsi="Times New Roman" w:cs="Times New Roman"/>
        </w:rPr>
        <w:t xml:space="preserve"> multiple samples </w:t>
      </w:r>
      <w:r w:rsidR="00CF4F47">
        <w:rPr>
          <w:rFonts w:ascii="Times New Roman" w:hAnsi="Times New Roman" w:cs="Times New Roman"/>
        </w:rPr>
        <w:t>in a</w:t>
      </w:r>
      <w:r>
        <w:rPr>
          <w:rFonts w:ascii="Times New Roman" w:hAnsi="Times New Roman" w:cs="Times New Roman"/>
        </w:rPr>
        <w:t xml:space="preserve"> less invasive </w:t>
      </w:r>
      <w:r w:rsidR="00CB3774">
        <w:rPr>
          <w:rFonts w:ascii="Times New Roman" w:hAnsi="Times New Roman" w:cs="Times New Roman"/>
        </w:rPr>
        <w:t xml:space="preserve">manner </w:t>
      </w:r>
      <w:r w:rsidR="00BC5100">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{"citationID":"uprg4I0K","properties":{"formattedCitation":"(Andre et al., 2018)","plainCitation":"(Andre et al., 2018)","noteIndex":0},"citationItems":[{"id":127,"uris":["http://zotero.org/users/6327055/items/NJLLP2DZ"],"itemData":{"id":127,"type":"article-journal","abstract":"International Journal of Exercise Science 11(6): 439-451, 2018. The purpose of this study was to monitor weekly the salivary free testosterone (FT), cortisol (C), and the FT/C ratio in elite men NCAA Division I basketball athletes across an entire season. Twelve athletes gave salivary samples for 30 consecutive weeks, beginning in the pre-season and ending one week after the end of post-season competition. Samples were assayed for FT and C. Additionally, a composite value (CBD) composed of Z-scores for weekly practice minutes, game minutes, resistance training repetitions, academic demands, and travel schedules was determined. One-way RM ANOVAs were used to determine which weekly values were different (α=.05) from the season mean. For FT, 10 weeks were different from the season average (5.1 nmol/L). For C, 11 weeks were different from the season mean (9.0 nmol/L). For FT/C, weeks 7 (p=.007), 17 (p=.007), and 25 (p=.005) were different from the season mean (FT/C=0.69). During Wk7, at the start of regular season play, FT/C was above, while CBD was below the season means. During Wk17, which was leading into a series of important conference games, FT/C was below, while CBD was not different from season means. During Wk25, which was one week before the conference tournament, FT/C was below, while CBD was above season means. The methods of this study can be used for monitoring athlete responses and adaptations to sport-specific training and competition; specifically, for evaluating responses to challenging pre-season training, recovery for regular season play, and how they physiologically cope with the competitive season.","container-title":"International Journal of Exercise Science","issue":"6","language":"en","note":"Purpose: Monitor weekly salivary biomarkers in elite men NCAA Division 1 basketball players throughout an entire season. Additionally, the salivary biomarkers were compared to other demands for collegiate basketball training and competition, to examin their relationships. \nResearch Question: What is the weekly hormonal response to training? How do other stimuli within the magnitude of the training sessions and aspects of the season effect the hormonal response? \nMethods \nStudy Design: This study was observational with a colllection of saliva upon arrival from each participant prior to the afternoon practice across 30 weeks of the training and competitive season. Aspects such as playing/practice minutes, travel, resistance exercise volume, and academia were collected. \nSample: 12 male NCAA Division 1 American collegiate basketball student athletes \nProtocol: Salivary sample at rest prior to the afternoon practice (1300-1500hrs) in the middle of the week for 27 weeks with the 30 week season. Sample collection began one week before pre-season and concluded one week after post-season. No eating, brushing teeth, or consuming any drink other than water 1 hour prior to collection. Mouth rinse with water and resting for 5 minutes and finally an oral swab to hold in their mouth for 2 minutes.\nValidity/Reliabilty Data: Saliva has been shown to be highly correlated with plasma or serum samples. \nData Collection Procedures: Samples were frozen at -80 degress Celsius. Enzyme immunoassay kits using 96 well microtitre plates from Salimetrics. Separate assay for each athlete. Playing minutes, practice minutes, resistance training volume (total repetitions), travel schedules (scale values based on the time getting back from the trip - 1 = overnight bus before midnight, 2 = overnight flight, 5 = multiple day trip with flight), and academic demands (scale generalized so 0 = no class, 2 = normal academic week, 4 = exam period) were collected. All variables converted to Z scores. \nStatistical Analyses: IBM SPSS 24, 324 total samples with 20 missing from absence and replaced with the team's average for that week. Verification of all assumptions and a 1 way RMANOVA with LSD pairwise comparisons to determine which weekly values were different from the season mean. Relationships between team FT, C, FT/C and team CBD (collegiate basketball demands) scores, and their individual components, throughout the season was done through Pearson correlations. Significant set at 0.05. \nFindings: The FT (free testosterone) was seen to be different from the season mean in 10 weeks, C (cortisol) was different in 11 weeks, and FT/C (FT/C ratio) was different in weeks 7 (more than 3 SD above with CBD significantly below season averages), 17-before important games (more than 2.5 SD below season average and no difference in CBD), and 25-before conference tournament (FT/C more than 1 SD below and CBD significantly above season averages). There was a significant negative correlation between FT/C and game minutes. \nConclusions: The increases in C at the beginning is likely due to the intense preseason. The large increase in FT/C in week 7 suggests that the athletes were recovered from preseason prior to the first week of regular season competition but there was no increase in FT meaning there was a reduction in C. The decrease in FT/C at week 17 could suggest that the season was beginning to have an effect physiologically on the athletes and was supported by the negative correlation of FT/C and game minutes. There was another decrease in FT/C at the start of postseason competition but a return to baseline once competition play stopped. This is likely due to the decreases in FT leading to the reduction in FT/C but C also varied significantly through the collection showing that the demands are stressful. The CBD was very unpredictable but when examined individually a significant inverse correlation between FT/C and game minutes was found. Monitoring FT/C changes may provide insight into health, performance, and recovery. \nFurther Research: Collect performance data in conjuction with the biomarker samples to examine if performance changes occur and relate to the biomarkers. \nRelevant Studies: \nGaviglio CM, Cook CJ. Relationship between midweek training measures of testosterone and cortisol concentrations and game outcome in professional rugby union matches. J Strength Cond Res 28(12):3447-3452, 2014.\nBalsalobre-Fernández C, Tejero-González CM, del Campo-Vecino J. Relationships between training load, salivary cortisol responses and performance during season training in middle and long distance runners. PLoS ONE 9(8), 2014.\nHoffman JR, Epstein S, Yarom Y, Zigel L, Einbinder M. Hormonal and biochemical changes in elite basketball players during a 4-week training camp. J Strength Cond Res 13(3):280-285, 1999.\nKraemer WJ, Ratamess NA. Hormonal responses and adaptations to resistance exercise and training. Sports Med 35(4):339-361, 2005.","page":"439-451","source":"Zotero","title":"Weekly salivary biomarkers across a season for elite men collegiate basketball players","volume":"11","author":[{"family":"Andre","given":"Matthew J"},{"family":"Fry","given":"Andrew C"},{"family":"Luebbers","given":"Paul E"},{"family":"Hudy","given":"Andrea"},{"family":"Dietz","given":"Partricia R"},{"family":"Cain","given":"Glenn J"}],"issued":{"date-parts":[["2018"]]}}}],"schema":"https://github.com/citation-style-language/schema/raw/master/csl-citation.json"} </w:instrText>
      </w:r>
      <w:r w:rsidR="00BC5100">
        <w:rPr>
          <w:rFonts w:ascii="Times New Roman" w:hAnsi="Times New Roman" w:cs="Times New Roman"/>
          <w:noProof/>
        </w:rPr>
        <w:fldChar w:fldCharType="separate"/>
      </w:r>
      <w:r w:rsidR="00BC5100">
        <w:rPr>
          <w:rFonts w:ascii="Times New Roman" w:hAnsi="Times New Roman" w:cs="Times New Roman"/>
          <w:noProof/>
        </w:rPr>
        <w:t>(Andre et al., 2018)</w:t>
      </w:r>
      <w:r w:rsidR="00BC5100">
        <w:rPr>
          <w:rFonts w:ascii="Times New Roman" w:hAnsi="Times New Roman" w:cs="Times New Roman"/>
          <w:noProof/>
        </w:rPr>
        <w:fldChar w:fldCharType="end"/>
      </w:r>
      <w:r>
        <w:rPr>
          <w:rFonts w:ascii="Times New Roman" w:hAnsi="Times New Roman" w:cs="Times New Roman"/>
        </w:rPr>
        <w:t xml:space="preserve">. The collection of saliva to measure </w:t>
      </w:r>
      <w:r w:rsidR="00F65673">
        <w:rPr>
          <w:rFonts w:ascii="Times New Roman" w:hAnsi="Times New Roman" w:cs="Times New Roman"/>
        </w:rPr>
        <w:t>Testosterone (T)</w:t>
      </w:r>
      <w:r>
        <w:rPr>
          <w:rFonts w:ascii="Times New Roman" w:hAnsi="Times New Roman" w:cs="Times New Roman"/>
        </w:rPr>
        <w:t xml:space="preserve"> and </w:t>
      </w:r>
      <w:r w:rsidR="00F65673">
        <w:rPr>
          <w:rFonts w:ascii="Times New Roman" w:hAnsi="Times New Roman" w:cs="Times New Roman"/>
        </w:rPr>
        <w:t>C</w:t>
      </w:r>
      <w:r>
        <w:rPr>
          <w:rFonts w:ascii="Times New Roman" w:hAnsi="Times New Roman" w:cs="Times New Roman"/>
        </w:rPr>
        <w:t xml:space="preserve">ortisol </w:t>
      </w:r>
      <w:r w:rsidR="00F65673">
        <w:rPr>
          <w:rFonts w:ascii="Times New Roman" w:hAnsi="Times New Roman" w:cs="Times New Roman"/>
        </w:rPr>
        <w:t xml:space="preserve">(C) </w:t>
      </w:r>
      <w:r>
        <w:rPr>
          <w:rFonts w:ascii="Times New Roman" w:hAnsi="Times New Roman" w:cs="Times New Roman"/>
        </w:rPr>
        <w:t xml:space="preserve">has also been shown to be reliable and correlates well with values </w:t>
      </w:r>
      <w:r w:rsidR="007C12E7">
        <w:rPr>
          <w:rFonts w:ascii="Times New Roman" w:hAnsi="Times New Roman" w:cs="Times New Roman"/>
        </w:rPr>
        <w:t>measured</w:t>
      </w:r>
      <w:r>
        <w:rPr>
          <w:rFonts w:ascii="Times New Roman" w:hAnsi="Times New Roman" w:cs="Times New Roman"/>
        </w:rPr>
        <w:t xml:space="preserve"> in serum </w:t>
      </w:r>
      <w:r w:rsidR="00BC5100">
        <w:rPr>
          <w:rFonts w:ascii="Times New Roman" w:hAnsi="Times New Roman" w:cs="Times New Roman"/>
          <w:noProof/>
        </w:rPr>
        <w:fldChar w:fldCharType="begin"/>
      </w:r>
      <w:r w:rsidR="00546507">
        <w:rPr>
          <w:rFonts w:ascii="Times New Roman" w:hAnsi="Times New Roman" w:cs="Times New Roman"/>
          <w:noProof/>
        </w:rPr>
        <w:instrText xml:space="preserve"> ADDIN ZOTERO_ITEM CSL_CITATION {"citationID":"B5lLG5ss","properties":{"formattedCitation":"(Andre et al., 2018; Baxendale et al., 1982)","plainCitation":"(Andre et al., 2018; Baxendale et al., 1982)","noteIndex":0},"citationItems":[{"id":127,"uris":["http://zotero.org/users/6327055/items/NJLLP2DZ"],"itemData":{"id":127,"type":"article-journal","abstract":"International Journal of Exercise Science 11(6): 439-451, 2018. The purpose of this study was to monitor weekly the salivary free testosterone (FT), cortisol (C), and the FT/C ratio in elite men NCAA Division I basketball athletes across an entire season. Twelve athletes gave salivary samples for 30 consecutive weeks, beginning in the pre-season and ending one week after the end of post-season competition. Samples were assayed for FT and C. Additionally, a composite value (CBD) composed of Z-scores for weekly practice minutes, game minutes, resistance training repetitions, academic demands, and travel schedules was determined. One-way RM ANOVAs were used to determine which weekly values were different (α=.05) from the season mean. For FT, 10 weeks were different from the season average (5.1 nmol/L). For C, 11 weeks were different from the season mean (9.0 nmol/L). For FT/C, weeks 7 (p=.007), 17 (p=.007), and 25 (p=.005) were different from the season mean (FT/C=0.69). During Wk7, at the start of regular season play, FT/C was above, while CBD was below the season means. During Wk17, which was leading into a series of important conference games, FT/C was below, while CBD was not different from season means. During Wk25, which was one week before the conference tournament, FT/C was below, while CBD was above season means. The methods of this study can be used for monitoring athlete responses and adaptations to sport-specific training and competition; specifically, for evaluating responses to challenging pre-season training, recovery for regular season play, and how they physiologically cope with the competitive season.","container-title":"International Journal of Exercise Science","issue":"6","language":"en","note":"Purpose: Monitor weekly salivary biomarkers in elite men NCAA Division 1 basketball players throughout an entire season. Additionally, the salivary biomarkers were compared to other demands for collegiate basketball training and competition, to examin their relationships. \nResearch Question: What is the weekly hormonal response to training? How do other stimuli within the magnitude of the training sessions and aspects of the season effect the hormonal response? \nMethods \nStudy Design: This study was observational with a colllection of saliva upon arrival from each participant prior to the afternoon practice across 30 weeks of the training and competitive season. Aspects such as playing/practice minutes, travel, resistance exercise volume, and academia were collected. \nSample: 12 male NCAA Division 1 American collegiate basketball student athletes \nProtocol: Salivary sample at rest prior to the afternoon practice (1300-1500hrs) in the middle of the week for 27 weeks with the 30 week season. Sample collection began one week before pre-season and concluded one week after post-season. No eating, brushing teeth, or consuming any drink other than water 1 hour prior to collection. Mouth rinse with water and resting for 5 minutes and finally an oral swab to hold in their mouth for 2 minutes.\nValidity/Reliabilty Data: Saliva has been shown to be highly correlated with plasma or serum samples. \nData Collection Procedures: Samples were frozen at -80 degress Celsius. Enzyme immunoassay kits using 96 well microtitre plates from Salimetrics. Separate assay for each athlete. Playing minutes, practice minutes, resistance training volume (total repetitions), travel schedules (scale values based on the time getting back from the trip - 1 = overnight bus before midnight, 2 = overnight flight, 5 = multiple day trip with flight), and academic demands (scale generalized so 0 = no class, 2 = normal academic week, 4 = exam period) were collected. All variables converted to Z scores. \nStatistical Analyses: IBM SPSS 24, 324 total samples with 20 missing from absence and replaced with the team's average for that week. Verification of all assumptions and a 1 way RMANOVA with LSD pairwise comparisons to determine which weekly values were different from the season mean. Relationships between team FT, C, FT/C and team CBD (collegiate basketball demands) scores, and their individual components, throughout the season was done through Pearson correlations. Significant set at 0.05. \nFindings: The FT (free testosterone) was seen to be different from the season mean in 10 weeks, C (cortisol) was different in 11 weeks, and FT/C (FT/C ratio) was different in weeks 7 (more than 3 SD above with CBD significantly below season averages), 17-before important games (more than 2.5 SD below season average and no difference in CBD), and 25-before conference tournament (FT/C more than 1 SD below and CBD significantly above season averages). There was a significant negative correlation between FT/C and game minutes. \nConclusions: The increases in C at the beginning is likely due to the intense preseason. The large increase in FT/C in week 7 suggests that the athletes were recovered from preseason prior to the first week of regular season competition but there was no increase in FT meaning there was a reduction in C. The decrease in FT/C at week 17 could suggest that the season was beginning to have an effect physiologically on the athletes and was supported by the negative correlation of FT/C and game minutes. There was another decrease in FT/C at the start of postseason competition but a return to baseline once competition play stopped. This is likely due to the decreases in FT leading to the reduction in FT/C but C also varied significantly through the collection showing that the demands are stressful. The CBD was very unpredictable but when examined individually a significant inverse correlation between FT/C and game minutes was found. Monitoring FT/C changes may provide insight into health, performance, and recovery. \nFurther Research: Collect performance data in conjuction with the biomarker samples to examine if performance changes occur and relate to the biomarkers. \nRelevant Studies: \nGaviglio CM, Cook CJ. Relationship between midweek training measures of testosterone and cortisol concentrations and game outcome in professional rugby union matches. J Strength Cond Res 28(12):3447-3452, 2014.\nBalsalobre-Fernández C, Tejero-González CM, del Campo-Vecino J. Relationships between training load, salivary cortisol responses and performance during season training in middle and long distance runners. PLoS ONE 9(8), 2014.\nHoffman JR, Epstein S, Yarom Y, Zigel L, Einbinder M. Hormonal and biochemical changes in elite basketball players during a 4-week training camp. J Strength Cond Res 13(3):280-285, 1999.\nKraemer WJ, Ratamess NA. Hormonal responses and adaptations to resistance exercise and training. Sports Med 35(4):339-361, 2005.","page":"439-451","source":"Zotero","title":"Weekly salivary biomarkers across a season for elite men collegiate basketball players","volume":"11","author":[{"family":"Andre","given":"Matthew J"},{"family":"Fry","given":"Andrew C"},{"family":"Luebbers","given":"Paul E"},{"family":"Hudy","given":"Andrea"},{"family":"Dietz","given":"Partricia R"},{"family":"Cain","given":"Glenn J"}],"issued":{"date-parts":[["2018"]]}}},{"id":123,"uris":["http://zotero.org/users/6327055/items/CF9MYWPK"],"itemData":{"id":123,"type":"article-journal","abstract":"A sensitive radioimmunoassay (RIA) was used to measure salivary testosterone levels in normal women, in patients with polycystic ovaries (PCO), and in women with hirsutism. There was a highly significant correlation (r=0.79, P c 0.001) between the concentration of testosterone in saliva [12.3f7.8 (SD) pg/ml] and the concentration of unbound testosterone in plasma (5.2 f3. I pg/ml) in matched samples collected from 56 women including normals, patients with clinical signs of hyperandrogenism, and women treated with a combination of cyproterone acetate (CA) and ethinyl oestradiol (EE). The unbound plasma testosterone was measured in the dialysate directly using a sensitive RIA. Salivary and plasma testosterone levels in patients with PCO (20.6&amp; 8.5 and 626 fI87 pg/ml respectively,n = 14) and in those with hirsutism (I 3-9f5-6 and 421 k 170 pg/ml, n =30) were significantly higher ( P&lt;0.001) than levels in normal women (7.7f2.6 and 196f68 pg/ml, n =36). Treatment for 3 months with CA and EE resulted in a decrease (mean 68%) in salivary testosterone levels in all patients studied (n= 1 9 , but the suppression of plasma testosterone (mean 34%) was not observed in all cases. It is concluded that measurement of salivary testosterone gives a useful indication of levels of biologically available androgen in hyperandrogenic women, before and during CA/EE therapy.","container-title":"Clinical Endocrinology","DOI":"10.1111/j.1365-2265.1982.tb03176.x","ISSN":"0300-0664, 1365-2265","issue":"6","journalAbbreviation":"Clin Endocrinol","language":"en","page":"595-603","source":"DOI.org (Crossref)","title":"Salivary testosterone: relationship to unbound plasma testosterone in normal and hyperandrogenic women","title-short":"SALIVARY TESTOSTERONE","volume":"16","author":[{"family":"Baxendale","given":"P. M."},{"family":"Jacobs","given":"H. S."},{"family":"James","given":"V. H. T."}],"issued":{"date-parts":[["1982",6]]}}}],"schema":"https://github.com/citation-style-language/schema/raw/master/csl-citation.json"} </w:instrText>
      </w:r>
      <w:r w:rsidR="00BC5100">
        <w:rPr>
          <w:rFonts w:ascii="Times New Roman" w:hAnsi="Times New Roman" w:cs="Times New Roman"/>
          <w:noProof/>
        </w:rPr>
        <w:fldChar w:fldCharType="separate"/>
      </w:r>
      <w:r w:rsidR="00BC5100">
        <w:rPr>
          <w:rFonts w:ascii="Times New Roman" w:hAnsi="Times New Roman" w:cs="Times New Roman"/>
          <w:noProof/>
        </w:rPr>
        <w:t>(Andre et al., 2018; Baxendale et al., 1982)</w:t>
      </w:r>
      <w:r w:rsidR="00BC5100">
        <w:rPr>
          <w:rFonts w:ascii="Times New Roman" w:hAnsi="Times New Roman" w:cs="Times New Roman"/>
          <w:noProof/>
        </w:rPr>
        <w:fldChar w:fldCharType="end"/>
      </w:r>
      <w:r>
        <w:rPr>
          <w:rFonts w:ascii="Times New Roman" w:hAnsi="Times New Roman" w:cs="Times New Roman"/>
        </w:rPr>
        <w:t>. All samples w</w:t>
      </w:r>
      <w:r w:rsidR="00A66684">
        <w:rPr>
          <w:rFonts w:ascii="Times New Roman" w:hAnsi="Times New Roman" w:cs="Times New Roman"/>
        </w:rPr>
        <w:t>ere</w:t>
      </w:r>
      <w:r>
        <w:rPr>
          <w:rFonts w:ascii="Times New Roman" w:hAnsi="Times New Roman" w:cs="Times New Roman"/>
        </w:rPr>
        <w:t xml:space="preserve"> collected at the same time of day between all subjects in a rested state, prior to practice. </w:t>
      </w:r>
      <w:r w:rsidR="00CE0347">
        <w:rPr>
          <w:rFonts w:ascii="Times New Roman" w:hAnsi="Times New Roman" w:cs="Times New Roman"/>
        </w:rPr>
        <w:t xml:space="preserve">Baseline and </w:t>
      </w:r>
      <w:r w:rsidR="00234CC2">
        <w:rPr>
          <w:rFonts w:ascii="Times New Roman" w:hAnsi="Times New Roman" w:cs="Times New Roman"/>
        </w:rPr>
        <w:t xml:space="preserve">Pre samples were collected </w:t>
      </w:r>
      <w:r w:rsidR="00DA4BC5">
        <w:rPr>
          <w:rFonts w:ascii="Times New Roman" w:hAnsi="Times New Roman" w:cs="Times New Roman"/>
        </w:rPr>
        <w:t xml:space="preserve">between </w:t>
      </w:r>
      <w:r w:rsidR="00DA4BC5" w:rsidRPr="006F39C8">
        <w:rPr>
          <w:rFonts w:ascii="Times New Roman" w:hAnsi="Times New Roman" w:cs="Times New Roman"/>
        </w:rPr>
        <w:t>1330</w:t>
      </w:r>
      <w:r w:rsidR="00A94D73">
        <w:rPr>
          <w:rFonts w:ascii="Times New Roman" w:hAnsi="Times New Roman" w:cs="Times New Roman"/>
        </w:rPr>
        <w:t xml:space="preserve"> </w:t>
      </w:r>
      <w:r w:rsidR="006F39C8" w:rsidRPr="006F39C8">
        <w:rPr>
          <w:rFonts w:ascii="Times New Roman" w:hAnsi="Times New Roman" w:cs="Times New Roman"/>
        </w:rPr>
        <w:t>h</w:t>
      </w:r>
      <w:r w:rsidR="00A94D73">
        <w:rPr>
          <w:rFonts w:ascii="Times New Roman" w:hAnsi="Times New Roman" w:cs="Times New Roman"/>
        </w:rPr>
        <w:t>ou</w:t>
      </w:r>
      <w:r w:rsidR="006F39C8" w:rsidRPr="006F39C8">
        <w:rPr>
          <w:rFonts w:ascii="Times New Roman" w:hAnsi="Times New Roman" w:cs="Times New Roman"/>
        </w:rPr>
        <w:t>rs</w:t>
      </w:r>
      <w:r w:rsidR="00DA4BC5" w:rsidRPr="006F39C8">
        <w:rPr>
          <w:rFonts w:ascii="Times New Roman" w:hAnsi="Times New Roman" w:cs="Times New Roman"/>
        </w:rPr>
        <w:t xml:space="preserve"> and 1400</w:t>
      </w:r>
      <w:r w:rsidR="00A94D73">
        <w:rPr>
          <w:rFonts w:ascii="Times New Roman" w:hAnsi="Times New Roman" w:cs="Times New Roman"/>
        </w:rPr>
        <w:t xml:space="preserve"> </w:t>
      </w:r>
      <w:r w:rsidR="006F39C8">
        <w:rPr>
          <w:rFonts w:ascii="Times New Roman" w:hAnsi="Times New Roman" w:cs="Times New Roman"/>
        </w:rPr>
        <w:t>h</w:t>
      </w:r>
      <w:r w:rsidR="00A94D73">
        <w:rPr>
          <w:rFonts w:ascii="Times New Roman" w:hAnsi="Times New Roman" w:cs="Times New Roman"/>
        </w:rPr>
        <w:t>ou</w:t>
      </w:r>
      <w:r w:rsidR="006F39C8">
        <w:rPr>
          <w:rFonts w:ascii="Times New Roman" w:hAnsi="Times New Roman" w:cs="Times New Roman"/>
        </w:rPr>
        <w:t>rs</w:t>
      </w:r>
      <w:r w:rsidR="00DA4BC5">
        <w:rPr>
          <w:rFonts w:ascii="Times New Roman" w:hAnsi="Times New Roman" w:cs="Times New Roman"/>
        </w:rPr>
        <w:t xml:space="preserve">, while Post samples were collected </w:t>
      </w:r>
      <w:r w:rsidR="00D7252B">
        <w:rPr>
          <w:rFonts w:ascii="Times New Roman" w:hAnsi="Times New Roman" w:cs="Times New Roman"/>
        </w:rPr>
        <w:t xml:space="preserve">between </w:t>
      </w:r>
      <w:r w:rsidR="00D7252B" w:rsidRPr="006F39C8">
        <w:rPr>
          <w:rFonts w:ascii="Times New Roman" w:hAnsi="Times New Roman" w:cs="Times New Roman"/>
        </w:rPr>
        <w:lastRenderedPageBreak/>
        <w:t>1600</w:t>
      </w:r>
      <w:r w:rsidR="00A94D73">
        <w:rPr>
          <w:rFonts w:ascii="Times New Roman" w:hAnsi="Times New Roman" w:cs="Times New Roman"/>
        </w:rPr>
        <w:t xml:space="preserve"> </w:t>
      </w:r>
      <w:r w:rsidR="006F39C8" w:rsidRPr="006F39C8">
        <w:rPr>
          <w:rFonts w:ascii="Times New Roman" w:hAnsi="Times New Roman" w:cs="Times New Roman"/>
        </w:rPr>
        <w:t>h</w:t>
      </w:r>
      <w:r w:rsidR="00A94D73">
        <w:rPr>
          <w:rFonts w:ascii="Times New Roman" w:hAnsi="Times New Roman" w:cs="Times New Roman"/>
        </w:rPr>
        <w:t>ou</w:t>
      </w:r>
      <w:r w:rsidR="006F39C8" w:rsidRPr="006F39C8">
        <w:rPr>
          <w:rFonts w:ascii="Times New Roman" w:hAnsi="Times New Roman" w:cs="Times New Roman"/>
        </w:rPr>
        <w:t>rs</w:t>
      </w:r>
      <w:r w:rsidR="00D7252B" w:rsidRPr="006F39C8">
        <w:rPr>
          <w:rFonts w:ascii="Times New Roman" w:hAnsi="Times New Roman" w:cs="Times New Roman"/>
        </w:rPr>
        <w:t xml:space="preserve"> and 1630</w:t>
      </w:r>
      <w:r w:rsidR="00A94D73">
        <w:rPr>
          <w:rFonts w:ascii="Times New Roman" w:hAnsi="Times New Roman" w:cs="Times New Roman"/>
        </w:rPr>
        <w:t xml:space="preserve"> </w:t>
      </w:r>
      <w:r w:rsidR="006F39C8" w:rsidRPr="006F39C8">
        <w:rPr>
          <w:rFonts w:ascii="Times New Roman" w:hAnsi="Times New Roman" w:cs="Times New Roman"/>
        </w:rPr>
        <w:t>h</w:t>
      </w:r>
      <w:r w:rsidR="00A94D73">
        <w:rPr>
          <w:rFonts w:ascii="Times New Roman" w:hAnsi="Times New Roman" w:cs="Times New Roman"/>
        </w:rPr>
        <w:t>ou</w:t>
      </w:r>
      <w:r w:rsidR="006F39C8" w:rsidRPr="006F39C8">
        <w:rPr>
          <w:rFonts w:ascii="Times New Roman" w:hAnsi="Times New Roman" w:cs="Times New Roman"/>
        </w:rPr>
        <w:t>r</w:t>
      </w:r>
      <w:r w:rsidR="006F39C8">
        <w:rPr>
          <w:rFonts w:ascii="Times New Roman" w:hAnsi="Times New Roman" w:cs="Times New Roman"/>
        </w:rPr>
        <w:t>s</w:t>
      </w:r>
      <w:r w:rsidR="00D7252B">
        <w:rPr>
          <w:rFonts w:ascii="Times New Roman" w:hAnsi="Times New Roman" w:cs="Times New Roman"/>
        </w:rPr>
        <w:t xml:space="preserve">. </w:t>
      </w:r>
      <w:r>
        <w:rPr>
          <w:rFonts w:ascii="Times New Roman" w:hAnsi="Times New Roman" w:cs="Times New Roman"/>
        </w:rPr>
        <w:t>Participants w</w:t>
      </w:r>
      <w:r w:rsidR="00A66684">
        <w:rPr>
          <w:rFonts w:ascii="Times New Roman" w:hAnsi="Times New Roman" w:cs="Times New Roman"/>
        </w:rPr>
        <w:t>ere</w:t>
      </w:r>
      <w:r>
        <w:rPr>
          <w:rFonts w:ascii="Times New Roman" w:hAnsi="Times New Roman" w:cs="Times New Roman"/>
        </w:rPr>
        <w:t xml:space="preserve"> instructed </w:t>
      </w:r>
      <w:r w:rsidR="00F12C09">
        <w:rPr>
          <w:rFonts w:ascii="Times New Roman" w:hAnsi="Times New Roman" w:cs="Times New Roman"/>
        </w:rPr>
        <w:t xml:space="preserve">to </w:t>
      </w:r>
      <w:r>
        <w:rPr>
          <w:rFonts w:ascii="Times New Roman" w:hAnsi="Times New Roman" w:cs="Times New Roman"/>
        </w:rPr>
        <w:t xml:space="preserve">not </w:t>
      </w:r>
      <w:r w:rsidR="00971EF5">
        <w:rPr>
          <w:rFonts w:ascii="Times New Roman" w:hAnsi="Times New Roman" w:cs="Times New Roman"/>
        </w:rPr>
        <w:t>brush their teeth at least 60 minutes before providing the sample, or</w:t>
      </w:r>
      <w:r>
        <w:rPr>
          <w:rFonts w:ascii="Times New Roman" w:hAnsi="Times New Roman" w:cs="Times New Roman"/>
        </w:rPr>
        <w:t xml:space="preserve"> consume any food or drinks besides water</w:t>
      </w:r>
      <w:r w:rsidR="00AB0473">
        <w:rPr>
          <w:rFonts w:ascii="Times New Roman" w:hAnsi="Times New Roman" w:cs="Times New Roman"/>
        </w:rPr>
        <w:t xml:space="preserve"> to help mitigate the effects of food </w:t>
      </w:r>
      <w:r w:rsidR="00AB0473">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{"citationID":"MujbXBHZ","properties":{"formattedCitation":"(Gibson et al., 1999)","plainCitation":"(Gibson et al., 1999)","noteIndex":0},"citationItems":[{"id":479,"uris":["http://zotero.org/users/6327055/items/FL8RR93V"],"itemData":{"id":479,"type":"article-journal","container-title":"Psychosomatic Medicine","DOI":"10.1097/00006842-199903000-00014","ISSN":"0033-3174","issue":"2","journalAbbreviation":"Psychosomatic Medicine","language":"en","page":"214-224","source":"DOI.org (Crossref)","title":"Increased salivary cortisol reliably induced by a protein-rich midday meal","title-short":"Increased Salivary Cortisol Reliably Induced by a Protein-Rich Midday Meal","volume":"61","author":[{"family":"Gibson","given":"E. Leigh"},{"family":"Checkley","given":"Stuart"},{"family":"Papadopoulos","given":"Andrew"},{"family":"Poon","given":"Lucia"},{"family":"Daley","given":"Sarah"},{"family":"Wardle","given":"Jane"}],"issued":{"date-parts":[["1999"]]}}}],"schema":"https://github.com/citation-style-language/schema/raw/master/csl-citation.json"} </w:instrText>
      </w:r>
      <w:r w:rsidR="00AB0473">
        <w:rPr>
          <w:rFonts w:ascii="Times New Roman" w:hAnsi="Times New Roman" w:cs="Times New Roman"/>
        </w:rPr>
        <w:fldChar w:fldCharType="separate"/>
      </w:r>
      <w:r w:rsidR="00AB0473">
        <w:rPr>
          <w:rFonts w:ascii="Times New Roman" w:hAnsi="Times New Roman" w:cs="Times New Roman"/>
          <w:noProof/>
        </w:rPr>
        <w:t>(Gibson et al., 1999)</w:t>
      </w:r>
      <w:r w:rsidR="00AB0473">
        <w:rPr>
          <w:rFonts w:ascii="Times New Roman" w:hAnsi="Times New Roman" w:cs="Times New Roman"/>
        </w:rPr>
        <w:fldChar w:fldCharType="end"/>
      </w:r>
      <w:r>
        <w:rPr>
          <w:rFonts w:ascii="Times New Roman" w:hAnsi="Times New Roman" w:cs="Times New Roman"/>
        </w:rPr>
        <w:t>. Before collection, participants rinse</w:t>
      </w:r>
      <w:r w:rsidR="00A66684">
        <w:rPr>
          <w:rFonts w:ascii="Times New Roman" w:hAnsi="Times New Roman" w:cs="Times New Roman"/>
        </w:rPr>
        <w:t>d</w:t>
      </w:r>
      <w:r>
        <w:rPr>
          <w:rFonts w:ascii="Times New Roman" w:hAnsi="Times New Roman" w:cs="Times New Roman"/>
        </w:rPr>
        <w:t xml:space="preserve"> their mouth with water and s</w:t>
      </w:r>
      <w:r w:rsidR="00A66684">
        <w:rPr>
          <w:rFonts w:ascii="Times New Roman" w:hAnsi="Times New Roman" w:cs="Times New Roman"/>
        </w:rPr>
        <w:t>at</w:t>
      </w:r>
      <w:r>
        <w:rPr>
          <w:rFonts w:ascii="Times New Roman" w:hAnsi="Times New Roman" w:cs="Times New Roman"/>
        </w:rPr>
        <w:t xml:space="preserve"> quietly for at least 5 minutes</w:t>
      </w:r>
      <w:r w:rsidR="002B78F6">
        <w:rPr>
          <w:rFonts w:ascii="Times New Roman" w:hAnsi="Times New Roman" w:cs="Times New Roman"/>
        </w:rPr>
        <w:t xml:space="preserve"> to help reduce the auditory influence on hormonal release </w:t>
      </w:r>
      <w:r w:rsidR="002B78F6">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{"citationID":"5HMSnt5J","properties":{"formattedCitation":"(Fleming et al., 2002)","plainCitation":"(Fleming et al., 2002)","noteIndex":0},"citationItems":[{"id":497,"uris":["http://zotero.org/users/6327055/items/2VLMFSP5"],"itemData":{"id":497,"type":"article-journal","container-title":"Hormones and Behavior","DOI":"10.1006/hbeh.2002.1840","ISSN":"0018506X","issue":"4","journalAbbreviation":"Hormones and Behavior","language":"en","page":"399-413","source":"DOI.org (Crossref)","title":"Testosterone and prolactin are associated with emotional responses to infant cries in new fathers","volume":"42","author":[{"family":"Fleming","given":"Alison S."},{"family":"Corter","given":"Carl"},{"family":"Stallings","given":"Joy"},{"family":"Steiner","given":"Meir"}],"issued":{"date-parts":[["2002",12]]}}}],"schema":"https://github.com/citation-style-language/schema/raw/master/csl-citation.json"} </w:instrText>
      </w:r>
      <w:r w:rsidR="002B78F6">
        <w:rPr>
          <w:rFonts w:ascii="Times New Roman" w:hAnsi="Times New Roman" w:cs="Times New Roman"/>
        </w:rPr>
        <w:fldChar w:fldCharType="separate"/>
      </w:r>
      <w:r w:rsidR="002B78F6">
        <w:rPr>
          <w:rFonts w:ascii="Times New Roman" w:hAnsi="Times New Roman" w:cs="Times New Roman"/>
          <w:noProof/>
        </w:rPr>
        <w:t>(Fleming et al., 2002)</w:t>
      </w:r>
      <w:r w:rsidR="002B78F6">
        <w:rPr>
          <w:rFonts w:ascii="Times New Roman" w:hAnsi="Times New Roman" w:cs="Times New Roman"/>
        </w:rPr>
        <w:fldChar w:fldCharType="end"/>
      </w:r>
      <w:r>
        <w:rPr>
          <w:rFonts w:ascii="Times New Roman" w:hAnsi="Times New Roman" w:cs="Times New Roman"/>
        </w:rPr>
        <w:t>. Next, the participants provide</w:t>
      </w:r>
      <w:r w:rsidR="00A66684">
        <w:rPr>
          <w:rFonts w:ascii="Times New Roman" w:hAnsi="Times New Roman" w:cs="Times New Roman"/>
        </w:rPr>
        <w:t>d</w:t>
      </w:r>
      <w:r>
        <w:rPr>
          <w:rFonts w:ascii="Times New Roman" w:hAnsi="Times New Roman" w:cs="Times New Roman"/>
        </w:rPr>
        <w:t xml:space="preserve"> a</w:t>
      </w:r>
      <w:r w:rsidR="00C03FB1">
        <w:rPr>
          <w:rFonts w:ascii="Times New Roman" w:hAnsi="Times New Roman" w:cs="Times New Roman"/>
        </w:rPr>
        <w:t>n unstimulated</w:t>
      </w:r>
      <w:r>
        <w:rPr>
          <w:rFonts w:ascii="Times New Roman" w:hAnsi="Times New Roman" w:cs="Times New Roman"/>
        </w:rPr>
        <w:t xml:space="preserve"> sample of approximately 2 mL of saliva through a passive drool </w:t>
      </w:r>
      <w:r w:rsidR="00210219">
        <w:rPr>
          <w:rFonts w:ascii="Times New Roman" w:hAnsi="Times New Roman" w:cs="Times New Roman"/>
        </w:rPr>
        <w:t xml:space="preserve">through the Saliva Collection aid (exclusively from </w:t>
      </w:r>
      <w:proofErr w:type="spellStart"/>
      <w:r w:rsidR="00210219">
        <w:rPr>
          <w:rFonts w:ascii="Times New Roman" w:hAnsi="Times New Roman" w:cs="Times New Roman"/>
        </w:rPr>
        <w:t>Salimetrics</w:t>
      </w:r>
      <w:proofErr w:type="spellEnd"/>
      <w:r w:rsidR="00210219">
        <w:rPr>
          <w:rFonts w:ascii="Times New Roman" w:hAnsi="Times New Roman" w:cs="Times New Roman"/>
        </w:rPr>
        <w:t xml:space="preserve">, State College, PA) </w:t>
      </w:r>
      <w:r>
        <w:rPr>
          <w:rFonts w:ascii="Times New Roman" w:hAnsi="Times New Roman" w:cs="Times New Roman"/>
        </w:rPr>
        <w:t xml:space="preserve">into </w:t>
      </w:r>
      <w:r w:rsidR="00210219">
        <w:rPr>
          <w:rFonts w:ascii="Times New Roman" w:hAnsi="Times New Roman" w:cs="Times New Roman"/>
        </w:rPr>
        <w:t xml:space="preserve">the </w:t>
      </w:r>
      <w:proofErr w:type="spellStart"/>
      <w:r w:rsidR="00210219">
        <w:rPr>
          <w:rFonts w:ascii="Times New Roman" w:hAnsi="Times New Roman" w:cs="Times New Roman"/>
        </w:rPr>
        <w:t>SalivaBio’s</w:t>
      </w:r>
      <w:proofErr w:type="spellEnd"/>
      <w:r w:rsidR="00210219">
        <w:rPr>
          <w:rFonts w:ascii="Times New Roman" w:hAnsi="Times New Roman" w:cs="Times New Roman"/>
        </w:rPr>
        <w:t xml:space="preserve"> 2mL </w:t>
      </w:r>
      <w:r>
        <w:rPr>
          <w:rFonts w:ascii="Times New Roman" w:hAnsi="Times New Roman" w:cs="Times New Roman"/>
        </w:rPr>
        <w:t>cryovial. The samples w</w:t>
      </w:r>
      <w:r w:rsidR="00A66684">
        <w:rPr>
          <w:rFonts w:ascii="Times New Roman" w:hAnsi="Times New Roman" w:cs="Times New Roman"/>
        </w:rPr>
        <w:t>ere</w:t>
      </w:r>
      <w:r>
        <w:rPr>
          <w:rFonts w:ascii="Times New Roman" w:hAnsi="Times New Roman" w:cs="Times New Roman"/>
        </w:rPr>
        <w:t xml:space="preserve"> put in a freezer immediately </w:t>
      </w:r>
      <w:r w:rsidR="00210219">
        <w:rPr>
          <w:rFonts w:ascii="Times New Roman" w:hAnsi="Times New Roman" w:cs="Times New Roman"/>
        </w:rPr>
        <w:t xml:space="preserve">at or below -80 degrees Celsius and stored within </w:t>
      </w:r>
      <w:proofErr w:type="spellStart"/>
      <w:r w:rsidR="00210219">
        <w:rPr>
          <w:rFonts w:ascii="Times New Roman" w:hAnsi="Times New Roman" w:cs="Times New Roman"/>
        </w:rPr>
        <w:t>cryostorage</w:t>
      </w:r>
      <w:proofErr w:type="spellEnd"/>
      <w:r w:rsidR="00210219">
        <w:rPr>
          <w:rFonts w:ascii="Times New Roman" w:hAnsi="Times New Roman" w:cs="Times New Roman"/>
        </w:rPr>
        <w:t xml:space="preserve"> containers. Both hormones, </w:t>
      </w:r>
      <w:r w:rsidR="00F65673">
        <w:rPr>
          <w:rFonts w:ascii="Times New Roman" w:hAnsi="Times New Roman" w:cs="Times New Roman"/>
        </w:rPr>
        <w:t>T</w:t>
      </w:r>
      <w:r w:rsidR="00210219">
        <w:rPr>
          <w:rFonts w:ascii="Times New Roman" w:hAnsi="Times New Roman" w:cs="Times New Roman"/>
        </w:rPr>
        <w:t xml:space="preserve"> and </w:t>
      </w:r>
      <w:r w:rsidR="00F65673">
        <w:rPr>
          <w:rFonts w:ascii="Times New Roman" w:hAnsi="Times New Roman" w:cs="Times New Roman"/>
        </w:rPr>
        <w:t>C</w:t>
      </w:r>
      <w:r w:rsidR="00210219">
        <w:rPr>
          <w:rFonts w:ascii="Times New Roman" w:hAnsi="Times New Roman" w:cs="Times New Roman"/>
        </w:rPr>
        <w:t>,</w:t>
      </w:r>
      <w:r>
        <w:rPr>
          <w:rFonts w:ascii="Times New Roman" w:hAnsi="Times New Roman" w:cs="Times New Roman"/>
        </w:rPr>
        <w:t xml:space="preserve"> w</w:t>
      </w:r>
      <w:r w:rsidR="00A66684">
        <w:rPr>
          <w:rFonts w:ascii="Times New Roman" w:hAnsi="Times New Roman" w:cs="Times New Roman"/>
        </w:rPr>
        <w:t>ere</w:t>
      </w:r>
      <w:r>
        <w:rPr>
          <w:rFonts w:ascii="Times New Roman" w:hAnsi="Times New Roman" w:cs="Times New Roman"/>
        </w:rPr>
        <w:t xml:space="preserve"> analyzed at </w:t>
      </w:r>
      <w:proofErr w:type="spellStart"/>
      <w:r>
        <w:rPr>
          <w:rFonts w:ascii="Times New Roman" w:hAnsi="Times New Roman" w:cs="Times New Roman"/>
        </w:rPr>
        <w:t>Salimetrics</w:t>
      </w:r>
      <w:proofErr w:type="spellEnd"/>
      <w:r>
        <w:rPr>
          <w:rFonts w:ascii="Times New Roman" w:hAnsi="Times New Roman" w:cs="Times New Roman"/>
        </w:rPr>
        <w:t xml:space="preserve">’ </w:t>
      </w:r>
      <w:proofErr w:type="spellStart"/>
      <w:r>
        <w:rPr>
          <w:rFonts w:ascii="Times New Roman" w:hAnsi="Times New Roman" w:cs="Times New Roman"/>
        </w:rPr>
        <w:t>SalivaLab</w:t>
      </w:r>
      <w:proofErr w:type="spellEnd"/>
      <w:r>
        <w:rPr>
          <w:rFonts w:ascii="Times New Roman" w:hAnsi="Times New Roman" w:cs="Times New Roman"/>
        </w:rPr>
        <w:t xml:space="preserve"> (Carlsbad, CA) using assays for both </w:t>
      </w:r>
      <w:r w:rsidR="00F65673">
        <w:rPr>
          <w:rFonts w:ascii="Times New Roman" w:hAnsi="Times New Roman" w:cs="Times New Roman"/>
        </w:rPr>
        <w:t xml:space="preserve">T </w:t>
      </w:r>
      <w:r>
        <w:rPr>
          <w:rFonts w:ascii="Times New Roman" w:hAnsi="Times New Roman" w:cs="Times New Roman"/>
        </w:rPr>
        <w:t xml:space="preserve">and C. </w:t>
      </w:r>
    </w:p>
    <w:p w14:paraId="3BAF1918" w14:textId="78E7E513" w:rsidR="00DB7EB2" w:rsidRDefault="00DB7EB2" w:rsidP="00F829B9">
      <w:pPr>
        <w:spacing w:line="480" w:lineRule="auto"/>
        <w:jc w:val="both"/>
        <w:rPr>
          <w:rFonts w:ascii="Times New Roman" w:hAnsi="Times New Roman" w:cs="Times New Roman"/>
        </w:rPr>
      </w:pPr>
      <w:r>
        <w:rPr>
          <w:rFonts w:ascii="Times New Roman" w:hAnsi="Times New Roman" w:cs="Times New Roman"/>
        </w:rPr>
        <w:tab/>
        <w:t>T concentrations w</w:t>
      </w:r>
      <w:r w:rsidR="00A66684">
        <w:rPr>
          <w:rFonts w:ascii="Times New Roman" w:hAnsi="Times New Roman" w:cs="Times New Roman"/>
        </w:rPr>
        <w:t>ere</w:t>
      </w:r>
      <w:r>
        <w:rPr>
          <w:rFonts w:ascii="Times New Roman" w:hAnsi="Times New Roman" w:cs="Times New Roman"/>
        </w:rPr>
        <w:t xml:space="preserve"> determined through the </w:t>
      </w:r>
      <w:proofErr w:type="spellStart"/>
      <w:r>
        <w:rPr>
          <w:rFonts w:ascii="Times New Roman" w:hAnsi="Times New Roman" w:cs="Times New Roman"/>
        </w:rPr>
        <w:t>Salimetrics</w:t>
      </w:r>
      <w:proofErr w:type="spellEnd"/>
      <w:r>
        <w:rPr>
          <w:rFonts w:ascii="Times New Roman" w:hAnsi="Times New Roman" w:cs="Times New Roman"/>
        </w:rPr>
        <w:t xml:space="preserve"> Salivary Testosterone Assay Kit</w:t>
      </w:r>
      <w:r w:rsidR="00C1339A">
        <w:rPr>
          <w:rFonts w:ascii="Times New Roman" w:hAnsi="Times New Roman" w:cs="Times New Roman"/>
        </w:rPr>
        <w:t>s</w:t>
      </w:r>
      <w:r>
        <w:rPr>
          <w:rFonts w:ascii="Times New Roman" w:hAnsi="Times New Roman" w:cs="Times New Roman"/>
        </w:rPr>
        <w:t xml:space="preserve"> </w:t>
      </w:r>
      <w:r w:rsidRPr="009006D5">
        <w:rPr>
          <w:rFonts w:ascii="Times New Roman" w:hAnsi="Times New Roman" w:cs="Times New Roman"/>
        </w:rPr>
        <w:t>without any alterations</w:t>
      </w:r>
      <w:r>
        <w:rPr>
          <w:rFonts w:ascii="Times New Roman" w:hAnsi="Times New Roman" w:cs="Times New Roman"/>
        </w:rPr>
        <w:t xml:space="preserve"> to </w:t>
      </w:r>
      <w:proofErr w:type="spellStart"/>
      <w:r>
        <w:rPr>
          <w:rFonts w:ascii="Times New Roman" w:hAnsi="Times New Roman" w:cs="Times New Roman"/>
        </w:rPr>
        <w:t>Salimetrics</w:t>
      </w:r>
      <w:proofErr w:type="spellEnd"/>
      <w:r>
        <w:rPr>
          <w:rFonts w:ascii="Times New Roman" w:hAnsi="Times New Roman" w:cs="Times New Roman"/>
        </w:rPr>
        <w:t xml:space="preserve">’ </w:t>
      </w:r>
      <w:proofErr w:type="spellStart"/>
      <w:r>
        <w:rPr>
          <w:rFonts w:ascii="Times New Roman" w:hAnsi="Times New Roman" w:cs="Times New Roman"/>
        </w:rPr>
        <w:t>SalivaLab</w:t>
      </w:r>
      <w:proofErr w:type="spellEnd"/>
      <w:r>
        <w:rPr>
          <w:rFonts w:ascii="Times New Roman" w:hAnsi="Times New Roman" w:cs="Times New Roman"/>
        </w:rPr>
        <w:t xml:space="preserve"> (Carlsbad, CA) protocol. Samples w</w:t>
      </w:r>
      <w:r w:rsidR="00A66684">
        <w:rPr>
          <w:rFonts w:ascii="Times New Roman" w:hAnsi="Times New Roman" w:cs="Times New Roman"/>
        </w:rPr>
        <w:t>ere</w:t>
      </w:r>
      <w:r>
        <w:rPr>
          <w:rFonts w:ascii="Times New Roman" w:hAnsi="Times New Roman" w:cs="Times New Roman"/>
        </w:rPr>
        <w:t xml:space="preserve"> thawed to room temperature, vortexed, and centrifuged for 15 minutes at approximately 3,000 RPM (1,500 x g) immediately before performing the assay. </w:t>
      </w:r>
      <w:r w:rsidR="008F68DF">
        <w:rPr>
          <w:rFonts w:ascii="Times New Roman" w:hAnsi="Times New Roman" w:cs="Times New Roman"/>
        </w:rPr>
        <w:t xml:space="preserve">The sample </w:t>
      </w:r>
      <w:r w:rsidR="00C1339A">
        <w:rPr>
          <w:rFonts w:ascii="Times New Roman" w:hAnsi="Times New Roman" w:cs="Times New Roman"/>
        </w:rPr>
        <w:t xml:space="preserve">test volume </w:t>
      </w:r>
      <w:r w:rsidR="00C1339A" w:rsidRPr="00C1339A">
        <w:rPr>
          <w:rFonts w:ascii="Times New Roman" w:hAnsi="Times New Roman" w:cs="Times New Roman"/>
        </w:rPr>
        <w:t>w</w:t>
      </w:r>
      <w:r w:rsidR="00A66684">
        <w:rPr>
          <w:rFonts w:ascii="Times New Roman" w:hAnsi="Times New Roman" w:cs="Times New Roman"/>
        </w:rPr>
        <w:t>as</w:t>
      </w:r>
      <w:r w:rsidR="00C1339A" w:rsidRPr="00C1339A">
        <w:rPr>
          <w:rFonts w:ascii="Times New Roman" w:hAnsi="Times New Roman" w:cs="Times New Roman"/>
        </w:rPr>
        <w:t xml:space="preserve"> set at 25 </w:t>
      </w:r>
      <w:proofErr w:type="spellStart"/>
      <w:r w:rsidR="00C1339A" w:rsidRPr="00C1339A">
        <w:rPr>
          <w:rFonts w:ascii="Times New Roman" w:hAnsi="Times New Roman" w:cs="Times New Roman"/>
        </w:rPr>
        <w:t>μl</w:t>
      </w:r>
      <w:proofErr w:type="spellEnd"/>
      <w:r w:rsidR="00C1339A" w:rsidRPr="00C1339A">
        <w:rPr>
          <w:rFonts w:ascii="Times New Roman" w:hAnsi="Times New Roman" w:cs="Times New Roman"/>
        </w:rPr>
        <w:t xml:space="preserve"> of sa</w:t>
      </w:r>
      <w:r w:rsidR="00C1339A">
        <w:rPr>
          <w:rFonts w:ascii="Times New Roman" w:hAnsi="Times New Roman" w:cs="Times New Roman"/>
        </w:rPr>
        <w:t xml:space="preserve">liva using an enzyme-linked immunosorbent assay (ELISA) with a sensitivity lower limit of 1 </w:t>
      </w:r>
      <w:proofErr w:type="spellStart"/>
      <w:r w:rsidR="00C1339A">
        <w:rPr>
          <w:rFonts w:ascii="Times New Roman" w:hAnsi="Times New Roman" w:cs="Times New Roman"/>
        </w:rPr>
        <w:t>pg</w:t>
      </w:r>
      <w:proofErr w:type="spellEnd"/>
      <w:r w:rsidR="00C1339A">
        <w:rPr>
          <w:rFonts w:ascii="Times New Roman" w:hAnsi="Times New Roman" w:cs="Times New Roman"/>
        </w:rPr>
        <w:t xml:space="preserve">/mL and standard curve range of 6.1 – 600 </w:t>
      </w:r>
      <w:proofErr w:type="spellStart"/>
      <w:r w:rsidR="00C1339A">
        <w:rPr>
          <w:rFonts w:ascii="Times New Roman" w:hAnsi="Times New Roman" w:cs="Times New Roman"/>
        </w:rPr>
        <w:t>pg</w:t>
      </w:r>
      <w:proofErr w:type="spellEnd"/>
      <w:r w:rsidR="00C1339A">
        <w:rPr>
          <w:rFonts w:ascii="Times New Roman" w:hAnsi="Times New Roman" w:cs="Times New Roman"/>
        </w:rPr>
        <w:t>/</w:t>
      </w:r>
      <w:proofErr w:type="spellStart"/>
      <w:r w:rsidR="00C1339A">
        <w:rPr>
          <w:rFonts w:ascii="Times New Roman" w:hAnsi="Times New Roman" w:cs="Times New Roman"/>
        </w:rPr>
        <w:t>mL.</w:t>
      </w:r>
      <w:proofErr w:type="spellEnd"/>
      <w:r w:rsidR="00C1339A">
        <w:rPr>
          <w:rFonts w:ascii="Times New Roman" w:hAnsi="Times New Roman" w:cs="Times New Roman"/>
        </w:rPr>
        <w:t xml:space="preserve"> </w:t>
      </w:r>
    </w:p>
    <w:p w14:paraId="3414A4D5" w14:textId="734C041C" w:rsidR="00C1339A" w:rsidRPr="00C1339A" w:rsidRDefault="00C1339A" w:rsidP="00F829B9">
      <w:pPr>
        <w:spacing w:line="480" w:lineRule="auto"/>
        <w:jc w:val="both"/>
        <w:rPr>
          <w:rFonts w:ascii="Times New Roman" w:hAnsi="Times New Roman" w:cs="Times New Roman"/>
        </w:rPr>
      </w:pPr>
      <w:r>
        <w:rPr>
          <w:rFonts w:ascii="Times New Roman" w:hAnsi="Times New Roman" w:cs="Times New Roman"/>
        </w:rPr>
        <w:tab/>
        <w:t>C concentrations w</w:t>
      </w:r>
      <w:r w:rsidR="00A66684">
        <w:rPr>
          <w:rFonts w:ascii="Times New Roman" w:hAnsi="Times New Roman" w:cs="Times New Roman"/>
        </w:rPr>
        <w:t>ere</w:t>
      </w:r>
      <w:r>
        <w:rPr>
          <w:rFonts w:ascii="Times New Roman" w:hAnsi="Times New Roman" w:cs="Times New Roman"/>
        </w:rPr>
        <w:t xml:space="preserve"> determined through the </w:t>
      </w:r>
      <w:proofErr w:type="spellStart"/>
      <w:r>
        <w:rPr>
          <w:rFonts w:ascii="Times New Roman" w:hAnsi="Times New Roman" w:cs="Times New Roman"/>
        </w:rPr>
        <w:t>Salimetrics</w:t>
      </w:r>
      <w:proofErr w:type="spellEnd"/>
      <w:r>
        <w:rPr>
          <w:rFonts w:ascii="Times New Roman" w:hAnsi="Times New Roman" w:cs="Times New Roman"/>
        </w:rPr>
        <w:t xml:space="preserve"> Salivary Cortisol Assay Kits without any alterations to </w:t>
      </w:r>
      <w:proofErr w:type="spellStart"/>
      <w:r>
        <w:rPr>
          <w:rFonts w:ascii="Times New Roman" w:hAnsi="Times New Roman" w:cs="Times New Roman"/>
        </w:rPr>
        <w:t>Salimetrics</w:t>
      </w:r>
      <w:proofErr w:type="spellEnd"/>
      <w:r>
        <w:rPr>
          <w:rFonts w:ascii="Times New Roman" w:hAnsi="Times New Roman" w:cs="Times New Roman"/>
        </w:rPr>
        <w:t xml:space="preserve">’ </w:t>
      </w:r>
      <w:proofErr w:type="spellStart"/>
      <w:r>
        <w:rPr>
          <w:rFonts w:ascii="Times New Roman" w:hAnsi="Times New Roman" w:cs="Times New Roman"/>
        </w:rPr>
        <w:t>SalivaLab</w:t>
      </w:r>
      <w:proofErr w:type="spellEnd"/>
      <w:r>
        <w:rPr>
          <w:rFonts w:ascii="Times New Roman" w:hAnsi="Times New Roman" w:cs="Times New Roman"/>
        </w:rPr>
        <w:t xml:space="preserve"> (Carlsbad, CA) protocol. Samples w</w:t>
      </w:r>
      <w:r w:rsidR="00A66684">
        <w:rPr>
          <w:rFonts w:ascii="Times New Roman" w:hAnsi="Times New Roman" w:cs="Times New Roman"/>
        </w:rPr>
        <w:t>ere</w:t>
      </w:r>
      <w:r>
        <w:rPr>
          <w:rFonts w:ascii="Times New Roman" w:hAnsi="Times New Roman" w:cs="Times New Roman"/>
        </w:rPr>
        <w:t xml:space="preserve"> thawed to room temperature, vortexed, and centrifuged for 15 minutes at approximately 3,000 RPM (1,500 x g) immediately before performing the assay. The sample test volume </w:t>
      </w:r>
      <w:r w:rsidRPr="00C1339A">
        <w:rPr>
          <w:rFonts w:ascii="Times New Roman" w:hAnsi="Times New Roman" w:cs="Times New Roman"/>
        </w:rPr>
        <w:t>w</w:t>
      </w:r>
      <w:r w:rsidR="00A66684">
        <w:rPr>
          <w:rFonts w:ascii="Times New Roman" w:hAnsi="Times New Roman" w:cs="Times New Roman"/>
        </w:rPr>
        <w:t>as</w:t>
      </w:r>
      <w:r w:rsidRPr="00C1339A">
        <w:rPr>
          <w:rFonts w:ascii="Times New Roman" w:hAnsi="Times New Roman" w:cs="Times New Roman"/>
        </w:rPr>
        <w:t xml:space="preserve"> set at 25 </w:t>
      </w:r>
      <w:proofErr w:type="spellStart"/>
      <w:r w:rsidRPr="00C1339A">
        <w:rPr>
          <w:rFonts w:ascii="Times New Roman" w:hAnsi="Times New Roman" w:cs="Times New Roman"/>
        </w:rPr>
        <w:t>μl</w:t>
      </w:r>
      <w:proofErr w:type="spellEnd"/>
      <w:r w:rsidRPr="00C1339A">
        <w:rPr>
          <w:rFonts w:ascii="Times New Roman" w:hAnsi="Times New Roman" w:cs="Times New Roman"/>
        </w:rPr>
        <w:t xml:space="preserve"> of sa</w:t>
      </w:r>
      <w:r>
        <w:rPr>
          <w:rFonts w:ascii="Times New Roman" w:hAnsi="Times New Roman" w:cs="Times New Roman"/>
        </w:rPr>
        <w:t xml:space="preserve">liva using an ELISA with a sensitivity lower limit of 0.007 </w:t>
      </w:r>
      <w:proofErr w:type="spellStart"/>
      <w:r>
        <w:rPr>
          <w:rFonts w:ascii="Times New Roman" w:hAnsi="Times New Roman" w:cs="Times New Roman"/>
        </w:rPr>
        <w:t>pg</w:t>
      </w:r>
      <w:proofErr w:type="spellEnd"/>
      <w:r>
        <w:rPr>
          <w:rFonts w:ascii="Times New Roman" w:hAnsi="Times New Roman" w:cs="Times New Roman"/>
        </w:rPr>
        <w:t xml:space="preserve">/dL and standard curve range of 0.012 – 3.0 </w:t>
      </w:r>
      <w:proofErr w:type="spellStart"/>
      <w:r>
        <w:rPr>
          <w:rFonts w:ascii="Times New Roman" w:hAnsi="Times New Roman" w:cs="Times New Roman"/>
        </w:rPr>
        <w:t>pg</w:t>
      </w:r>
      <w:proofErr w:type="spellEnd"/>
      <w:r>
        <w:rPr>
          <w:rFonts w:ascii="Times New Roman" w:hAnsi="Times New Roman" w:cs="Times New Roman"/>
        </w:rPr>
        <w:t xml:space="preserve">/dL. </w:t>
      </w:r>
    </w:p>
    <w:p w14:paraId="35156443" w14:textId="46AE2204" w:rsidR="0051641E" w:rsidRDefault="0051641E" w:rsidP="00F829B9">
      <w:pPr>
        <w:pStyle w:val="Heading2"/>
      </w:pPr>
      <w:bookmarkStart w:id="57" w:name="_Toc99267634"/>
      <w:r>
        <w:lastRenderedPageBreak/>
        <w:t>Dietary Restrictions</w:t>
      </w:r>
      <w:bookmarkEnd w:id="57"/>
    </w:p>
    <w:p w14:paraId="0949E037" w14:textId="5A1CAC9F" w:rsidR="00917AEB" w:rsidRPr="00917AEB" w:rsidRDefault="0051641E" w:rsidP="00F829B9">
      <w:pPr>
        <w:spacing w:line="480" w:lineRule="auto"/>
        <w:jc w:val="both"/>
        <w:rPr>
          <w:rFonts w:ascii="Times New Roman" w:hAnsi="Times New Roman" w:cs="Times New Roman"/>
        </w:rPr>
      </w:pPr>
      <w:r>
        <w:rPr>
          <w:rFonts w:ascii="Times New Roman" w:hAnsi="Times New Roman" w:cs="Times New Roman"/>
        </w:rPr>
        <w:tab/>
        <w:t>Athletes w</w:t>
      </w:r>
      <w:r w:rsidR="009525B0">
        <w:rPr>
          <w:rFonts w:ascii="Times New Roman" w:hAnsi="Times New Roman" w:cs="Times New Roman"/>
        </w:rPr>
        <w:t>ere</w:t>
      </w:r>
      <w:r>
        <w:rPr>
          <w:rFonts w:ascii="Times New Roman" w:hAnsi="Times New Roman" w:cs="Times New Roman"/>
        </w:rPr>
        <w:t xml:space="preserve"> instructed to maintain their normal dietary intake,</w:t>
      </w:r>
      <w:r w:rsidR="00B176F4">
        <w:rPr>
          <w:rFonts w:ascii="Times New Roman" w:hAnsi="Times New Roman" w:cs="Times New Roman"/>
        </w:rPr>
        <w:t xml:space="preserve"> prescribed</w:t>
      </w:r>
      <w:r>
        <w:rPr>
          <w:rFonts w:ascii="Times New Roman" w:hAnsi="Times New Roman" w:cs="Times New Roman"/>
        </w:rPr>
        <w:t xml:space="preserve"> by the team’s sport’s </w:t>
      </w:r>
      <w:r w:rsidR="00B176F4">
        <w:rPr>
          <w:rFonts w:ascii="Times New Roman" w:hAnsi="Times New Roman" w:cs="Times New Roman"/>
        </w:rPr>
        <w:t>dietician</w:t>
      </w:r>
      <w:r>
        <w:rPr>
          <w:rFonts w:ascii="Times New Roman" w:hAnsi="Times New Roman" w:cs="Times New Roman"/>
        </w:rPr>
        <w:t>. The participants w</w:t>
      </w:r>
      <w:r w:rsidR="009525B0">
        <w:rPr>
          <w:rFonts w:ascii="Times New Roman" w:hAnsi="Times New Roman" w:cs="Times New Roman"/>
        </w:rPr>
        <w:t xml:space="preserve">ere </w:t>
      </w:r>
      <w:r>
        <w:rPr>
          <w:rFonts w:ascii="Times New Roman" w:hAnsi="Times New Roman" w:cs="Times New Roman"/>
        </w:rPr>
        <w:t xml:space="preserve">instructed to refrain from consuming any food, stimulants, or fluids, besides water, 1 hour prior to data collection. Additionally, </w:t>
      </w:r>
      <w:r w:rsidR="00B176F4">
        <w:rPr>
          <w:rFonts w:ascii="Times New Roman" w:hAnsi="Times New Roman" w:cs="Times New Roman"/>
        </w:rPr>
        <w:t>only water w</w:t>
      </w:r>
      <w:r w:rsidR="009525B0">
        <w:rPr>
          <w:rFonts w:ascii="Times New Roman" w:hAnsi="Times New Roman" w:cs="Times New Roman"/>
        </w:rPr>
        <w:t>as</w:t>
      </w:r>
      <w:r w:rsidR="00B176F4">
        <w:rPr>
          <w:rFonts w:ascii="Times New Roman" w:hAnsi="Times New Roman" w:cs="Times New Roman"/>
        </w:rPr>
        <w:t xml:space="preserve"> available for consumption </w:t>
      </w:r>
      <w:r w:rsidR="00FF230E">
        <w:rPr>
          <w:rFonts w:ascii="Times New Roman" w:hAnsi="Times New Roman" w:cs="Times New Roman"/>
        </w:rPr>
        <w:t xml:space="preserve">on test days </w:t>
      </w:r>
      <w:r w:rsidR="00B176F4">
        <w:rPr>
          <w:rFonts w:ascii="Times New Roman" w:hAnsi="Times New Roman" w:cs="Times New Roman"/>
        </w:rPr>
        <w:t xml:space="preserve">as to </w:t>
      </w:r>
      <w:r>
        <w:rPr>
          <w:rFonts w:ascii="Times New Roman" w:hAnsi="Times New Roman" w:cs="Times New Roman"/>
        </w:rPr>
        <w:t xml:space="preserve">not interfere with salivary sampling. </w:t>
      </w:r>
    </w:p>
    <w:p w14:paraId="6AA5C7DC" w14:textId="2D68552D" w:rsidR="0051641E" w:rsidRPr="00195D51" w:rsidRDefault="0051641E" w:rsidP="00F829B9">
      <w:pPr>
        <w:pStyle w:val="Heading2"/>
      </w:pPr>
      <w:bookmarkStart w:id="58" w:name="_Toc99267635"/>
      <w:r w:rsidRPr="00195D51">
        <w:t>Statistical Analyses</w:t>
      </w:r>
      <w:bookmarkEnd w:id="58"/>
    </w:p>
    <w:p w14:paraId="4035A97B" w14:textId="078BC255" w:rsidR="00B6351E" w:rsidRPr="00BE6A90" w:rsidRDefault="0051641E" w:rsidP="00F829B9">
      <w:pPr>
        <w:spacing w:line="480" w:lineRule="auto"/>
        <w:jc w:val="both"/>
        <w:rPr>
          <w:rFonts w:ascii="Times New Roman" w:hAnsi="Times New Roman" w:cs="Times New Roman"/>
        </w:rPr>
      </w:pPr>
      <w:r>
        <w:rPr>
          <w:rFonts w:ascii="Times New Roman" w:hAnsi="Times New Roman" w:cs="Times New Roman"/>
        </w:rPr>
        <w:tab/>
      </w:r>
      <w:r w:rsidRPr="00BE6A90">
        <w:rPr>
          <w:rFonts w:ascii="Times New Roman" w:hAnsi="Times New Roman" w:cs="Times New Roman"/>
        </w:rPr>
        <w:t>Data w</w:t>
      </w:r>
      <w:r w:rsidR="00726813" w:rsidRPr="00BE6A90">
        <w:rPr>
          <w:rFonts w:ascii="Times New Roman" w:hAnsi="Times New Roman" w:cs="Times New Roman"/>
        </w:rPr>
        <w:t>as</w:t>
      </w:r>
      <w:r w:rsidRPr="00BE6A90">
        <w:rPr>
          <w:rFonts w:ascii="Times New Roman" w:hAnsi="Times New Roman" w:cs="Times New Roman"/>
        </w:rPr>
        <w:t xml:space="preserve"> analyzed using SPSS, Version 2</w:t>
      </w:r>
      <w:r w:rsidR="00566F5E" w:rsidRPr="00BE6A90">
        <w:rPr>
          <w:rFonts w:ascii="Times New Roman" w:hAnsi="Times New Roman" w:cs="Times New Roman"/>
        </w:rPr>
        <w:t>8</w:t>
      </w:r>
      <w:r w:rsidRPr="00BE6A90">
        <w:rPr>
          <w:rFonts w:ascii="Times New Roman" w:hAnsi="Times New Roman" w:cs="Times New Roman"/>
        </w:rPr>
        <w:t xml:space="preserve"> (SPSS Inc., Chicago, IL). Descriptive statistics w</w:t>
      </w:r>
      <w:r w:rsidR="00726813" w:rsidRPr="00BE6A90">
        <w:rPr>
          <w:rFonts w:ascii="Times New Roman" w:hAnsi="Times New Roman" w:cs="Times New Roman"/>
        </w:rPr>
        <w:t>ere</w:t>
      </w:r>
      <w:r w:rsidRPr="00BE6A90">
        <w:rPr>
          <w:rFonts w:ascii="Times New Roman" w:hAnsi="Times New Roman" w:cs="Times New Roman"/>
        </w:rPr>
        <w:t xml:space="preserve"> reported as Mean ± SD, unless otherwise stated. Initially, data normality w</w:t>
      </w:r>
      <w:r w:rsidR="00726813" w:rsidRPr="00BE6A90">
        <w:rPr>
          <w:rFonts w:ascii="Times New Roman" w:hAnsi="Times New Roman" w:cs="Times New Roman"/>
        </w:rPr>
        <w:t>as</w:t>
      </w:r>
      <w:r w:rsidRPr="00BE6A90">
        <w:rPr>
          <w:rFonts w:ascii="Times New Roman" w:hAnsi="Times New Roman" w:cs="Times New Roman"/>
        </w:rPr>
        <w:t xml:space="preserve"> confirmed through the Shapiro-Wilk test statistic. </w:t>
      </w:r>
      <w:r w:rsidR="00000C17" w:rsidRPr="00BE6A90">
        <w:rPr>
          <w:rFonts w:ascii="Times New Roman" w:hAnsi="Times New Roman" w:cs="Times New Roman"/>
        </w:rPr>
        <w:t>The data w</w:t>
      </w:r>
      <w:r w:rsidR="00726813" w:rsidRPr="00BE6A90">
        <w:rPr>
          <w:rFonts w:ascii="Times New Roman" w:hAnsi="Times New Roman" w:cs="Times New Roman"/>
        </w:rPr>
        <w:t>as also</w:t>
      </w:r>
      <w:r w:rsidR="00000C17" w:rsidRPr="00BE6A90">
        <w:rPr>
          <w:rFonts w:ascii="Times New Roman" w:hAnsi="Times New Roman" w:cs="Times New Roman"/>
        </w:rPr>
        <w:t xml:space="preserve"> tested for sphericity through Mauchly’s test</w:t>
      </w:r>
      <w:r w:rsidR="00726813" w:rsidRPr="00BE6A90">
        <w:rPr>
          <w:rFonts w:ascii="Times New Roman" w:hAnsi="Times New Roman" w:cs="Times New Roman"/>
        </w:rPr>
        <w:t xml:space="preserve"> to confirm variance in differences were similar between groups.</w:t>
      </w:r>
      <w:r w:rsidR="00F12C09" w:rsidRPr="00BE6A90">
        <w:rPr>
          <w:rFonts w:ascii="Times New Roman" w:hAnsi="Times New Roman" w:cs="Times New Roman"/>
        </w:rPr>
        <w:t xml:space="preserve"> </w:t>
      </w:r>
      <w:r w:rsidR="009D73F8" w:rsidRPr="00BE6A90">
        <w:rPr>
          <w:rFonts w:ascii="Times New Roman" w:hAnsi="Times New Roman" w:cs="Times New Roman"/>
        </w:rPr>
        <w:t xml:space="preserve">If </w:t>
      </w:r>
      <w:r w:rsidR="002A31B4" w:rsidRPr="00BE6A90">
        <w:rPr>
          <w:rFonts w:ascii="Times New Roman" w:hAnsi="Times New Roman" w:cs="Times New Roman"/>
        </w:rPr>
        <w:t xml:space="preserve">the data indicated the assumption of sphericity </w:t>
      </w:r>
      <w:r w:rsidR="005D76DB">
        <w:rPr>
          <w:rFonts w:ascii="Times New Roman" w:hAnsi="Times New Roman" w:cs="Times New Roman"/>
        </w:rPr>
        <w:t>wa</w:t>
      </w:r>
      <w:r w:rsidR="002A31B4" w:rsidRPr="00BE6A90">
        <w:rPr>
          <w:rFonts w:ascii="Times New Roman" w:hAnsi="Times New Roman" w:cs="Times New Roman"/>
        </w:rPr>
        <w:t>s violated through Mauchly’s Test of Sphericity</w:t>
      </w:r>
      <w:r w:rsidR="009D73F8" w:rsidRPr="00BE6A90">
        <w:rPr>
          <w:rFonts w:ascii="Times New Roman" w:hAnsi="Times New Roman" w:cs="Times New Roman"/>
        </w:rPr>
        <w:t xml:space="preserve">, </w:t>
      </w:r>
      <w:r w:rsidR="002A31B4" w:rsidRPr="00BE6A90">
        <w:rPr>
          <w:rFonts w:ascii="Times New Roman" w:hAnsi="Times New Roman" w:cs="Times New Roman"/>
        </w:rPr>
        <w:t xml:space="preserve">then </w:t>
      </w:r>
      <w:r w:rsidR="009D73F8" w:rsidRPr="00BE6A90">
        <w:rPr>
          <w:rFonts w:ascii="Times New Roman" w:hAnsi="Times New Roman" w:cs="Times New Roman"/>
        </w:rPr>
        <w:t>the Greenhouse-</w:t>
      </w:r>
      <w:proofErr w:type="spellStart"/>
      <w:r w:rsidR="009D73F8" w:rsidRPr="00BE6A90">
        <w:rPr>
          <w:rFonts w:ascii="Times New Roman" w:hAnsi="Times New Roman" w:cs="Times New Roman"/>
        </w:rPr>
        <w:t>Geisser</w:t>
      </w:r>
      <w:proofErr w:type="spellEnd"/>
      <w:r w:rsidR="009D73F8" w:rsidRPr="00BE6A90">
        <w:rPr>
          <w:rFonts w:ascii="Times New Roman" w:hAnsi="Times New Roman" w:cs="Times New Roman"/>
        </w:rPr>
        <w:t xml:space="preserve"> </w:t>
      </w:r>
      <w:r w:rsidR="005B0CEB" w:rsidRPr="00BE6A90">
        <w:rPr>
          <w:rFonts w:ascii="Times New Roman" w:hAnsi="Times New Roman" w:cs="Times New Roman"/>
        </w:rPr>
        <w:t>c</w:t>
      </w:r>
      <w:r w:rsidR="005E0F9A" w:rsidRPr="00BE6A90">
        <w:rPr>
          <w:rFonts w:ascii="Times New Roman" w:hAnsi="Times New Roman" w:cs="Times New Roman"/>
        </w:rPr>
        <w:t>orrection was used</w:t>
      </w:r>
      <w:r w:rsidR="002A31B4" w:rsidRPr="00BE6A90">
        <w:rPr>
          <w:rFonts w:ascii="Times New Roman" w:hAnsi="Times New Roman" w:cs="Times New Roman"/>
        </w:rPr>
        <w:t xml:space="preserve"> to combat the violation.</w:t>
      </w:r>
    </w:p>
    <w:p w14:paraId="71B3802D" w14:textId="4B4E65CB" w:rsidR="008D7C02" w:rsidRDefault="0051641E" w:rsidP="00BE6A90">
      <w:pPr>
        <w:spacing w:line="480" w:lineRule="auto"/>
        <w:ind w:firstLine="720"/>
        <w:jc w:val="both"/>
        <w:rPr>
          <w:rFonts w:ascii="Times New Roman" w:hAnsi="Times New Roman" w:cs="Times New Roman"/>
        </w:rPr>
      </w:pPr>
      <w:r w:rsidRPr="00BE6A90">
        <w:rPr>
          <w:rFonts w:ascii="Times New Roman" w:hAnsi="Times New Roman" w:cs="Times New Roman"/>
        </w:rPr>
        <w:t xml:space="preserve">A </w:t>
      </w:r>
      <w:r w:rsidR="00B408D4" w:rsidRPr="00BE6A90">
        <w:rPr>
          <w:rFonts w:ascii="Times New Roman" w:hAnsi="Times New Roman" w:cs="Times New Roman"/>
        </w:rPr>
        <w:t xml:space="preserve">paired t-test </w:t>
      </w:r>
      <w:r w:rsidRPr="00BE6A90">
        <w:rPr>
          <w:rFonts w:ascii="Times New Roman" w:hAnsi="Times New Roman" w:cs="Times New Roman"/>
        </w:rPr>
        <w:t>w</w:t>
      </w:r>
      <w:r w:rsidR="0064247C" w:rsidRPr="00BE6A90">
        <w:rPr>
          <w:rFonts w:ascii="Times New Roman" w:hAnsi="Times New Roman" w:cs="Times New Roman"/>
        </w:rPr>
        <w:t>as</w:t>
      </w:r>
      <w:r w:rsidR="007A7C41" w:rsidRPr="00BE6A90">
        <w:rPr>
          <w:rFonts w:ascii="Times New Roman" w:hAnsi="Times New Roman" w:cs="Times New Roman"/>
        </w:rPr>
        <w:t xml:space="preserve"> used to </w:t>
      </w:r>
      <w:r w:rsidRPr="00BE6A90">
        <w:rPr>
          <w:rFonts w:ascii="Times New Roman" w:hAnsi="Times New Roman" w:cs="Times New Roman"/>
        </w:rPr>
        <w:t xml:space="preserve">evaluate the </w:t>
      </w:r>
      <w:r w:rsidR="007A7C41" w:rsidRPr="00BE6A90">
        <w:rPr>
          <w:rFonts w:ascii="Times New Roman" w:hAnsi="Times New Roman" w:cs="Times New Roman"/>
        </w:rPr>
        <w:t xml:space="preserve">within subject </w:t>
      </w:r>
      <w:r w:rsidRPr="00BE6A90">
        <w:rPr>
          <w:rFonts w:ascii="Times New Roman" w:hAnsi="Times New Roman" w:cs="Times New Roman"/>
        </w:rPr>
        <w:t xml:space="preserve">differences in </w:t>
      </w:r>
      <w:proofErr w:type="spellStart"/>
      <w:r w:rsidR="00000C17" w:rsidRPr="00BE6A90">
        <w:rPr>
          <w:rFonts w:ascii="Times New Roman" w:hAnsi="Times New Roman" w:cs="Times New Roman"/>
        </w:rPr>
        <w:t>eTL</w:t>
      </w:r>
      <w:proofErr w:type="spellEnd"/>
      <w:r w:rsidR="00000C17" w:rsidRPr="00BE6A90">
        <w:rPr>
          <w:rFonts w:ascii="Times New Roman" w:hAnsi="Times New Roman" w:cs="Times New Roman"/>
        </w:rPr>
        <w:t xml:space="preserve"> </w:t>
      </w:r>
      <w:r w:rsidRPr="00BE6A90">
        <w:rPr>
          <w:rFonts w:ascii="Times New Roman" w:hAnsi="Times New Roman" w:cs="Times New Roman"/>
        </w:rPr>
        <w:t>parameters</w:t>
      </w:r>
      <w:r w:rsidR="00000C17" w:rsidRPr="00BE6A90">
        <w:rPr>
          <w:rFonts w:ascii="Times New Roman" w:hAnsi="Times New Roman" w:cs="Times New Roman"/>
        </w:rPr>
        <w:t xml:space="preserve">, including PL, PL/min, </w:t>
      </w:r>
      <w:r w:rsidR="0000397C" w:rsidRPr="00BE6A90">
        <w:rPr>
          <w:rFonts w:ascii="Times New Roman" w:hAnsi="Times New Roman" w:cs="Times New Roman"/>
        </w:rPr>
        <w:t>PL</w:t>
      </w:r>
      <w:r w:rsidR="0000397C" w:rsidRPr="00BE6A90">
        <w:rPr>
          <w:rFonts w:ascii="Times New Roman" w:hAnsi="Times New Roman" w:cs="Times New Roman"/>
          <w:vertAlign w:val="superscript"/>
        </w:rPr>
        <w:t>2D</w:t>
      </w:r>
      <w:r w:rsidR="0000397C" w:rsidRPr="00BE6A90">
        <w:rPr>
          <w:rFonts w:ascii="Times New Roman" w:hAnsi="Times New Roman" w:cs="Times New Roman"/>
        </w:rPr>
        <w:t>, PL</w:t>
      </w:r>
      <w:r w:rsidR="0000397C" w:rsidRPr="00BE6A90">
        <w:rPr>
          <w:rFonts w:ascii="Times New Roman" w:hAnsi="Times New Roman" w:cs="Times New Roman"/>
          <w:vertAlign w:val="superscript"/>
        </w:rPr>
        <w:t>1D-FWD</w:t>
      </w:r>
      <w:r w:rsidR="0000397C" w:rsidRPr="00BE6A90">
        <w:rPr>
          <w:rFonts w:ascii="Times New Roman" w:hAnsi="Times New Roman" w:cs="Times New Roman"/>
        </w:rPr>
        <w:t>, PL</w:t>
      </w:r>
      <w:r w:rsidR="0000397C" w:rsidRPr="00BE6A90">
        <w:rPr>
          <w:rFonts w:ascii="Times New Roman" w:hAnsi="Times New Roman" w:cs="Times New Roman"/>
          <w:vertAlign w:val="superscript"/>
        </w:rPr>
        <w:t>1D-SIDE</w:t>
      </w:r>
      <w:r w:rsidR="0000397C" w:rsidRPr="00BE6A90">
        <w:rPr>
          <w:rFonts w:ascii="Times New Roman" w:hAnsi="Times New Roman" w:cs="Times New Roman"/>
        </w:rPr>
        <w:t>, PL</w:t>
      </w:r>
      <w:r w:rsidR="0000397C" w:rsidRPr="00BE6A90">
        <w:rPr>
          <w:rFonts w:ascii="Times New Roman" w:hAnsi="Times New Roman" w:cs="Times New Roman"/>
          <w:vertAlign w:val="superscript"/>
        </w:rPr>
        <w:t>1D-UP</w:t>
      </w:r>
      <w:r w:rsidR="0000397C" w:rsidRPr="00BE6A90">
        <w:rPr>
          <w:rFonts w:ascii="Times New Roman" w:hAnsi="Times New Roman" w:cs="Times New Roman"/>
        </w:rPr>
        <w:t xml:space="preserve">, IMA High, IMA Medium, IMA Low, Jumps, </w:t>
      </w:r>
      <w:r w:rsidR="00000C17" w:rsidRPr="00BE6A90">
        <w:rPr>
          <w:rFonts w:ascii="Times New Roman" w:hAnsi="Times New Roman" w:cs="Times New Roman"/>
        </w:rPr>
        <w:t>and Duration, as well as</w:t>
      </w:r>
      <w:r w:rsidRPr="00BE6A90">
        <w:rPr>
          <w:rFonts w:ascii="Times New Roman" w:hAnsi="Times New Roman" w:cs="Times New Roman"/>
        </w:rPr>
        <w:t xml:space="preserve"> </w:t>
      </w:r>
      <w:proofErr w:type="spellStart"/>
      <w:r w:rsidR="00000C17" w:rsidRPr="00BE6A90">
        <w:rPr>
          <w:rFonts w:ascii="Times New Roman" w:hAnsi="Times New Roman" w:cs="Times New Roman"/>
        </w:rPr>
        <w:t>iTL</w:t>
      </w:r>
      <w:proofErr w:type="spellEnd"/>
      <w:r w:rsidR="00000C17" w:rsidRPr="00BE6A90">
        <w:rPr>
          <w:rFonts w:ascii="Times New Roman" w:hAnsi="Times New Roman" w:cs="Times New Roman"/>
        </w:rPr>
        <w:t xml:space="preserve"> parameters, including </w:t>
      </w:r>
      <w:r w:rsidR="0000397C" w:rsidRPr="00BE6A90">
        <w:rPr>
          <w:rFonts w:ascii="Times New Roman" w:hAnsi="Times New Roman" w:cs="Times New Roman"/>
        </w:rPr>
        <w:t xml:space="preserve">Average HR, </w:t>
      </w:r>
      <w:r w:rsidR="00000C17" w:rsidRPr="00BE6A90">
        <w:rPr>
          <w:rFonts w:ascii="Times New Roman" w:hAnsi="Times New Roman" w:cs="Times New Roman"/>
        </w:rPr>
        <w:t>TRIMP, TRIMP/</w:t>
      </w:r>
      <w:r w:rsidR="00511B2C" w:rsidRPr="00BE6A90">
        <w:rPr>
          <w:rFonts w:ascii="Times New Roman" w:hAnsi="Times New Roman" w:cs="Times New Roman"/>
        </w:rPr>
        <w:t>M</w:t>
      </w:r>
      <w:r w:rsidR="00000C17" w:rsidRPr="00BE6A90">
        <w:rPr>
          <w:rFonts w:ascii="Times New Roman" w:hAnsi="Times New Roman" w:cs="Times New Roman"/>
        </w:rPr>
        <w:t xml:space="preserve">in, </w:t>
      </w:r>
      <w:r w:rsidR="0000397C" w:rsidRPr="00BE6A90">
        <w:rPr>
          <w:rFonts w:ascii="Times New Roman" w:hAnsi="Times New Roman" w:cs="Times New Roman"/>
        </w:rPr>
        <w:t>RPE</w:t>
      </w:r>
      <w:r w:rsidR="00000C17" w:rsidRPr="00BE6A90">
        <w:rPr>
          <w:rFonts w:ascii="Times New Roman" w:hAnsi="Times New Roman" w:cs="Times New Roman"/>
        </w:rPr>
        <w:t>,</w:t>
      </w:r>
      <w:r w:rsidR="0000397C" w:rsidRPr="00BE6A90">
        <w:rPr>
          <w:rFonts w:ascii="Times New Roman" w:hAnsi="Times New Roman" w:cs="Times New Roman"/>
        </w:rPr>
        <w:t xml:space="preserve"> and </w:t>
      </w:r>
      <w:proofErr w:type="spellStart"/>
      <w:r w:rsidR="0000397C" w:rsidRPr="00BE6A90">
        <w:rPr>
          <w:rFonts w:ascii="Times New Roman" w:hAnsi="Times New Roman" w:cs="Times New Roman"/>
        </w:rPr>
        <w:t>sRPE</w:t>
      </w:r>
      <w:proofErr w:type="spellEnd"/>
      <w:r w:rsidR="00000C17" w:rsidRPr="00BE6A90">
        <w:rPr>
          <w:rFonts w:ascii="Times New Roman" w:hAnsi="Times New Roman" w:cs="Times New Roman"/>
        </w:rPr>
        <w:t xml:space="preserve"> </w:t>
      </w:r>
      <w:r w:rsidR="007A7C41" w:rsidRPr="00BE6A90">
        <w:rPr>
          <w:rFonts w:ascii="Times New Roman" w:hAnsi="Times New Roman" w:cs="Times New Roman"/>
        </w:rPr>
        <w:t>across time</w:t>
      </w:r>
      <w:r w:rsidRPr="00BE6A90">
        <w:rPr>
          <w:rFonts w:ascii="Times New Roman" w:hAnsi="Times New Roman" w:cs="Times New Roman"/>
        </w:rPr>
        <w:t xml:space="preserve">. </w:t>
      </w:r>
      <w:r w:rsidR="00B408D4" w:rsidRPr="00BE6A90">
        <w:rPr>
          <w:rFonts w:ascii="Times New Roman" w:hAnsi="Times New Roman" w:cs="Times New Roman"/>
        </w:rPr>
        <w:t xml:space="preserve">Additionally, a </w:t>
      </w:r>
      <w:r w:rsidR="00BA3377" w:rsidRPr="00BE6A90">
        <w:rPr>
          <w:rFonts w:ascii="Times New Roman" w:hAnsi="Times New Roman" w:cs="Times New Roman"/>
        </w:rPr>
        <w:t>two</w:t>
      </w:r>
      <w:r w:rsidR="00B408D4" w:rsidRPr="00BE6A90">
        <w:rPr>
          <w:rFonts w:ascii="Times New Roman" w:hAnsi="Times New Roman" w:cs="Times New Roman"/>
        </w:rPr>
        <w:t xml:space="preserve">-way </w:t>
      </w:r>
      <w:r w:rsidR="00B6351E" w:rsidRPr="00BE6A90">
        <w:rPr>
          <w:rFonts w:ascii="Times New Roman" w:hAnsi="Times New Roman" w:cs="Times New Roman"/>
        </w:rPr>
        <w:t xml:space="preserve">(Week [Week 1, Week 4] </w:t>
      </w:r>
      <w:r w:rsidR="00B6351E" w:rsidRPr="00BE6A90">
        <w:rPr>
          <w:rFonts w:ascii="Times New Roman" w:eastAsia="Calibri" w:hAnsi="Times New Roman" w:cs="Times New Roman"/>
        </w:rPr>
        <w:t xml:space="preserve">× Time [Pre-Practice, Post-Practice]) </w:t>
      </w:r>
      <w:r w:rsidR="00B408D4" w:rsidRPr="00BE6A90">
        <w:rPr>
          <w:rFonts w:ascii="Times New Roman" w:hAnsi="Times New Roman" w:cs="Times New Roman"/>
        </w:rPr>
        <w:t>repeated measures (RM) analysis of variance (ANOVA) was used to e</w:t>
      </w:r>
      <w:r w:rsidR="00B6351E" w:rsidRPr="00BE6A90">
        <w:rPr>
          <w:rFonts w:ascii="Times New Roman" w:hAnsi="Times New Roman" w:cs="Times New Roman"/>
        </w:rPr>
        <w:t>xamine</w:t>
      </w:r>
      <w:r w:rsidR="00B408D4" w:rsidRPr="00BE6A90">
        <w:rPr>
          <w:rFonts w:ascii="Times New Roman" w:hAnsi="Times New Roman" w:cs="Times New Roman"/>
        </w:rPr>
        <w:t xml:space="preserve"> </w:t>
      </w:r>
      <w:r w:rsidR="00B6351E" w:rsidRPr="00BE6A90">
        <w:rPr>
          <w:rFonts w:ascii="Times New Roman" w:hAnsi="Times New Roman" w:cs="Times New Roman"/>
        </w:rPr>
        <w:t xml:space="preserve">Week and Time main effects and the interaction between week and time </w:t>
      </w:r>
      <w:r w:rsidR="00B408D4" w:rsidRPr="00BE6A90">
        <w:rPr>
          <w:rFonts w:ascii="Times New Roman" w:hAnsi="Times New Roman" w:cs="Times New Roman"/>
        </w:rPr>
        <w:t xml:space="preserve">in </w:t>
      </w:r>
      <w:r w:rsidR="00B6351E" w:rsidRPr="00BE6A90">
        <w:rPr>
          <w:rFonts w:ascii="Times New Roman" w:hAnsi="Times New Roman" w:cs="Times New Roman"/>
        </w:rPr>
        <w:t xml:space="preserve">the following </w:t>
      </w:r>
      <w:r w:rsidR="00B408D4" w:rsidRPr="00BE6A90">
        <w:rPr>
          <w:rFonts w:ascii="Times New Roman" w:hAnsi="Times New Roman" w:cs="Times New Roman"/>
        </w:rPr>
        <w:t xml:space="preserve">CMJ </w:t>
      </w:r>
      <w:r w:rsidR="007B066E" w:rsidRPr="00BE6A90">
        <w:rPr>
          <w:rFonts w:ascii="Times New Roman" w:hAnsi="Times New Roman" w:cs="Times New Roman"/>
        </w:rPr>
        <w:t>variables</w:t>
      </w:r>
      <w:r w:rsidR="00B6351E" w:rsidRPr="00BE6A90">
        <w:rPr>
          <w:rFonts w:ascii="Times New Roman" w:hAnsi="Times New Roman" w:cs="Times New Roman"/>
        </w:rPr>
        <w:t>:</w:t>
      </w:r>
      <w:r w:rsidR="00A4202E" w:rsidRPr="00BE6A90">
        <w:rPr>
          <w:rFonts w:ascii="Times New Roman" w:hAnsi="Times New Roman" w:cs="Times New Roman"/>
        </w:rPr>
        <w:t xml:space="preserve"> </w:t>
      </w:r>
      <w:proofErr w:type="spellStart"/>
      <w:r w:rsidR="00A4202E" w:rsidRPr="00BE6A90">
        <w:rPr>
          <w:rFonts w:ascii="Times New Roman" w:hAnsi="Times New Roman" w:cs="Times New Roman"/>
        </w:rPr>
        <w:t>ConcMF</w:t>
      </w:r>
      <w:proofErr w:type="spellEnd"/>
      <w:r w:rsidR="00A4202E" w:rsidRPr="00BE6A90">
        <w:rPr>
          <w:rFonts w:ascii="Times New Roman" w:hAnsi="Times New Roman" w:cs="Times New Roman"/>
        </w:rPr>
        <w:t xml:space="preserve">, </w:t>
      </w:r>
      <w:proofErr w:type="spellStart"/>
      <w:r w:rsidR="00A4202E" w:rsidRPr="00BE6A90">
        <w:rPr>
          <w:rFonts w:ascii="Times New Roman" w:hAnsi="Times New Roman" w:cs="Times New Roman"/>
        </w:rPr>
        <w:t>ConcMP</w:t>
      </w:r>
      <w:proofErr w:type="spellEnd"/>
      <w:r w:rsidR="00A4202E" w:rsidRPr="00BE6A90">
        <w:rPr>
          <w:rFonts w:ascii="Times New Roman" w:hAnsi="Times New Roman" w:cs="Times New Roman"/>
        </w:rPr>
        <w:t xml:space="preserve">, </w:t>
      </w:r>
      <w:proofErr w:type="spellStart"/>
      <w:r w:rsidR="00450E02" w:rsidRPr="00BE6A90">
        <w:rPr>
          <w:rFonts w:ascii="Times New Roman" w:hAnsi="Times New Roman" w:cs="Times New Roman"/>
        </w:rPr>
        <w:t>ConcPF</w:t>
      </w:r>
      <w:proofErr w:type="spellEnd"/>
      <w:r w:rsidR="00450E02" w:rsidRPr="00BE6A90">
        <w:rPr>
          <w:rFonts w:ascii="Times New Roman" w:hAnsi="Times New Roman" w:cs="Times New Roman"/>
        </w:rPr>
        <w:t xml:space="preserve">, CT, </w:t>
      </w:r>
      <w:proofErr w:type="spellStart"/>
      <w:r w:rsidR="00450E02" w:rsidRPr="00BE6A90">
        <w:rPr>
          <w:rFonts w:ascii="Times New Roman" w:hAnsi="Times New Roman" w:cs="Times New Roman"/>
        </w:rPr>
        <w:t>EccMBF</w:t>
      </w:r>
      <w:proofErr w:type="spellEnd"/>
      <w:r w:rsidR="00450E02" w:rsidRPr="00BE6A90">
        <w:rPr>
          <w:rFonts w:ascii="Times New Roman" w:hAnsi="Times New Roman" w:cs="Times New Roman"/>
        </w:rPr>
        <w:t xml:space="preserve">, </w:t>
      </w:r>
      <w:proofErr w:type="spellStart"/>
      <w:r w:rsidR="00450E02" w:rsidRPr="00BE6A90">
        <w:rPr>
          <w:rFonts w:ascii="Times New Roman" w:hAnsi="Times New Roman" w:cs="Times New Roman"/>
        </w:rPr>
        <w:t>EccMDecF</w:t>
      </w:r>
      <w:proofErr w:type="spellEnd"/>
      <w:r w:rsidR="00450E02" w:rsidRPr="00BE6A90">
        <w:rPr>
          <w:rFonts w:ascii="Times New Roman" w:hAnsi="Times New Roman" w:cs="Times New Roman"/>
        </w:rPr>
        <w:t xml:space="preserve">, </w:t>
      </w:r>
      <w:proofErr w:type="spellStart"/>
      <w:r w:rsidR="00450E02" w:rsidRPr="00BE6A90">
        <w:rPr>
          <w:rFonts w:ascii="Times New Roman" w:hAnsi="Times New Roman" w:cs="Times New Roman"/>
        </w:rPr>
        <w:t>EccMF</w:t>
      </w:r>
      <w:proofErr w:type="spellEnd"/>
      <w:r w:rsidR="00450E02" w:rsidRPr="00BE6A90">
        <w:rPr>
          <w:rFonts w:ascii="Times New Roman" w:hAnsi="Times New Roman" w:cs="Times New Roman"/>
        </w:rPr>
        <w:t xml:space="preserve">, </w:t>
      </w:r>
      <w:proofErr w:type="spellStart"/>
      <w:r w:rsidR="00450E02" w:rsidRPr="00BE6A90">
        <w:rPr>
          <w:rFonts w:ascii="Times New Roman" w:hAnsi="Times New Roman" w:cs="Times New Roman"/>
        </w:rPr>
        <w:t>EccMP</w:t>
      </w:r>
      <w:proofErr w:type="spellEnd"/>
      <w:r w:rsidR="00450E02" w:rsidRPr="00BE6A90">
        <w:rPr>
          <w:rFonts w:ascii="Times New Roman" w:hAnsi="Times New Roman" w:cs="Times New Roman"/>
        </w:rPr>
        <w:t xml:space="preserve">, </w:t>
      </w:r>
      <w:proofErr w:type="spellStart"/>
      <w:r w:rsidR="00450E02" w:rsidRPr="00BE6A90">
        <w:rPr>
          <w:rFonts w:ascii="Times New Roman" w:hAnsi="Times New Roman" w:cs="Times New Roman"/>
        </w:rPr>
        <w:t>EccPF</w:t>
      </w:r>
      <w:proofErr w:type="spellEnd"/>
      <w:r w:rsidR="00450E02" w:rsidRPr="00BE6A90">
        <w:rPr>
          <w:rFonts w:ascii="Times New Roman" w:hAnsi="Times New Roman" w:cs="Times New Roman"/>
        </w:rPr>
        <w:t xml:space="preserve">, </w:t>
      </w:r>
      <w:proofErr w:type="spellStart"/>
      <w:r w:rsidR="00450E02" w:rsidRPr="00BE6A90">
        <w:rPr>
          <w:rFonts w:ascii="Times New Roman" w:hAnsi="Times New Roman" w:cs="Times New Roman"/>
        </w:rPr>
        <w:t>EccPP</w:t>
      </w:r>
      <w:proofErr w:type="spellEnd"/>
      <w:r w:rsidR="00450E02" w:rsidRPr="00BE6A90">
        <w:rPr>
          <w:rFonts w:ascii="Times New Roman" w:hAnsi="Times New Roman" w:cs="Times New Roman"/>
        </w:rPr>
        <w:t>, FT, FT:CT, F@</w:t>
      </w:r>
      <w:r w:rsidR="001C24BD" w:rsidRPr="00BE6A90">
        <w:rPr>
          <w:rFonts w:ascii="Times New Roman" w:hAnsi="Times New Roman" w:cs="Times New Roman"/>
        </w:rPr>
        <w:t>0</w:t>
      </w:r>
      <w:r w:rsidR="00450E02" w:rsidRPr="00BE6A90">
        <w:rPr>
          <w:rFonts w:ascii="Times New Roman" w:hAnsi="Times New Roman" w:cs="Times New Roman"/>
        </w:rPr>
        <w:t xml:space="preserve">V, JH, PP, </w:t>
      </w:r>
      <w:proofErr w:type="spellStart"/>
      <w:r w:rsidR="00450E02" w:rsidRPr="00BE6A90">
        <w:rPr>
          <w:rFonts w:ascii="Times New Roman" w:hAnsi="Times New Roman" w:cs="Times New Roman"/>
        </w:rPr>
        <w:t>RSI</w:t>
      </w:r>
      <w:r w:rsidR="00450E02" w:rsidRPr="00BE6A90">
        <w:rPr>
          <w:rFonts w:ascii="Times New Roman" w:hAnsi="Times New Roman" w:cs="Times New Roman"/>
          <w:vertAlign w:val="subscript"/>
        </w:rPr>
        <w:t>Mod</w:t>
      </w:r>
      <w:proofErr w:type="spellEnd"/>
      <w:r w:rsidR="00450E02" w:rsidRPr="00BE6A90">
        <w:rPr>
          <w:rFonts w:ascii="Times New Roman" w:hAnsi="Times New Roman" w:cs="Times New Roman"/>
        </w:rPr>
        <w:t>, and Weight</w:t>
      </w:r>
      <w:r w:rsidR="00F47A36" w:rsidRPr="00BE6A90">
        <w:rPr>
          <w:rFonts w:ascii="Times New Roman" w:hAnsi="Times New Roman" w:cs="Times New Roman"/>
        </w:rPr>
        <w:t>. Additionally, the two-way RM ANOVA was used</w:t>
      </w:r>
      <w:r w:rsidR="007B066E" w:rsidRPr="00BE6A90">
        <w:rPr>
          <w:rFonts w:ascii="Times New Roman" w:hAnsi="Times New Roman" w:cs="Times New Roman"/>
        </w:rPr>
        <w:t xml:space="preserve"> </w:t>
      </w:r>
      <w:r w:rsidR="00F47A36" w:rsidRPr="00BE6A90">
        <w:rPr>
          <w:rFonts w:ascii="Times New Roman" w:hAnsi="Times New Roman" w:cs="Times New Roman"/>
        </w:rPr>
        <w:t xml:space="preserve">the evaluate the </w:t>
      </w:r>
      <w:r w:rsidR="007B066E" w:rsidRPr="00BE6A90">
        <w:rPr>
          <w:rFonts w:ascii="Times New Roman" w:hAnsi="Times New Roman" w:cs="Times New Roman"/>
        </w:rPr>
        <w:t xml:space="preserve">salivary </w:t>
      </w:r>
      <w:r w:rsidR="00B408D4" w:rsidRPr="00BE6A90">
        <w:rPr>
          <w:rFonts w:ascii="Times New Roman" w:hAnsi="Times New Roman" w:cs="Times New Roman"/>
        </w:rPr>
        <w:t>endocrine measures</w:t>
      </w:r>
      <w:r w:rsidR="00F47A36" w:rsidRPr="00BE6A90">
        <w:rPr>
          <w:rFonts w:ascii="Times New Roman" w:hAnsi="Times New Roman" w:cs="Times New Roman"/>
        </w:rPr>
        <w:t>,</w:t>
      </w:r>
      <w:r w:rsidR="007B066E" w:rsidRPr="00BE6A90">
        <w:rPr>
          <w:rFonts w:ascii="Times New Roman" w:hAnsi="Times New Roman" w:cs="Times New Roman"/>
        </w:rPr>
        <w:t xml:space="preserve"> including T, C, and T:C ratio.</w:t>
      </w:r>
      <w:r w:rsidR="00B408D4" w:rsidRPr="00BE6A90">
        <w:rPr>
          <w:rFonts w:ascii="Times New Roman" w:hAnsi="Times New Roman" w:cs="Times New Roman"/>
        </w:rPr>
        <w:t xml:space="preserve"> </w:t>
      </w:r>
      <w:r w:rsidRPr="00BE6A90">
        <w:rPr>
          <w:rFonts w:ascii="Times New Roman" w:hAnsi="Times New Roman" w:cs="Times New Roman"/>
        </w:rPr>
        <w:t>Statistical significance w</w:t>
      </w:r>
      <w:r w:rsidR="0064247C" w:rsidRPr="00BE6A90">
        <w:rPr>
          <w:rFonts w:ascii="Times New Roman" w:hAnsi="Times New Roman" w:cs="Times New Roman"/>
        </w:rPr>
        <w:t>as</w:t>
      </w:r>
      <w:r w:rsidRPr="00BE6A90">
        <w:rPr>
          <w:rFonts w:ascii="Times New Roman" w:hAnsi="Times New Roman" w:cs="Times New Roman"/>
        </w:rPr>
        <w:t xml:space="preserve"> set at p ≤ 0.05. </w:t>
      </w:r>
      <w:r w:rsidR="007A7C41" w:rsidRPr="00BE6A90">
        <w:rPr>
          <w:rFonts w:ascii="Times New Roman" w:hAnsi="Times New Roman" w:cs="Times New Roman"/>
        </w:rPr>
        <w:t xml:space="preserve">If a significant interaction </w:t>
      </w:r>
      <w:r w:rsidR="0064247C" w:rsidRPr="00BE6A90">
        <w:rPr>
          <w:rFonts w:ascii="Times New Roman" w:hAnsi="Times New Roman" w:cs="Times New Roman"/>
        </w:rPr>
        <w:t>was</w:t>
      </w:r>
      <w:r w:rsidR="007A7C41" w:rsidRPr="00BE6A90">
        <w:rPr>
          <w:rFonts w:ascii="Times New Roman" w:hAnsi="Times New Roman" w:cs="Times New Roman"/>
        </w:rPr>
        <w:t xml:space="preserve"> determined, a Bonferroni post hoc analysis w</w:t>
      </w:r>
      <w:r w:rsidR="0064247C" w:rsidRPr="00BE6A90">
        <w:rPr>
          <w:rFonts w:ascii="Times New Roman" w:hAnsi="Times New Roman" w:cs="Times New Roman"/>
        </w:rPr>
        <w:t>as</w:t>
      </w:r>
      <w:r w:rsidR="007A7C41" w:rsidRPr="00BE6A90">
        <w:rPr>
          <w:rFonts w:ascii="Times New Roman" w:hAnsi="Times New Roman" w:cs="Times New Roman"/>
        </w:rPr>
        <w:t xml:space="preserve"> performed to isolate simple main effects. When comparing two groups, Cohen’s </w:t>
      </w:r>
      <w:r w:rsidR="007A7C41" w:rsidRPr="00BE6A90">
        <w:rPr>
          <w:rFonts w:ascii="Times New Roman" w:hAnsi="Times New Roman" w:cs="Times New Roman"/>
          <w:i/>
          <w:iCs/>
        </w:rPr>
        <w:t>d</w:t>
      </w:r>
      <w:r w:rsidR="007A7C41" w:rsidRPr="00BE6A90">
        <w:rPr>
          <w:rFonts w:ascii="Times New Roman" w:hAnsi="Times New Roman" w:cs="Times New Roman"/>
        </w:rPr>
        <w:t xml:space="preserve"> </w:t>
      </w:r>
      <w:r w:rsidR="007A7C41" w:rsidRPr="00BE6A90">
        <w:rPr>
          <w:rFonts w:ascii="Times New Roman" w:hAnsi="Times New Roman" w:cs="Times New Roman"/>
        </w:rPr>
        <w:lastRenderedPageBreak/>
        <w:t>(d) effect sizes w</w:t>
      </w:r>
      <w:r w:rsidR="00DA2895" w:rsidRPr="00BE6A90">
        <w:rPr>
          <w:rFonts w:ascii="Times New Roman" w:hAnsi="Times New Roman" w:cs="Times New Roman"/>
        </w:rPr>
        <w:t>ere</w:t>
      </w:r>
      <w:r w:rsidR="007A7C41" w:rsidRPr="00BE6A90">
        <w:rPr>
          <w:rFonts w:ascii="Times New Roman" w:hAnsi="Times New Roman" w:cs="Times New Roman"/>
        </w:rPr>
        <w:t xml:space="preserve"> utilized and interpreted as trivial (0 – 0.19), small (0.20 – 0.49), medium (0.50 – 0.79), and large (≥ 0.80) </w:t>
      </w:r>
      <w:r w:rsidR="007A7C41" w:rsidRPr="00BE6A90">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{"citationID":"iqgzYaTM","properties":{"formattedCitation":"(Cohen, 1992)","plainCitation":"(Cohen, 1992)","noteIndex":0},"citationItems":[{"id":485,"uris":["http://zotero.org/users/6327055/items/FXRXD2FA"],"itemData":{"id":485,"type":"article-journal","abstract":"One possible reason for the continued neglect of statistical power analysis in research in the behavioral sciences is the inaccessibility of or difficulty with the standard material. A convenient, although not comprehensive, presentation of required sample sizes is provided here. Effect-size indexes and conventional values for these are given for operationally defined small, medium, and large effects. The sample sizes necessary for .80 power to detect effects at these levels are tabled for eight standard statistical tests: (a) the difference between independent means, (b) the significance of a product—moment correlation, (c) the difference between independent r s, (d) the sign test, (e) the difference between independent proportions, (f) chi-square tests for goodness of fit and contingency tables, (g) one-way analysis of variance, and (h) the significance of a multiple or multiple partial correlation.","container-title":"Psychological Bulletin","DOI":"https://doi.org/10.1037//0033-2909.112.1.155","issue":"1","language":"en","page":"155-159","source":"Zotero","title":"A power primer","volume":"112","author":[{"family":"Cohen","given":"Jacob"}],"issued":{"date-parts":[["1992"]]}}}],"schema":"https://github.com/citation-style-language/schema/raw/master/csl-citation.json"} </w:instrText>
      </w:r>
      <w:r w:rsidR="007A7C41" w:rsidRPr="00BE6A90">
        <w:rPr>
          <w:rFonts w:ascii="Times New Roman" w:hAnsi="Times New Roman" w:cs="Times New Roman"/>
        </w:rPr>
        <w:fldChar w:fldCharType="separate"/>
      </w:r>
      <w:r w:rsidR="007A7C41" w:rsidRPr="00BE6A90">
        <w:rPr>
          <w:rFonts w:ascii="Times New Roman" w:hAnsi="Times New Roman" w:cs="Times New Roman"/>
          <w:noProof/>
        </w:rPr>
        <w:t>(Cohen, 1992)</w:t>
      </w:r>
      <w:r w:rsidR="007A7C41" w:rsidRPr="00BE6A90">
        <w:rPr>
          <w:rFonts w:ascii="Times New Roman" w:hAnsi="Times New Roman" w:cs="Times New Roman"/>
        </w:rPr>
        <w:fldChar w:fldCharType="end"/>
      </w:r>
      <w:r w:rsidR="007A7C41" w:rsidRPr="00BE6A90">
        <w:rPr>
          <w:rFonts w:ascii="Times New Roman" w:hAnsi="Times New Roman" w:cs="Times New Roman"/>
        </w:rPr>
        <w:t xml:space="preserve">. </w:t>
      </w:r>
      <w:r w:rsidR="009A79FA" w:rsidRPr="00BE6A90">
        <w:rPr>
          <w:rFonts w:ascii="Times New Roman" w:hAnsi="Times New Roman" w:cs="Times New Roman"/>
        </w:rPr>
        <w:t>The int</w:t>
      </w:r>
      <w:r w:rsidR="005C4796" w:rsidRPr="00BE6A90">
        <w:rPr>
          <w:rFonts w:ascii="Times New Roman" w:hAnsi="Times New Roman" w:cs="Times New Roman"/>
        </w:rPr>
        <w:t>ra</w:t>
      </w:r>
      <w:r w:rsidR="009A79FA" w:rsidRPr="00BE6A90">
        <w:rPr>
          <w:rFonts w:ascii="Times New Roman" w:hAnsi="Times New Roman" w:cs="Times New Roman"/>
        </w:rPr>
        <w:t>- and int</w:t>
      </w:r>
      <w:r w:rsidR="005C4796" w:rsidRPr="00BE6A90">
        <w:rPr>
          <w:rFonts w:ascii="Times New Roman" w:hAnsi="Times New Roman" w:cs="Times New Roman"/>
        </w:rPr>
        <w:t>er</w:t>
      </w:r>
      <w:r w:rsidR="009A79FA" w:rsidRPr="00BE6A90">
        <w:rPr>
          <w:rFonts w:ascii="Times New Roman" w:hAnsi="Times New Roman" w:cs="Times New Roman"/>
        </w:rPr>
        <w:t>-assay reliability of the hormone assay duplicates were evaluated using the coefficient of variation (CV%).</w:t>
      </w:r>
      <w:r w:rsidR="008D7C02">
        <w:rPr>
          <w:rFonts w:ascii="Times New Roman" w:hAnsi="Times New Roman" w:cs="Times New Roman"/>
        </w:rPr>
        <w:br w:type="page"/>
      </w:r>
    </w:p>
    <w:p w14:paraId="38BC0CA8" w14:textId="6E6F5C13" w:rsidR="008D7C02" w:rsidRPr="00C942A0" w:rsidRDefault="008D7C02" w:rsidP="00C942A0">
      <w:pPr>
        <w:pStyle w:val="Heading1"/>
        <w:spacing w:line="480" w:lineRule="auto"/>
        <w:jc w:val="center"/>
        <w:rPr>
          <w:rFonts w:ascii="Times New Roman" w:hAnsi="Times New Roman" w:cs="Times New Roman"/>
          <w:b/>
          <w:bCs/>
          <w:color w:val="000000" w:themeColor="text1"/>
          <w:sz w:val="24"/>
          <w:szCs w:val="24"/>
        </w:rPr>
      </w:pPr>
      <w:bookmarkStart w:id="59" w:name="_Toc99267636"/>
      <w:r w:rsidRPr="00C942A0">
        <w:rPr>
          <w:rFonts w:ascii="Times New Roman" w:hAnsi="Times New Roman" w:cs="Times New Roman"/>
          <w:b/>
          <w:bCs/>
          <w:color w:val="000000" w:themeColor="text1"/>
          <w:sz w:val="24"/>
          <w:szCs w:val="24"/>
        </w:rPr>
        <w:lastRenderedPageBreak/>
        <w:t>Chapter IV: Results and Discussion</w:t>
      </w:r>
      <w:bookmarkEnd w:id="59"/>
    </w:p>
    <w:p w14:paraId="2339414D" w14:textId="608C8D63" w:rsidR="00A11956" w:rsidRPr="00D43250" w:rsidRDefault="00A11956" w:rsidP="00F829B9">
      <w:pPr>
        <w:pStyle w:val="Heading2"/>
      </w:pPr>
      <w:bookmarkStart w:id="60" w:name="_Toc99267637"/>
      <w:r w:rsidRPr="00D43250">
        <w:t>Results</w:t>
      </w:r>
      <w:bookmarkEnd w:id="60"/>
    </w:p>
    <w:p w14:paraId="7F271DC8" w14:textId="630BACDE" w:rsidR="008D7C02" w:rsidRPr="00F571A7" w:rsidRDefault="008D7C02" w:rsidP="00D43250">
      <w:pPr>
        <w:pStyle w:val="Heading3"/>
        <w:spacing w:line="480" w:lineRule="auto"/>
        <w:rPr>
          <w:rFonts w:ascii="Times New Roman" w:hAnsi="Times New Roman" w:cs="Times New Roman"/>
          <w:b/>
          <w:bCs/>
          <w:i/>
          <w:iCs/>
          <w:color w:val="000000" w:themeColor="text1"/>
        </w:rPr>
      </w:pPr>
      <w:bookmarkStart w:id="61" w:name="_Toc99267638"/>
      <w:r w:rsidRPr="00F571A7">
        <w:rPr>
          <w:rFonts w:ascii="Times New Roman" w:hAnsi="Times New Roman" w:cs="Times New Roman"/>
          <w:b/>
          <w:bCs/>
          <w:i/>
          <w:iCs/>
          <w:color w:val="000000" w:themeColor="text1"/>
        </w:rPr>
        <w:t>Participant Anthropometrics</w:t>
      </w:r>
      <w:bookmarkEnd w:id="61"/>
    </w:p>
    <w:p w14:paraId="28A7E432" w14:textId="08EA1DD3" w:rsidR="007A0B8F" w:rsidRDefault="008D7C02" w:rsidP="00F829B9">
      <w:pPr>
        <w:spacing w:line="480" w:lineRule="auto"/>
        <w:jc w:val="both"/>
        <w:rPr>
          <w:rFonts w:ascii="Times New Roman" w:hAnsi="Times New Roman" w:cs="Times New Roman"/>
        </w:rPr>
      </w:pPr>
      <w:r>
        <w:rPr>
          <w:rFonts w:ascii="Times New Roman" w:hAnsi="Times New Roman" w:cs="Times New Roman"/>
        </w:rPr>
        <w:tab/>
      </w:r>
      <w:r w:rsidR="008A3B6F">
        <w:rPr>
          <w:rFonts w:ascii="Times New Roman" w:hAnsi="Times New Roman" w:cs="Times New Roman"/>
        </w:rPr>
        <w:t xml:space="preserve">Data was provided from </w:t>
      </w:r>
      <w:r w:rsidR="00511F42">
        <w:rPr>
          <w:rFonts w:ascii="Times New Roman" w:hAnsi="Times New Roman" w:cs="Times New Roman"/>
        </w:rPr>
        <w:t xml:space="preserve">15 </w:t>
      </w:r>
      <w:r>
        <w:rPr>
          <w:rFonts w:ascii="Times New Roman" w:hAnsi="Times New Roman" w:cs="Times New Roman"/>
        </w:rPr>
        <w:t xml:space="preserve">male Division </w:t>
      </w:r>
      <w:r w:rsidR="00E74A24">
        <w:rPr>
          <w:rFonts w:ascii="Times New Roman" w:hAnsi="Times New Roman" w:cs="Times New Roman"/>
        </w:rPr>
        <w:t>I</w:t>
      </w:r>
      <w:r>
        <w:rPr>
          <w:rFonts w:ascii="Times New Roman" w:hAnsi="Times New Roman" w:cs="Times New Roman"/>
        </w:rPr>
        <w:t xml:space="preserve"> NCAA collegiate basketball players (n = 15; age = </w:t>
      </w:r>
      <w:r w:rsidR="00F11F02">
        <w:rPr>
          <w:rFonts w:ascii="Times New Roman" w:hAnsi="Times New Roman" w:cs="Times New Roman"/>
        </w:rPr>
        <w:t>21.1</w:t>
      </w:r>
      <w:r w:rsidR="00097657">
        <w:rPr>
          <w:rFonts w:ascii="Times New Roman" w:hAnsi="Times New Roman" w:cs="Times New Roman"/>
        </w:rPr>
        <w:t xml:space="preserve"> ± 1.7</w:t>
      </w:r>
      <w:r w:rsidR="00F11F02">
        <w:rPr>
          <w:rFonts w:ascii="Times New Roman" w:hAnsi="Times New Roman" w:cs="Times New Roman"/>
        </w:rPr>
        <w:t xml:space="preserve"> </w:t>
      </w:r>
      <w:r>
        <w:rPr>
          <w:rFonts w:ascii="Times New Roman" w:hAnsi="Times New Roman" w:cs="Times New Roman"/>
        </w:rPr>
        <w:t xml:space="preserve">years, height = </w:t>
      </w:r>
      <w:r w:rsidR="00F06041">
        <w:rPr>
          <w:rFonts w:ascii="Times New Roman" w:hAnsi="Times New Roman" w:cs="Times New Roman"/>
        </w:rPr>
        <w:t xml:space="preserve">196.6 </w:t>
      </w:r>
      <w:r w:rsidR="00097657">
        <w:rPr>
          <w:rFonts w:ascii="Times New Roman" w:hAnsi="Times New Roman" w:cs="Times New Roman"/>
        </w:rPr>
        <w:t xml:space="preserve">± 9.1 </w:t>
      </w:r>
      <w:r>
        <w:rPr>
          <w:rFonts w:ascii="Times New Roman" w:hAnsi="Times New Roman" w:cs="Times New Roman"/>
        </w:rPr>
        <w:t xml:space="preserve">cm, </w:t>
      </w:r>
      <w:r w:rsidR="00283592">
        <w:rPr>
          <w:rFonts w:ascii="Times New Roman" w:hAnsi="Times New Roman" w:cs="Times New Roman"/>
        </w:rPr>
        <w:t xml:space="preserve">body </w:t>
      </w:r>
      <w:r>
        <w:rPr>
          <w:rFonts w:ascii="Times New Roman" w:hAnsi="Times New Roman" w:cs="Times New Roman"/>
        </w:rPr>
        <w:t xml:space="preserve">mass = </w:t>
      </w:r>
      <w:r w:rsidR="00F06041">
        <w:rPr>
          <w:rFonts w:ascii="Times New Roman" w:hAnsi="Times New Roman" w:cs="Times New Roman"/>
        </w:rPr>
        <w:t>92.7</w:t>
      </w:r>
      <w:r w:rsidR="00097657">
        <w:rPr>
          <w:rFonts w:ascii="Times New Roman" w:hAnsi="Times New Roman" w:cs="Times New Roman"/>
        </w:rPr>
        <w:t xml:space="preserve"> ± 10.1</w:t>
      </w:r>
      <w:r w:rsidR="00F06041">
        <w:rPr>
          <w:rFonts w:ascii="Times New Roman" w:hAnsi="Times New Roman" w:cs="Times New Roman"/>
        </w:rPr>
        <w:t xml:space="preserve"> </w:t>
      </w:r>
      <w:r>
        <w:rPr>
          <w:rFonts w:ascii="Times New Roman" w:hAnsi="Times New Roman" w:cs="Times New Roman"/>
        </w:rPr>
        <w:t>kg) in this retrospective study</w:t>
      </w:r>
      <w:r w:rsidR="0043647D">
        <w:rPr>
          <w:rFonts w:ascii="Times New Roman" w:hAnsi="Times New Roman" w:cs="Times New Roman"/>
        </w:rPr>
        <w:t>.</w:t>
      </w:r>
      <w:r w:rsidR="00511F42">
        <w:rPr>
          <w:rFonts w:ascii="Times New Roman" w:hAnsi="Times New Roman" w:cs="Times New Roman"/>
        </w:rPr>
        <w:t xml:space="preserve"> </w:t>
      </w:r>
      <w:r w:rsidR="0043647D">
        <w:rPr>
          <w:rFonts w:ascii="Times New Roman" w:hAnsi="Times New Roman" w:cs="Times New Roman"/>
        </w:rPr>
        <w:t>H</w:t>
      </w:r>
      <w:r w:rsidR="00511F42">
        <w:rPr>
          <w:rFonts w:ascii="Times New Roman" w:hAnsi="Times New Roman" w:cs="Times New Roman"/>
        </w:rPr>
        <w:t xml:space="preserve">owever, </w:t>
      </w:r>
      <w:r w:rsidR="00511F42" w:rsidRPr="00BF1B8B">
        <w:rPr>
          <w:rFonts w:ascii="Times New Roman" w:hAnsi="Times New Roman" w:cs="Times New Roman"/>
        </w:rPr>
        <w:t>o</w:t>
      </w:r>
      <w:r w:rsidR="002246C5" w:rsidRPr="00BF1B8B">
        <w:rPr>
          <w:rFonts w:ascii="Times New Roman" w:hAnsi="Times New Roman" w:cs="Times New Roman"/>
        </w:rPr>
        <w:t xml:space="preserve">f the 15 participants, </w:t>
      </w:r>
      <w:r w:rsidR="00446A26">
        <w:rPr>
          <w:rFonts w:ascii="Times New Roman" w:hAnsi="Times New Roman" w:cs="Times New Roman"/>
        </w:rPr>
        <w:t>a mix of different participants missed a variety of</w:t>
      </w:r>
      <w:r w:rsidR="00BB7C4C">
        <w:rPr>
          <w:rFonts w:ascii="Times New Roman" w:hAnsi="Times New Roman" w:cs="Times New Roman"/>
        </w:rPr>
        <w:t xml:space="preserve"> time points </w:t>
      </w:r>
      <w:r w:rsidR="00446A26">
        <w:rPr>
          <w:rFonts w:ascii="Times New Roman" w:hAnsi="Times New Roman" w:cs="Times New Roman"/>
        </w:rPr>
        <w:t xml:space="preserve">within the </w:t>
      </w:r>
      <w:r w:rsidR="00BB7C4C">
        <w:rPr>
          <w:rFonts w:ascii="Times New Roman" w:hAnsi="Times New Roman" w:cs="Times New Roman"/>
        </w:rPr>
        <w:t xml:space="preserve">variables of interest with </w:t>
      </w:r>
      <w:r w:rsidR="002246C5" w:rsidRPr="00BF1B8B">
        <w:rPr>
          <w:rFonts w:ascii="Times New Roman" w:hAnsi="Times New Roman" w:cs="Times New Roman"/>
        </w:rPr>
        <w:t xml:space="preserve">only </w:t>
      </w:r>
      <w:r w:rsidR="003449EA" w:rsidRPr="00BF1B8B">
        <w:rPr>
          <w:rFonts w:ascii="Times New Roman" w:hAnsi="Times New Roman" w:cs="Times New Roman"/>
        </w:rPr>
        <w:t xml:space="preserve">14 participants included in </w:t>
      </w:r>
      <w:proofErr w:type="spellStart"/>
      <w:r w:rsidR="003449EA" w:rsidRPr="00BF1B8B">
        <w:rPr>
          <w:rFonts w:ascii="Times New Roman" w:hAnsi="Times New Roman" w:cs="Times New Roman"/>
        </w:rPr>
        <w:t>eTL</w:t>
      </w:r>
      <w:proofErr w:type="spellEnd"/>
      <w:r w:rsidR="003449EA" w:rsidRPr="00BF1B8B">
        <w:rPr>
          <w:rFonts w:ascii="Times New Roman" w:hAnsi="Times New Roman" w:cs="Times New Roman"/>
        </w:rPr>
        <w:t xml:space="preserve"> data, </w:t>
      </w:r>
      <w:r w:rsidR="002246C5" w:rsidRPr="00BF1B8B">
        <w:rPr>
          <w:rFonts w:ascii="Times New Roman" w:hAnsi="Times New Roman" w:cs="Times New Roman"/>
        </w:rPr>
        <w:t>13 in saliva</w:t>
      </w:r>
      <w:r w:rsidR="00935BBC" w:rsidRPr="00BF1B8B">
        <w:rPr>
          <w:rFonts w:ascii="Times New Roman" w:hAnsi="Times New Roman" w:cs="Times New Roman"/>
        </w:rPr>
        <w:t>ry endocrine measures</w:t>
      </w:r>
      <w:r w:rsidR="00BF1B8B" w:rsidRPr="00BF1B8B">
        <w:rPr>
          <w:rFonts w:ascii="Times New Roman" w:hAnsi="Times New Roman" w:cs="Times New Roman"/>
        </w:rPr>
        <w:t xml:space="preserve"> data</w:t>
      </w:r>
      <w:r w:rsidR="002246C5" w:rsidRPr="00BF1B8B">
        <w:rPr>
          <w:rFonts w:ascii="Times New Roman" w:hAnsi="Times New Roman" w:cs="Times New Roman"/>
        </w:rPr>
        <w:t>,</w:t>
      </w:r>
      <w:r w:rsidR="003449EA" w:rsidRPr="00BF1B8B">
        <w:rPr>
          <w:rFonts w:ascii="Times New Roman" w:hAnsi="Times New Roman" w:cs="Times New Roman"/>
        </w:rPr>
        <w:t xml:space="preserve"> 13 in CMJ</w:t>
      </w:r>
      <w:r w:rsidR="00BF1B8B" w:rsidRPr="00BF1B8B">
        <w:rPr>
          <w:rFonts w:ascii="Times New Roman" w:hAnsi="Times New Roman" w:cs="Times New Roman"/>
        </w:rPr>
        <w:t xml:space="preserve"> data</w:t>
      </w:r>
      <w:r w:rsidR="003449EA" w:rsidRPr="00BF1B8B">
        <w:rPr>
          <w:rFonts w:ascii="Times New Roman" w:hAnsi="Times New Roman" w:cs="Times New Roman"/>
        </w:rPr>
        <w:t>,</w:t>
      </w:r>
      <w:r w:rsidR="00BF1B8B" w:rsidRPr="00BF1B8B">
        <w:rPr>
          <w:rFonts w:ascii="Times New Roman" w:hAnsi="Times New Roman" w:cs="Times New Roman"/>
        </w:rPr>
        <w:t xml:space="preserve"> </w:t>
      </w:r>
      <w:r w:rsidR="009D6678" w:rsidRPr="00BF1B8B">
        <w:rPr>
          <w:rFonts w:ascii="Times New Roman" w:hAnsi="Times New Roman" w:cs="Times New Roman"/>
        </w:rPr>
        <w:t>1</w:t>
      </w:r>
      <w:r w:rsidR="00BF1B8B">
        <w:rPr>
          <w:rFonts w:ascii="Times New Roman" w:hAnsi="Times New Roman" w:cs="Times New Roman"/>
        </w:rPr>
        <w:t xml:space="preserve">4 in the subjective </w:t>
      </w:r>
      <w:proofErr w:type="spellStart"/>
      <w:r w:rsidR="009D6678" w:rsidRPr="00BF1B8B">
        <w:rPr>
          <w:rFonts w:ascii="Times New Roman" w:hAnsi="Times New Roman" w:cs="Times New Roman"/>
        </w:rPr>
        <w:t>iTL</w:t>
      </w:r>
      <w:proofErr w:type="spellEnd"/>
      <w:r w:rsidR="00BF1B8B" w:rsidRPr="00BF1B8B">
        <w:rPr>
          <w:rFonts w:ascii="Times New Roman" w:hAnsi="Times New Roman" w:cs="Times New Roman"/>
        </w:rPr>
        <w:t xml:space="preserve"> data</w:t>
      </w:r>
      <w:r w:rsidR="00BF1B8B">
        <w:rPr>
          <w:rFonts w:ascii="Times New Roman" w:hAnsi="Times New Roman" w:cs="Times New Roman"/>
        </w:rPr>
        <w:t xml:space="preserve">, and 11 in the objective </w:t>
      </w:r>
      <w:proofErr w:type="spellStart"/>
      <w:r w:rsidR="00BF1B8B">
        <w:rPr>
          <w:rFonts w:ascii="Times New Roman" w:hAnsi="Times New Roman" w:cs="Times New Roman"/>
        </w:rPr>
        <w:t>iTL</w:t>
      </w:r>
      <w:proofErr w:type="spellEnd"/>
      <w:r w:rsidR="00BF1B8B">
        <w:rPr>
          <w:rFonts w:ascii="Times New Roman" w:hAnsi="Times New Roman" w:cs="Times New Roman"/>
        </w:rPr>
        <w:t xml:space="preserve"> data</w:t>
      </w:r>
      <w:r w:rsidR="00BB7C4C">
        <w:rPr>
          <w:rFonts w:ascii="Times New Roman" w:hAnsi="Times New Roman" w:cs="Times New Roman"/>
        </w:rPr>
        <w:t>.</w:t>
      </w:r>
    </w:p>
    <w:p w14:paraId="465EC901" w14:textId="737B530C" w:rsidR="0071743B" w:rsidRPr="00F571A7" w:rsidRDefault="0071743B" w:rsidP="00F829B9">
      <w:pPr>
        <w:pStyle w:val="Heading2"/>
      </w:pPr>
      <w:bookmarkStart w:id="62" w:name="_Toc99267639"/>
      <w:r w:rsidRPr="00F571A7">
        <w:t>Training Loads During the Preseason Training Phase</w:t>
      </w:r>
      <w:bookmarkEnd w:id="62"/>
    </w:p>
    <w:p w14:paraId="4473AB59" w14:textId="50734195" w:rsidR="0071743B" w:rsidRPr="000D387D" w:rsidRDefault="0071743B" w:rsidP="000D387D">
      <w:pPr>
        <w:spacing w:line="480" w:lineRule="auto"/>
      </w:pPr>
      <w:bookmarkStart w:id="63" w:name="_Toc99267640"/>
      <w:r w:rsidRPr="000D387D">
        <w:rPr>
          <w:rStyle w:val="Heading3Char"/>
          <w:rFonts w:ascii="Times New Roman" w:hAnsi="Times New Roman" w:cs="Times New Roman"/>
          <w:b/>
          <w:bCs/>
          <w:i/>
          <w:iCs/>
          <w:color w:val="000000" w:themeColor="text1"/>
        </w:rPr>
        <w:t>External Training Load</w:t>
      </w:r>
      <w:bookmarkEnd w:id="63"/>
      <w:r w:rsidRPr="000D387D">
        <w:rPr>
          <w:rFonts w:ascii="Times New Roman" w:hAnsi="Times New Roman" w:cs="Times New Roman"/>
          <w:b/>
          <w:bCs/>
          <w:i/>
          <w:iCs/>
        </w:rPr>
        <w:t>:</w:t>
      </w:r>
    </w:p>
    <w:p w14:paraId="24F2A3B4" w14:textId="2C8FB157" w:rsidR="001C7453" w:rsidRDefault="0071743B" w:rsidP="00F829B9">
      <w:pPr>
        <w:spacing w:line="480" w:lineRule="auto"/>
        <w:jc w:val="both"/>
        <w:rPr>
          <w:rFonts w:ascii="Times New Roman" w:hAnsi="Times New Roman" w:cs="Times New Roman"/>
        </w:rPr>
      </w:pPr>
      <w:r>
        <w:rPr>
          <w:rFonts w:ascii="Times New Roman" w:hAnsi="Times New Roman" w:cs="Times New Roman"/>
        </w:rPr>
        <w:tab/>
      </w:r>
      <w:r w:rsidR="00DB036C">
        <w:rPr>
          <w:rFonts w:ascii="Times New Roman" w:hAnsi="Times New Roman" w:cs="Times New Roman"/>
        </w:rPr>
        <w:t xml:space="preserve">Data from 14 participants were included in the </w:t>
      </w:r>
      <w:proofErr w:type="spellStart"/>
      <w:r w:rsidR="00DB036C">
        <w:rPr>
          <w:rFonts w:ascii="Times New Roman" w:hAnsi="Times New Roman" w:cs="Times New Roman"/>
        </w:rPr>
        <w:t>e</w:t>
      </w:r>
      <w:r w:rsidR="004E73A3">
        <w:rPr>
          <w:rFonts w:ascii="Times New Roman" w:hAnsi="Times New Roman" w:cs="Times New Roman"/>
        </w:rPr>
        <w:t>TL</w:t>
      </w:r>
      <w:proofErr w:type="spellEnd"/>
      <w:r w:rsidR="004E73A3">
        <w:rPr>
          <w:rFonts w:ascii="Times New Roman" w:hAnsi="Times New Roman" w:cs="Times New Roman"/>
        </w:rPr>
        <w:t xml:space="preserve"> data</w:t>
      </w:r>
      <w:r w:rsidR="00DB036C">
        <w:rPr>
          <w:rFonts w:ascii="Times New Roman" w:hAnsi="Times New Roman" w:cs="Times New Roman"/>
        </w:rPr>
        <w:t xml:space="preserve"> analysis, as one participant was excluded du</w:t>
      </w:r>
      <w:r w:rsidR="0043647D">
        <w:rPr>
          <w:rFonts w:ascii="Times New Roman" w:hAnsi="Times New Roman" w:cs="Times New Roman"/>
        </w:rPr>
        <w:t xml:space="preserve">e to </w:t>
      </w:r>
      <w:r w:rsidR="00DB036C">
        <w:rPr>
          <w:rFonts w:ascii="Times New Roman" w:hAnsi="Times New Roman" w:cs="Times New Roman"/>
        </w:rPr>
        <w:t xml:space="preserve">missing </w:t>
      </w:r>
      <w:r w:rsidR="0043647D">
        <w:rPr>
          <w:rFonts w:ascii="Times New Roman" w:hAnsi="Times New Roman" w:cs="Times New Roman"/>
        </w:rPr>
        <w:t>data</w:t>
      </w:r>
      <w:r w:rsidR="00DB036C">
        <w:rPr>
          <w:rFonts w:ascii="Times New Roman" w:hAnsi="Times New Roman" w:cs="Times New Roman"/>
        </w:rPr>
        <w:t xml:space="preserve">. </w:t>
      </w:r>
      <w:r>
        <w:rPr>
          <w:rFonts w:ascii="Times New Roman" w:hAnsi="Times New Roman" w:cs="Times New Roman"/>
        </w:rPr>
        <w:t xml:space="preserve">Descriptive statistics and the results for the comparison between Week 1 and Week 4 of the preseason training phase in parameters involving </w:t>
      </w:r>
      <w:proofErr w:type="spellStart"/>
      <w:r>
        <w:rPr>
          <w:rFonts w:ascii="Times New Roman" w:hAnsi="Times New Roman" w:cs="Times New Roman"/>
        </w:rPr>
        <w:t>eTL</w:t>
      </w:r>
      <w:proofErr w:type="spellEnd"/>
      <w:r>
        <w:rPr>
          <w:rFonts w:ascii="Times New Roman" w:hAnsi="Times New Roman" w:cs="Times New Roman"/>
        </w:rPr>
        <w:t xml:space="preserve"> of the sport specific training sessions are outlined in Table 1. </w:t>
      </w:r>
      <w:r w:rsidR="001C7453">
        <w:rPr>
          <w:rFonts w:ascii="Times New Roman" w:hAnsi="Times New Roman" w:cs="Times New Roman"/>
        </w:rPr>
        <w:t xml:space="preserve">As presented in Figure </w:t>
      </w:r>
      <w:r w:rsidR="008F1439">
        <w:rPr>
          <w:rFonts w:ascii="Times New Roman" w:hAnsi="Times New Roman" w:cs="Times New Roman"/>
        </w:rPr>
        <w:t>3</w:t>
      </w:r>
      <w:r w:rsidR="001C7453">
        <w:rPr>
          <w:rFonts w:ascii="Times New Roman" w:hAnsi="Times New Roman" w:cs="Times New Roman"/>
        </w:rPr>
        <w:t>, t</w:t>
      </w:r>
      <w:r w:rsidR="004E074C">
        <w:rPr>
          <w:rFonts w:ascii="Times New Roman" w:hAnsi="Times New Roman" w:cs="Times New Roman"/>
        </w:rPr>
        <w:t xml:space="preserve">here was a significant difference (p &lt; 0.001, </w:t>
      </w:r>
      <w:r w:rsidR="004E074C">
        <w:rPr>
          <w:rFonts w:ascii="Times New Roman" w:hAnsi="Times New Roman" w:cs="Times New Roman"/>
          <w:i/>
          <w:iCs/>
        </w:rPr>
        <w:t>d</w:t>
      </w:r>
      <w:r w:rsidR="004E074C">
        <w:rPr>
          <w:rFonts w:ascii="Times New Roman" w:hAnsi="Times New Roman" w:cs="Times New Roman"/>
        </w:rPr>
        <w:t xml:space="preserve"> = 4.57) detected in Duration with Week 1 (112.5 (0.02)) exhibiting a shorter training session than Week 4 (135.4 (0.02)). </w:t>
      </w:r>
    </w:p>
    <w:p w14:paraId="1E67414A" w14:textId="7A40663B" w:rsidR="009060D9" w:rsidRDefault="009060D9" w:rsidP="008D7C02">
      <w:pPr>
        <w:spacing w:line="480" w:lineRule="auto"/>
        <w:rPr>
          <w:rFonts w:ascii="Times New Roman" w:hAnsi="Times New Roman" w:cs="Times New Roman"/>
        </w:rPr>
      </w:pPr>
    </w:p>
    <w:p w14:paraId="139EE809" w14:textId="52386BD3" w:rsidR="009060D9" w:rsidRDefault="009060D9" w:rsidP="008D7C02">
      <w:pPr>
        <w:spacing w:line="480" w:lineRule="auto"/>
        <w:rPr>
          <w:rFonts w:ascii="Times New Roman" w:hAnsi="Times New Roman" w:cs="Times New Roman"/>
        </w:rPr>
      </w:pPr>
    </w:p>
    <w:p w14:paraId="598D4D3A" w14:textId="1CD8802A" w:rsidR="009060D9" w:rsidRDefault="009060D9" w:rsidP="008D7C02">
      <w:pPr>
        <w:spacing w:line="480" w:lineRule="auto"/>
        <w:rPr>
          <w:rFonts w:ascii="Times New Roman" w:hAnsi="Times New Roman" w:cs="Times New Roman"/>
        </w:rPr>
      </w:pPr>
    </w:p>
    <w:p w14:paraId="0D992D04" w14:textId="4860AE78" w:rsidR="009060D9" w:rsidRDefault="009060D9" w:rsidP="008D7C02">
      <w:pPr>
        <w:spacing w:line="480" w:lineRule="auto"/>
        <w:rPr>
          <w:rFonts w:ascii="Times New Roman" w:hAnsi="Times New Roman" w:cs="Times New Roman"/>
        </w:rPr>
      </w:pPr>
    </w:p>
    <w:p w14:paraId="40121E64" w14:textId="1224B248" w:rsidR="009060D9" w:rsidRDefault="009060D9" w:rsidP="008D7C02">
      <w:pPr>
        <w:spacing w:line="480" w:lineRule="auto"/>
        <w:rPr>
          <w:rFonts w:ascii="Times New Roman" w:hAnsi="Times New Roman" w:cs="Times New Roman"/>
        </w:rPr>
      </w:pPr>
    </w:p>
    <w:p w14:paraId="4BFE25AD" w14:textId="304E29D2" w:rsidR="009060D9" w:rsidRDefault="009060D9" w:rsidP="008D7C02">
      <w:pPr>
        <w:spacing w:line="480" w:lineRule="auto"/>
        <w:rPr>
          <w:rFonts w:ascii="Times New Roman" w:hAnsi="Times New Roman" w:cs="Times New Roman"/>
        </w:rPr>
      </w:pPr>
    </w:p>
    <w:p w14:paraId="27A0EF04" w14:textId="3C22A02E" w:rsidR="001C7453" w:rsidRDefault="00176291" w:rsidP="00926CE3">
      <w:pPr>
        <w:spacing w:line="480" w:lineRule="auto"/>
        <w:jc w:val="center"/>
        <w:rPr>
          <w:rFonts w:ascii="Times New Roman" w:hAnsi="Times New Roman" w:cs="Times New Roman"/>
        </w:rPr>
      </w:pPr>
      <w:r>
        <w:rPr>
          <w:noProof/>
        </w:rPr>
        <w:lastRenderedPageBreak/>
        <mc:AlternateContent>
          <mc:Choice Requires="wps">
            <w:drawing>
              <wp:anchor distT="0" distB="0" distL="114300" distR="114300" simplePos="0" relativeHeight="251683840" behindDoc="0" locked="0" layoutInCell="1" allowOverlap="1" wp14:anchorId="04349511" wp14:editId="7D8AE356">
                <wp:simplePos x="0" y="0"/>
                <wp:positionH relativeFrom="column">
                  <wp:posOffset>184785</wp:posOffset>
                </wp:positionH>
                <wp:positionV relativeFrom="paragraph">
                  <wp:posOffset>2566373</wp:posOffset>
                </wp:positionV>
                <wp:extent cx="5612765" cy="635"/>
                <wp:effectExtent l="0" t="0" r="635" b="12065"/>
                <wp:wrapTopAndBottom/>
                <wp:docPr id="31" name="Text Box 31"/>
                <wp:cNvGraphicFramePr/>
                <a:graphic xmlns:a="http://schemas.openxmlformats.org/drawingml/2006/main">
                  <a:graphicData uri="http://schemas.microsoft.com/office/word/2010/wordprocessingShape">
                    <wps:wsp>
                      <wps:cNvSpPr txBox="1"/>
                      <wps:spPr>
                        <a:xfrm>
                          <a:off x="0" y="0"/>
                          <a:ext cx="5612765" cy="635"/>
                        </a:xfrm>
                        <a:prstGeom prst="rect">
                          <a:avLst/>
                        </a:prstGeom>
                        <a:solidFill>
                          <a:prstClr val="white"/>
                        </a:solidFill>
                        <a:ln>
                          <a:noFill/>
                        </a:ln>
                      </wps:spPr>
                      <wps:txbx>
                        <w:txbxContent>
                          <w:p w14:paraId="3CA55AEE" w14:textId="491C7410" w:rsidR="00176291" w:rsidRPr="00176291" w:rsidRDefault="00176291" w:rsidP="00176291">
                            <w:pPr>
                              <w:pStyle w:val="Caption"/>
                              <w:jc w:val="center"/>
                              <w:rPr>
                                <w:rFonts w:ascii="Times New Roman" w:hAnsi="Times New Roman"/>
                                <w:sz w:val="20"/>
                                <w:szCs w:val="20"/>
                              </w:rPr>
                            </w:pPr>
                            <w:bookmarkStart w:id="64" w:name="_Toc100670667"/>
                            <w:r w:rsidRPr="00176291">
                              <w:rPr>
                                <w:rFonts w:ascii="Times New Roman" w:hAnsi="Times New Roman"/>
                                <w:sz w:val="20"/>
                                <w:szCs w:val="20"/>
                              </w:rPr>
                              <w:t xml:space="preserve">Figure </w:t>
                            </w:r>
                            <w:r w:rsidRPr="00176291">
                              <w:rPr>
                                <w:rFonts w:ascii="Times New Roman" w:hAnsi="Times New Roman"/>
                                <w:sz w:val="20"/>
                                <w:szCs w:val="20"/>
                              </w:rPr>
                              <w:fldChar w:fldCharType="begin"/>
                            </w:r>
                            <w:r w:rsidRPr="00176291">
                              <w:rPr>
                                <w:rFonts w:ascii="Times New Roman" w:hAnsi="Times New Roman"/>
                                <w:sz w:val="20"/>
                                <w:szCs w:val="20"/>
                              </w:rPr>
                              <w:instrText xml:space="preserve"> SEQ Figure \* ARABIC </w:instrText>
                            </w:r>
                            <w:r w:rsidRPr="00176291">
                              <w:rPr>
                                <w:rFonts w:ascii="Times New Roman" w:hAnsi="Times New Roman"/>
                                <w:sz w:val="20"/>
                                <w:szCs w:val="20"/>
                              </w:rPr>
                              <w:fldChar w:fldCharType="separate"/>
                            </w:r>
                            <w:r w:rsidR="002101E0">
                              <w:rPr>
                                <w:rFonts w:ascii="Times New Roman" w:hAnsi="Times New Roman"/>
                                <w:noProof/>
                                <w:sz w:val="20"/>
                                <w:szCs w:val="20"/>
                              </w:rPr>
                              <w:t>3</w:t>
                            </w:r>
                            <w:r w:rsidRPr="00176291">
                              <w:rPr>
                                <w:rFonts w:ascii="Times New Roman" w:hAnsi="Times New Roman"/>
                                <w:sz w:val="20"/>
                                <w:szCs w:val="20"/>
                              </w:rPr>
                              <w:fldChar w:fldCharType="end"/>
                            </w:r>
                            <w:r w:rsidRPr="00176291">
                              <w:rPr>
                                <w:rFonts w:ascii="Times New Roman" w:hAnsi="Times New Roman"/>
                                <w:sz w:val="20"/>
                                <w:szCs w:val="20"/>
                              </w:rPr>
                              <w:t>. Differences in Duration of Training Between Week</w:t>
                            </w:r>
                            <w:bookmarkEnd w:id="64"/>
                          </w:p>
                          <w:p w14:paraId="5888890E" w14:textId="08FEC591" w:rsidR="00176291" w:rsidRPr="00176291" w:rsidRDefault="00176291" w:rsidP="00176291">
                            <w:pPr>
                              <w:jc w:val="center"/>
                              <w:rPr>
                                <w:rFonts w:ascii="Times New Roman" w:hAnsi="Times New Roman" w:cs="Times New Roman"/>
                                <w:sz w:val="20"/>
                                <w:szCs w:val="20"/>
                                <w:lang w:bidi="en-US"/>
                              </w:rPr>
                            </w:pPr>
                          </w:p>
                          <w:p w14:paraId="30EDF93C" w14:textId="1AB34323" w:rsidR="00176291" w:rsidRPr="00176291" w:rsidRDefault="00176291" w:rsidP="00176291">
                            <w:pPr>
                              <w:jc w:val="center"/>
                              <w:rPr>
                                <w:rFonts w:ascii="Times New Roman" w:hAnsi="Times New Roman" w:cs="Times New Roman"/>
                                <w:sz w:val="20"/>
                                <w:szCs w:val="20"/>
                                <w:lang w:bidi="en-US"/>
                              </w:rPr>
                            </w:pPr>
                            <w:r w:rsidRPr="00176291">
                              <w:rPr>
                                <w:rFonts w:ascii="Times New Roman" w:hAnsi="Times New Roman" w:cs="Times New Roman"/>
                                <w:sz w:val="20"/>
                                <w:szCs w:val="20"/>
                                <w:lang w:bidi="en-US"/>
                              </w:rPr>
                              <w:t xml:space="preserve">Note: Data presented as Mean </w:t>
                            </w:r>
                            <w:r w:rsidRPr="00400EF5">
                              <w:rPr>
                                <w:rFonts w:ascii="Times New Roman" w:hAnsi="Times New Roman" w:cs="Times New Roman"/>
                                <w:sz w:val="20"/>
                                <w:szCs w:val="20"/>
                                <w:lang w:bidi="en-US"/>
                              </w:rPr>
                              <w:t>(Standard Error</w:t>
                            </w:r>
                            <w:r w:rsidRPr="00176291">
                              <w:rPr>
                                <w:rFonts w:ascii="Times New Roman" w:hAnsi="Times New Roman" w:cs="Times New Roman"/>
                                <w:sz w:val="20"/>
                                <w:szCs w:val="20"/>
                                <w:lang w:bidi="en-US"/>
                              </w:rPr>
                              <w:t>); * = Significant Difference between week, set at p ≤ 0.05.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349511" id="Text Box 31" o:spid="_x0000_s1028" type="#_x0000_t202" style="position:absolute;left:0;text-align:left;margin-left:14.55pt;margin-top:202.1pt;width:441.95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" stroked="f">
                <v:textbox style="mso-fit-shape-to-text:t" inset="0,0,0,0">
                  <w:txbxContent>
                    <w:p w14:paraId="3CA55AEE" w14:textId="491C7410" w:rsidR="00176291" w:rsidRPr="00176291" w:rsidRDefault="00176291" w:rsidP="00176291">
                      <w:pPr>
                        <w:pStyle w:val="Caption"/>
                        <w:jc w:val="center"/>
                        <w:rPr>
                          <w:rFonts w:ascii="Times New Roman" w:hAnsi="Times New Roman"/>
                          <w:sz w:val="20"/>
                          <w:szCs w:val="20"/>
                        </w:rPr>
                      </w:pPr>
                      <w:bookmarkStart w:id="67" w:name="_Toc100670667"/>
                      <w:r w:rsidRPr="00176291">
                        <w:rPr>
                          <w:rFonts w:ascii="Times New Roman" w:hAnsi="Times New Roman"/>
                          <w:sz w:val="20"/>
                          <w:szCs w:val="20"/>
                        </w:rPr>
                        <w:t xml:space="preserve">Figure </w:t>
                      </w:r>
                      <w:r w:rsidRPr="00176291">
                        <w:rPr>
                          <w:rFonts w:ascii="Times New Roman" w:hAnsi="Times New Roman"/>
                          <w:sz w:val="20"/>
                          <w:szCs w:val="20"/>
                        </w:rPr>
                        <w:fldChar w:fldCharType="begin"/>
                      </w:r>
                      <w:r w:rsidRPr="00176291">
                        <w:rPr>
                          <w:rFonts w:ascii="Times New Roman" w:hAnsi="Times New Roman"/>
                          <w:sz w:val="20"/>
                          <w:szCs w:val="20"/>
                        </w:rPr>
                        <w:instrText xml:space="preserve"> SEQ Figure \* ARABIC </w:instrText>
                      </w:r>
                      <w:r w:rsidRPr="00176291">
                        <w:rPr>
                          <w:rFonts w:ascii="Times New Roman" w:hAnsi="Times New Roman"/>
                          <w:sz w:val="20"/>
                          <w:szCs w:val="20"/>
                        </w:rPr>
                        <w:fldChar w:fldCharType="separate"/>
                      </w:r>
                      <w:r w:rsidR="002101E0">
                        <w:rPr>
                          <w:rFonts w:ascii="Times New Roman" w:hAnsi="Times New Roman"/>
                          <w:noProof/>
                          <w:sz w:val="20"/>
                          <w:szCs w:val="20"/>
                        </w:rPr>
                        <w:t>3</w:t>
                      </w:r>
                      <w:r w:rsidRPr="00176291">
                        <w:rPr>
                          <w:rFonts w:ascii="Times New Roman" w:hAnsi="Times New Roman"/>
                          <w:sz w:val="20"/>
                          <w:szCs w:val="20"/>
                        </w:rPr>
                        <w:fldChar w:fldCharType="end"/>
                      </w:r>
                      <w:r w:rsidRPr="00176291">
                        <w:rPr>
                          <w:rFonts w:ascii="Times New Roman" w:hAnsi="Times New Roman"/>
                          <w:sz w:val="20"/>
                          <w:szCs w:val="20"/>
                        </w:rPr>
                        <w:t>. Differences in Duration of Training Between Week</w:t>
                      </w:r>
                      <w:bookmarkEnd w:id="67"/>
                    </w:p>
                    <w:p w14:paraId="5888890E" w14:textId="08FEC591" w:rsidR="00176291" w:rsidRPr="00176291" w:rsidRDefault="00176291" w:rsidP="00176291">
                      <w:pPr>
                        <w:jc w:val="center"/>
                        <w:rPr>
                          <w:rFonts w:ascii="Times New Roman" w:hAnsi="Times New Roman" w:cs="Times New Roman"/>
                          <w:sz w:val="20"/>
                          <w:szCs w:val="20"/>
                          <w:lang w:bidi="en-US"/>
                        </w:rPr>
                      </w:pPr>
                    </w:p>
                    <w:p w14:paraId="30EDF93C" w14:textId="1AB34323" w:rsidR="00176291" w:rsidRPr="00176291" w:rsidRDefault="00176291" w:rsidP="00176291">
                      <w:pPr>
                        <w:jc w:val="center"/>
                        <w:rPr>
                          <w:rFonts w:ascii="Times New Roman" w:hAnsi="Times New Roman" w:cs="Times New Roman"/>
                          <w:sz w:val="20"/>
                          <w:szCs w:val="20"/>
                          <w:lang w:bidi="en-US"/>
                        </w:rPr>
                      </w:pPr>
                      <w:r w:rsidRPr="00176291">
                        <w:rPr>
                          <w:rFonts w:ascii="Times New Roman" w:hAnsi="Times New Roman" w:cs="Times New Roman"/>
                          <w:sz w:val="20"/>
                          <w:szCs w:val="20"/>
                          <w:lang w:bidi="en-US"/>
                        </w:rPr>
                        <w:t xml:space="preserve">Note: Data presented as Mean </w:t>
                      </w:r>
                      <w:r w:rsidRPr="00400EF5">
                        <w:rPr>
                          <w:rFonts w:ascii="Times New Roman" w:hAnsi="Times New Roman" w:cs="Times New Roman"/>
                          <w:sz w:val="20"/>
                          <w:szCs w:val="20"/>
                          <w:lang w:bidi="en-US"/>
                        </w:rPr>
                        <w:t>(Standard Error</w:t>
                      </w:r>
                      <w:r w:rsidRPr="00176291">
                        <w:rPr>
                          <w:rFonts w:ascii="Times New Roman" w:hAnsi="Times New Roman" w:cs="Times New Roman"/>
                          <w:sz w:val="20"/>
                          <w:szCs w:val="20"/>
                          <w:lang w:bidi="en-US"/>
                        </w:rPr>
                        <w:t>); * = Significant Difference between week, set at p ≤ 0.05.</w:t>
                      </w:r>
                    </w:p>
                  </w:txbxContent>
                </v:textbox>
                <w10:wrap type="topAndBottom"/>
              </v:shape>
            </w:pict>
          </mc:Fallback>
        </mc:AlternateContent>
      </w:r>
      <w:r w:rsidR="00F975F0">
        <w:rPr>
          <w:rFonts w:ascii="Times New Roman" w:hAnsi="Times New Roman" w:cs="Times New Roman"/>
          <w:noProof/>
        </w:rPr>
        <w:drawing>
          <wp:inline distT="0" distB="0" distL="0" distR="0" wp14:anchorId="71203E51" wp14:editId="3A7C2A8E">
            <wp:extent cx="3706238" cy="2554532"/>
            <wp:effectExtent l="0" t="0" r="2540" b="0"/>
            <wp:docPr id="7" name="Picture 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3856805" cy="2658311"/>
                    </a:xfrm>
                    <a:prstGeom prst="rect">
                      <a:avLst/>
                    </a:prstGeom>
                  </pic:spPr>
                </pic:pic>
              </a:graphicData>
            </a:graphic>
          </wp:inline>
        </w:drawing>
      </w:r>
    </w:p>
    <w:p w14:paraId="291E47FC" w14:textId="51BD5871" w:rsidR="001C7453" w:rsidRDefault="001C7453" w:rsidP="008D7C02">
      <w:pPr>
        <w:spacing w:line="480" w:lineRule="auto"/>
        <w:rPr>
          <w:rFonts w:ascii="Times New Roman" w:hAnsi="Times New Roman" w:cs="Times New Roman"/>
        </w:rPr>
      </w:pPr>
    </w:p>
    <w:p w14:paraId="7353DFAD" w14:textId="6083599B" w:rsidR="001C7453" w:rsidRDefault="0071743B" w:rsidP="00F829B9">
      <w:pPr>
        <w:spacing w:line="480" w:lineRule="auto"/>
        <w:ind w:firstLine="720"/>
        <w:jc w:val="both"/>
        <w:rPr>
          <w:rFonts w:ascii="Times New Roman" w:hAnsi="Times New Roman" w:cs="Times New Roman"/>
        </w:rPr>
      </w:pPr>
      <w:r>
        <w:rPr>
          <w:rFonts w:ascii="Times New Roman" w:hAnsi="Times New Roman" w:cs="Times New Roman"/>
        </w:rPr>
        <w:t xml:space="preserve">There were no significant differences detected </w:t>
      </w:r>
      <w:r w:rsidR="00C14ADD">
        <w:rPr>
          <w:rFonts w:ascii="Times New Roman" w:hAnsi="Times New Roman" w:cs="Times New Roman"/>
        </w:rPr>
        <w:t xml:space="preserve">across time </w:t>
      </w:r>
      <w:r>
        <w:rPr>
          <w:rFonts w:ascii="Times New Roman" w:hAnsi="Times New Roman" w:cs="Times New Roman"/>
        </w:rPr>
        <w:t xml:space="preserve">for any of the </w:t>
      </w:r>
      <w:r w:rsidR="004E074C">
        <w:rPr>
          <w:rFonts w:ascii="Times New Roman" w:hAnsi="Times New Roman" w:cs="Times New Roman"/>
        </w:rPr>
        <w:t xml:space="preserve">other </w:t>
      </w:r>
      <w:proofErr w:type="spellStart"/>
      <w:r>
        <w:rPr>
          <w:rFonts w:ascii="Times New Roman" w:hAnsi="Times New Roman" w:cs="Times New Roman"/>
        </w:rPr>
        <w:t>eTL</w:t>
      </w:r>
      <w:proofErr w:type="spellEnd"/>
      <w:r>
        <w:rPr>
          <w:rFonts w:ascii="Times New Roman" w:hAnsi="Times New Roman" w:cs="Times New Roman"/>
        </w:rPr>
        <w:t xml:space="preserve"> variables</w:t>
      </w:r>
      <w:r w:rsidR="003E1C9A">
        <w:rPr>
          <w:rFonts w:ascii="Times New Roman" w:hAnsi="Times New Roman" w:cs="Times New Roman"/>
        </w:rPr>
        <w:t>, including: PL (</w:t>
      </w:r>
      <w:r w:rsidR="00357F8B">
        <w:rPr>
          <w:rFonts w:ascii="Times New Roman" w:hAnsi="Times New Roman" w:cs="Times New Roman"/>
        </w:rPr>
        <w:t xml:space="preserve">Week 1 = 510.8 (39.1); Week 4 = 523.0 (42.0), </w:t>
      </w:r>
      <w:r w:rsidR="003E1C9A">
        <w:rPr>
          <w:rFonts w:ascii="Times New Roman" w:hAnsi="Times New Roman" w:cs="Times New Roman"/>
        </w:rPr>
        <w:t xml:space="preserve">p = 0.746, </w:t>
      </w:r>
      <w:r w:rsidR="003E1C9A">
        <w:rPr>
          <w:rFonts w:ascii="Times New Roman" w:hAnsi="Times New Roman" w:cs="Times New Roman"/>
          <w:i/>
          <w:iCs/>
        </w:rPr>
        <w:t>d</w:t>
      </w:r>
      <w:r w:rsidR="003E1C9A">
        <w:rPr>
          <w:rFonts w:ascii="Times New Roman" w:hAnsi="Times New Roman" w:cs="Times New Roman"/>
        </w:rPr>
        <w:t xml:space="preserve"> = 0.08), PL/min</w:t>
      </w:r>
      <w:r w:rsidR="0083670E">
        <w:rPr>
          <w:rFonts w:ascii="Times New Roman" w:hAnsi="Times New Roman" w:cs="Times New Roman"/>
        </w:rPr>
        <w:t xml:space="preserve"> (</w:t>
      </w:r>
      <w:r w:rsidR="00357F8B">
        <w:rPr>
          <w:rFonts w:ascii="Times New Roman" w:hAnsi="Times New Roman" w:cs="Times New Roman"/>
        </w:rPr>
        <w:t xml:space="preserve">Week 1 = 4.4 (0.3); Week 4 = 4.1 (0.3), </w:t>
      </w:r>
      <w:r w:rsidR="0083670E">
        <w:rPr>
          <w:rFonts w:ascii="Times New Roman" w:hAnsi="Times New Roman" w:cs="Times New Roman"/>
        </w:rPr>
        <w:t xml:space="preserve">p = </w:t>
      </w:r>
      <w:r w:rsidR="002B35BB">
        <w:rPr>
          <w:rFonts w:ascii="Times New Roman" w:hAnsi="Times New Roman" w:cs="Times New Roman"/>
        </w:rPr>
        <w:t xml:space="preserve">0.192, </w:t>
      </w:r>
      <w:r w:rsidR="002B35BB">
        <w:rPr>
          <w:rFonts w:ascii="Times New Roman" w:hAnsi="Times New Roman" w:cs="Times New Roman"/>
          <w:i/>
          <w:iCs/>
        </w:rPr>
        <w:t>d</w:t>
      </w:r>
      <w:r w:rsidR="002B35BB">
        <w:rPr>
          <w:rFonts w:ascii="Times New Roman" w:hAnsi="Times New Roman" w:cs="Times New Roman"/>
        </w:rPr>
        <w:t xml:space="preserve"> =0.30), </w:t>
      </w:r>
      <w:r w:rsidR="002B35BB" w:rsidRPr="003E1C9A">
        <w:rPr>
          <w:rFonts w:ascii="Times New Roman" w:hAnsi="Times New Roman" w:cs="Times New Roman"/>
        </w:rPr>
        <w:t>PL</w:t>
      </w:r>
      <w:r w:rsidR="002B35BB" w:rsidRPr="003E1C9A">
        <w:rPr>
          <w:rFonts w:ascii="Times New Roman" w:hAnsi="Times New Roman" w:cs="Times New Roman"/>
          <w:vertAlign w:val="superscript"/>
        </w:rPr>
        <w:t>2D</w:t>
      </w:r>
      <w:r w:rsidR="002B35BB">
        <w:rPr>
          <w:rFonts w:ascii="Times New Roman" w:hAnsi="Times New Roman" w:cs="Times New Roman"/>
        </w:rPr>
        <w:t xml:space="preserve"> (</w:t>
      </w:r>
      <w:r w:rsidR="00032815">
        <w:rPr>
          <w:rFonts w:ascii="Times New Roman" w:hAnsi="Times New Roman" w:cs="Times New Roman"/>
        </w:rPr>
        <w:t xml:space="preserve">Week 1 = 336.3 (27.3); Week 4 = </w:t>
      </w:r>
      <w:r w:rsidR="00032815" w:rsidRPr="003E1C9A">
        <w:rPr>
          <w:rFonts w:ascii="Times New Roman" w:hAnsi="Times New Roman" w:cs="Times New Roman"/>
        </w:rPr>
        <w:t>350.4 (27.7)</w:t>
      </w:r>
      <w:r w:rsidR="00032815">
        <w:rPr>
          <w:rFonts w:ascii="Times New Roman" w:hAnsi="Times New Roman" w:cs="Times New Roman"/>
        </w:rPr>
        <w:t xml:space="preserve">, </w:t>
      </w:r>
      <w:r w:rsidR="002B35BB">
        <w:rPr>
          <w:rFonts w:ascii="Times New Roman" w:hAnsi="Times New Roman" w:cs="Times New Roman"/>
        </w:rPr>
        <w:t xml:space="preserve">p = 0.579, </w:t>
      </w:r>
      <w:r w:rsidR="002B35BB">
        <w:rPr>
          <w:rFonts w:ascii="Times New Roman" w:hAnsi="Times New Roman" w:cs="Times New Roman"/>
          <w:i/>
          <w:iCs/>
        </w:rPr>
        <w:t>d</w:t>
      </w:r>
      <w:r w:rsidR="002B35BB">
        <w:rPr>
          <w:rFonts w:ascii="Times New Roman" w:hAnsi="Times New Roman" w:cs="Times New Roman"/>
        </w:rPr>
        <w:t xml:space="preserve"> = 0.14), </w:t>
      </w:r>
      <w:r w:rsidR="002B35BB" w:rsidRPr="003E1C9A">
        <w:rPr>
          <w:rFonts w:ascii="Times New Roman" w:hAnsi="Times New Roman" w:cs="Times New Roman"/>
        </w:rPr>
        <w:t>PL</w:t>
      </w:r>
      <w:r w:rsidR="002B35BB" w:rsidRPr="003E1C9A">
        <w:rPr>
          <w:rFonts w:ascii="Times New Roman" w:hAnsi="Times New Roman" w:cs="Times New Roman"/>
          <w:vertAlign w:val="superscript"/>
        </w:rPr>
        <w:t>1D-FWD</w:t>
      </w:r>
      <w:r w:rsidR="002B35BB">
        <w:rPr>
          <w:rFonts w:ascii="Times New Roman" w:hAnsi="Times New Roman" w:cs="Times New Roman"/>
        </w:rPr>
        <w:t xml:space="preserve"> (</w:t>
      </w:r>
      <w:r w:rsidR="00032815">
        <w:rPr>
          <w:rFonts w:ascii="Times New Roman" w:hAnsi="Times New Roman" w:cs="Times New Roman"/>
        </w:rPr>
        <w:t xml:space="preserve">Week 1 = </w:t>
      </w:r>
      <w:r w:rsidR="00032815" w:rsidRPr="003E1C9A">
        <w:rPr>
          <w:rFonts w:ascii="Times New Roman" w:hAnsi="Times New Roman" w:cs="Times New Roman"/>
        </w:rPr>
        <w:t>207.2 (17.9)</w:t>
      </w:r>
      <w:r w:rsidR="00032815">
        <w:rPr>
          <w:rFonts w:ascii="Times New Roman" w:hAnsi="Times New Roman" w:cs="Times New Roman"/>
        </w:rPr>
        <w:t xml:space="preserve">; Week 4 = </w:t>
      </w:r>
      <w:r w:rsidR="00032815" w:rsidRPr="003E1C9A">
        <w:rPr>
          <w:rFonts w:ascii="Times New Roman" w:hAnsi="Times New Roman" w:cs="Times New Roman"/>
        </w:rPr>
        <w:t>212.1 (17.1)</w:t>
      </w:r>
      <w:r w:rsidR="00032815">
        <w:rPr>
          <w:rFonts w:ascii="Times New Roman" w:hAnsi="Times New Roman" w:cs="Times New Roman"/>
        </w:rPr>
        <w:t xml:space="preserve">, </w:t>
      </w:r>
      <w:r w:rsidR="002B35BB">
        <w:rPr>
          <w:rFonts w:ascii="Times New Roman" w:hAnsi="Times New Roman" w:cs="Times New Roman"/>
        </w:rPr>
        <w:t xml:space="preserve">p = 0.757, </w:t>
      </w:r>
      <w:r w:rsidR="002B35BB">
        <w:rPr>
          <w:rFonts w:ascii="Times New Roman" w:hAnsi="Times New Roman" w:cs="Times New Roman"/>
          <w:i/>
          <w:iCs/>
        </w:rPr>
        <w:t>d</w:t>
      </w:r>
      <w:r w:rsidR="002B35BB">
        <w:rPr>
          <w:rFonts w:ascii="Times New Roman" w:hAnsi="Times New Roman" w:cs="Times New Roman"/>
        </w:rPr>
        <w:t xml:space="preserve"> = 0.07), </w:t>
      </w:r>
      <w:r w:rsidR="002B35BB" w:rsidRPr="003E1C9A">
        <w:rPr>
          <w:rFonts w:ascii="Times New Roman" w:hAnsi="Times New Roman" w:cs="Times New Roman"/>
        </w:rPr>
        <w:t>PL</w:t>
      </w:r>
      <w:r w:rsidR="002B35BB" w:rsidRPr="003E1C9A">
        <w:rPr>
          <w:rFonts w:ascii="Times New Roman" w:hAnsi="Times New Roman" w:cs="Times New Roman"/>
          <w:vertAlign w:val="superscript"/>
        </w:rPr>
        <w:t>1D-SIDE</w:t>
      </w:r>
      <w:r w:rsidR="002B35BB">
        <w:rPr>
          <w:rFonts w:ascii="Times New Roman" w:hAnsi="Times New Roman" w:cs="Times New Roman"/>
        </w:rPr>
        <w:t xml:space="preserve"> (</w:t>
      </w:r>
      <w:r w:rsidR="001F7632">
        <w:rPr>
          <w:rFonts w:ascii="Times New Roman" w:hAnsi="Times New Roman" w:cs="Times New Roman"/>
        </w:rPr>
        <w:t xml:space="preserve">Week 1 = </w:t>
      </w:r>
      <w:r w:rsidR="001F7632" w:rsidRPr="003E1C9A">
        <w:rPr>
          <w:rFonts w:ascii="Times New Roman" w:hAnsi="Times New Roman" w:cs="Times New Roman"/>
        </w:rPr>
        <w:t>221.0 (17.2)</w:t>
      </w:r>
      <w:r w:rsidR="001F7632">
        <w:rPr>
          <w:rFonts w:ascii="Times New Roman" w:hAnsi="Times New Roman" w:cs="Times New Roman"/>
        </w:rPr>
        <w:t xml:space="preserve">; Week 4 = </w:t>
      </w:r>
      <w:r w:rsidR="001F7632" w:rsidRPr="003E1C9A">
        <w:rPr>
          <w:rFonts w:ascii="Times New Roman" w:hAnsi="Times New Roman" w:cs="Times New Roman"/>
        </w:rPr>
        <w:t>234.2 (18.3)</w:t>
      </w:r>
      <w:r w:rsidR="001F7632">
        <w:rPr>
          <w:rFonts w:ascii="Times New Roman" w:hAnsi="Times New Roman" w:cs="Times New Roman"/>
        </w:rPr>
        <w:t xml:space="preserve">, </w:t>
      </w:r>
      <w:r w:rsidR="002B35BB">
        <w:rPr>
          <w:rFonts w:ascii="Times New Roman" w:hAnsi="Times New Roman" w:cs="Times New Roman"/>
        </w:rPr>
        <w:t xml:space="preserve">p = 0.433, </w:t>
      </w:r>
      <w:r w:rsidR="002B35BB">
        <w:rPr>
          <w:rFonts w:ascii="Times New Roman" w:hAnsi="Times New Roman" w:cs="Times New Roman"/>
          <w:i/>
          <w:iCs/>
        </w:rPr>
        <w:t>d</w:t>
      </w:r>
      <w:r w:rsidR="002B35BB">
        <w:rPr>
          <w:rFonts w:ascii="Times New Roman" w:hAnsi="Times New Roman" w:cs="Times New Roman"/>
        </w:rPr>
        <w:t xml:space="preserve"> = 0.20), </w:t>
      </w:r>
      <w:r w:rsidR="002B35BB" w:rsidRPr="003E1C9A">
        <w:rPr>
          <w:rFonts w:ascii="Times New Roman" w:hAnsi="Times New Roman" w:cs="Times New Roman"/>
        </w:rPr>
        <w:t>PL</w:t>
      </w:r>
      <w:r w:rsidR="002B35BB" w:rsidRPr="003E1C9A">
        <w:rPr>
          <w:rFonts w:ascii="Times New Roman" w:hAnsi="Times New Roman" w:cs="Times New Roman"/>
          <w:vertAlign w:val="superscript"/>
        </w:rPr>
        <w:t>1D-UP</w:t>
      </w:r>
      <w:r w:rsidR="002B35BB">
        <w:rPr>
          <w:rFonts w:ascii="Times New Roman" w:hAnsi="Times New Roman" w:cs="Times New Roman"/>
        </w:rPr>
        <w:t xml:space="preserve"> (</w:t>
      </w:r>
      <w:r w:rsidR="001F7632">
        <w:rPr>
          <w:rFonts w:ascii="Times New Roman" w:hAnsi="Times New Roman" w:cs="Times New Roman"/>
        </w:rPr>
        <w:t xml:space="preserve">Week 1 = </w:t>
      </w:r>
      <w:r w:rsidR="001F7632" w:rsidRPr="003E1C9A">
        <w:rPr>
          <w:rFonts w:ascii="Times New Roman" w:hAnsi="Times New Roman" w:cs="Times New Roman"/>
        </w:rPr>
        <w:t>326.5 (24.1)</w:t>
      </w:r>
      <w:r w:rsidR="001F7632">
        <w:rPr>
          <w:rFonts w:ascii="Times New Roman" w:hAnsi="Times New Roman" w:cs="Times New Roman"/>
        </w:rPr>
        <w:t xml:space="preserve">; Week 4 = </w:t>
      </w:r>
      <w:r w:rsidR="001F7632" w:rsidRPr="003E1C9A">
        <w:rPr>
          <w:rFonts w:ascii="Times New Roman" w:hAnsi="Times New Roman" w:cs="Times New Roman"/>
        </w:rPr>
        <w:t>327.5 (27.1)</w:t>
      </w:r>
      <w:r w:rsidR="001F7632">
        <w:rPr>
          <w:rFonts w:ascii="Times New Roman" w:hAnsi="Times New Roman" w:cs="Times New Roman"/>
        </w:rPr>
        <w:t xml:space="preserve">, </w:t>
      </w:r>
      <w:r w:rsidR="002B35BB">
        <w:rPr>
          <w:rFonts w:ascii="Times New Roman" w:hAnsi="Times New Roman" w:cs="Times New Roman"/>
        </w:rPr>
        <w:t xml:space="preserve">p = 0.965, </w:t>
      </w:r>
      <w:r w:rsidR="002B35BB">
        <w:rPr>
          <w:rFonts w:ascii="Times New Roman" w:hAnsi="Times New Roman" w:cs="Times New Roman"/>
          <w:i/>
          <w:iCs/>
        </w:rPr>
        <w:t>d</w:t>
      </w:r>
      <w:r w:rsidR="002B35BB">
        <w:rPr>
          <w:rFonts w:ascii="Times New Roman" w:hAnsi="Times New Roman" w:cs="Times New Roman"/>
        </w:rPr>
        <w:t xml:space="preserve"> = </w:t>
      </w:r>
      <w:r w:rsidR="00833995">
        <w:rPr>
          <w:rFonts w:ascii="Times New Roman" w:hAnsi="Times New Roman" w:cs="Times New Roman"/>
        </w:rPr>
        <w:t>0.01)</w:t>
      </w:r>
      <w:r w:rsidR="002B35BB">
        <w:rPr>
          <w:rFonts w:ascii="Times New Roman" w:hAnsi="Times New Roman" w:cs="Times New Roman"/>
        </w:rPr>
        <w:t xml:space="preserve">, </w:t>
      </w:r>
      <w:r w:rsidR="002B35BB" w:rsidRPr="003E1C9A">
        <w:rPr>
          <w:rFonts w:ascii="Times New Roman" w:hAnsi="Times New Roman" w:cs="Times New Roman"/>
        </w:rPr>
        <w:t>IMA</w:t>
      </w:r>
      <w:r w:rsidR="00884989">
        <w:rPr>
          <w:rFonts w:ascii="Times New Roman" w:hAnsi="Times New Roman" w:cs="Times New Roman"/>
        </w:rPr>
        <w:t xml:space="preserve"> </w:t>
      </w:r>
      <w:r w:rsidR="002B35BB" w:rsidRPr="003E1C9A">
        <w:rPr>
          <w:rFonts w:ascii="Times New Roman" w:hAnsi="Times New Roman" w:cs="Times New Roman"/>
        </w:rPr>
        <w:t>High</w:t>
      </w:r>
      <w:r w:rsidR="002B35BB">
        <w:rPr>
          <w:rFonts w:ascii="Times New Roman" w:hAnsi="Times New Roman" w:cs="Times New Roman"/>
        </w:rPr>
        <w:t xml:space="preserve"> (</w:t>
      </w:r>
      <w:r w:rsidR="001F7632">
        <w:rPr>
          <w:rFonts w:ascii="Times New Roman" w:hAnsi="Times New Roman" w:cs="Times New Roman"/>
        </w:rPr>
        <w:t xml:space="preserve">Week 1 = </w:t>
      </w:r>
      <w:r w:rsidR="001F7632" w:rsidRPr="003E1C9A">
        <w:rPr>
          <w:rFonts w:ascii="Times New Roman" w:hAnsi="Times New Roman" w:cs="Times New Roman"/>
        </w:rPr>
        <w:t>55.9 (6.8)</w:t>
      </w:r>
      <w:r w:rsidR="001F7632">
        <w:rPr>
          <w:rFonts w:ascii="Times New Roman" w:hAnsi="Times New Roman" w:cs="Times New Roman"/>
        </w:rPr>
        <w:t xml:space="preserve">; Week 4 = </w:t>
      </w:r>
      <w:r w:rsidR="001F7632" w:rsidRPr="003E1C9A">
        <w:rPr>
          <w:rFonts w:ascii="Times New Roman" w:hAnsi="Times New Roman" w:cs="Times New Roman"/>
        </w:rPr>
        <w:t>61.6 (10.2)</w:t>
      </w:r>
      <w:r w:rsidR="001F7632">
        <w:rPr>
          <w:rFonts w:ascii="Times New Roman" w:hAnsi="Times New Roman" w:cs="Times New Roman"/>
        </w:rPr>
        <w:t xml:space="preserve">, </w:t>
      </w:r>
      <w:r w:rsidR="00833995">
        <w:rPr>
          <w:rFonts w:ascii="Times New Roman" w:hAnsi="Times New Roman" w:cs="Times New Roman"/>
        </w:rPr>
        <w:t xml:space="preserve">p = 0.448, </w:t>
      </w:r>
      <w:r w:rsidR="00833995">
        <w:rPr>
          <w:rFonts w:ascii="Times New Roman" w:hAnsi="Times New Roman" w:cs="Times New Roman"/>
          <w:i/>
          <w:iCs/>
        </w:rPr>
        <w:t>d</w:t>
      </w:r>
      <w:r w:rsidR="00833995">
        <w:rPr>
          <w:rFonts w:ascii="Times New Roman" w:hAnsi="Times New Roman" w:cs="Times New Roman"/>
        </w:rPr>
        <w:t xml:space="preserve"> = 0.18</w:t>
      </w:r>
      <w:r w:rsidR="002B35BB">
        <w:rPr>
          <w:rFonts w:ascii="Times New Roman" w:hAnsi="Times New Roman" w:cs="Times New Roman"/>
        </w:rPr>
        <w:t xml:space="preserve">), </w:t>
      </w:r>
      <w:r w:rsidR="002B35BB" w:rsidRPr="003E1C9A">
        <w:rPr>
          <w:rFonts w:ascii="Times New Roman" w:hAnsi="Times New Roman" w:cs="Times New Roman"/>
        </w:rPr>
        <w:t>IMA</w:t>
      </w:r>
      <w:r w:rsidR="00884989">
        <w:rPr>
          <w:rFonts w:ascii="Times New Roman" w:hAnsi="Times New Roman" w:cs="Times New Roman"/>
        </w:rPr>
        <w:t xml:space="preserve"> </w:t>
      </w:r>
      <w:r w:rsidR="002B35BB" w:rsidRPr="003E1C9A">
        <w:rPr>
          <w:rFonts w:ascii="Times New Roman" w:hAnsi="Times New Roman" w:cs="Times New Roman"/>
        </w:rPr>
        <w:t>Medium</w:t>
      </w:r>
      <w:r w:rsidR="002B35BB">
        <w:rPr>
          <w:rFonts w:ascii="Times New Roman" w:hAnsi="Times New Roman" w:cs="Times New Roman"/>
        </w:rPr>
        <w:t xml:space="preserve"> (</w:t>
      </w:r>
      <w:r w:rsidR="001F7632">
        <w:rPr>
          <w:rFonts w:ascii="Times New Roman" w:hAnsi="Times New Roman" w:cs="Times New Roman"/>
        </w:rPr>
        <w:t xml:space="preserve">Week 1 = </w:t>
      </w:r>
      <w:r w:rsidR="001F7632" w:rsidRPr="003E1C9A">
        <w:rPr>
          <w:rFonts w:ascii="Times New Roman" w:hAnsi="Times New Roman" w:cs="Times New Roman"/>
        </w:rPr>
        <w:t>119.6 (11.0)</w:t>
      </w:r>
      <w:r w:rsidR="001F7632">
        <w:rPr>
          <w:rFonts w:ascii="Times New Roman" w:hAnsi="Times New Roman" w:cs="Times New Roman"/>
        </w:rPr>
        <w:t xml:space="preserve">; Week 4 = </w:t>
      </w:r>
      <w:r w:rsidR="001F7632" w:rsidRPr="003E1C9A">
        <w:rPr>
          <w:rFonts w:ascii="Times New Roman" w:hAnsi="Times New Roman" w:cs="Times New Roman"/>
        </w:rPr>
        <w:t>125.9 (19.8)</w:t>
      </w:r>
      <w:r w:rsidR="001F7632">
        <w:rPr>
          <w:rFonts w:ascii="Times New Roman" w:hAnsi="Times New Roman" w:cs="Times New Roman"/>
        </w:rPr>
        <w:t xml:space="preserve">, </w:t>
      </w:r>
      <w:r w:rsidR="00833995">
        <w:rPr>
          <w:rFonts w:ascii="Times New Roman" w:hAnsi="Times New Roman" w:cs="Times New Roman"/>
        </w:rPr>
        <w:t xml:space="preserve">p = 0.732, </w:t>
      </w:r>
      <w:r w:rsidR="00833995">
        <w:rPr>
          <w:rFonts w:ascii="Times New Roman" w:hAnsi="Times New Roman" w:cs="Times New Roman"/>
          <w:i/>
          <w:iCs/>
        </w:rPr>
        <w:t>d</w:t>
      </w:r>
      <w:r w:rsidR="00833995">
        <w:rPr>
          <w:rFonts w:ascii="Times New Roman" w:hAnsi="Times New Roman" w:cs="Times New Roman"/>
        </w:rPr>
        <w:t xml:space="preserve"> = 0.10</w:t>
      </w:r>
      <w:r w:rsidR="002B35BB">
        <w:rPr>
          <w:rFonts w:ascii="Times New Roman" w:hAnsi="Times New Roman" w:cs="Times New Roman"/>
        </w:rPr>
        <w:t xml:space="preserve">), </w:t>
      </w:r>
      <w:r w:rsidR="002B35BB" w:rsidRPr="003E1C9A">
        <w:rPr>
          <w:rFonts w:ascii="Times New Roman" w:hAnsi="Times New Roman" w:cs="Times New Roman"/>
        </w:rPr>
        <w:t>IMA</w:t>
      </w:r>
      <w:r w:rsidR="00884989">
        <w:rPr>
          <w:rFonts w:ascii="Times New Roman" w:hAnsi="Times New Roman" w:cs="Times New Roman"/>
        </w:rPr>
        <w:t xml:space="preserve"> </w:t>
      </w:r>
      <w:r w:rsidR="002B35BB" w:rsidRPr="003E1C9A">
        <w:rPr>
          <w:rFonts w:ascii="Times New Roman" w:hAnsi="Times New Roman" w:cs="Times New Roman"/>
        </w:rPr>
        <w:t>Low</w:t>
      </w:r>
      <w:r w:rsidR="002B35BB">
        <w:rPr>
          <w:rFonts w:ascii="Times New Roman" w:hAnsi="Times New Roman" w:cs="Times New Roman"/>
        </w:rPr>
        <w:t xml:space="preserve"> (</w:t>
      </w:r>
      <w:r w:rsidR="001F7632">
        <w:rPr>
          <w:rFonts w:ascii="Times New Roman" w:hAnsi="Times New Roman" w:cs="Times New Roman"/>
        </w:rPr>
        <w:t xml:space="preserve">Week 1 = </w:t>
      </w:r>
      <w:r w:rsidR="001F7632" w:rsidRPr="003E1C9A">
        <w:rPr>
          <w:rFonts w:ascii="Times New Roman" w:hAnsi="Times New Roman" w:cs="Times New Roman"/>
        </w:rPr>
        <w:t>446.2 (45.8)</w:t>
      </w:r>
      <w:r w:rsidR="001F7632">
        <w:rPr>
          <w:rFonts w:ascii="Times New Roman" w:hAnsi="Times New Roman" w:cs="Times New Roman"/>
        </w:rPr>
        <w:t xml:space="preserve">; Week 4 = </w:t>
      </w:r>
      <w:r w:rsidR="001F7632" w:rsidRPr="003E1C9A">
        <w:rPr>
          <w:rFonts w:ascii="Times New Roman" w:hAnsi="Times New Roman" w:cs="Times New Roman"/>
        </w:rPr>
        <w:t>478.1 (67.0)</w:t>
      </w:r>
      <w:r w:rsidR="001F7632">
        <w:rPr>
          <w:rFonts w:ascii="Times New Roman" w:hAnsi="Times New Roman" w:cs="Times New Roman"/>
        </w:rPr>
        <w:t xml:space="preserve">, </w:t>
      </w:r>
      <w:r w:rsidR="00833995">
        <w:rPr>
          <w:rFonts w:ascii="Times New Roman" w:hAnsi="Times New Roman" w:cs="Times New Roman"/>
        </w:rPr>
        <w:t xml:space="preserve">p = 0.550, </w:t>
      </w:r>
      <w:r w:rsidR="00833995">
        <w:rPr>
          <w:rFonts w:ascii="Times New Roman" w:hAnsi="Times New Roman" w:cs="Times New Roman"/>
          <w:i/>
          <w:iCs/>
        </w:rPr>
        <w:t>d</w:t>
      </w:r>
      <w:r w:rsidR="00833995">
        <w:rPr>
          <w:rFonts w:ascii="Times New Roman" w:hAnsi="Times New Roman" w:cs="Times New Roman"/>
        </w:rPr>
        <w:t xml:space="preserve"> = 0.15</w:t>
      </w:r>
      <w:r w:rsidR="002B35BB">
        <w:rPr>
          <w:rFonts w:ascii="Times New Roman" w:hAnsi="Times New Roman" w:cs="Times New Roman"/>
        </w:rPr>
        <w:t xml:space="preserve">), and </w:t>
      </w:r>
      <w:r w:rsidR="002B35BB" w:rsidRPr="003E1C9A">
        <w:rPr>
          <w:rFonts w:ascii="Times New Roman" w:hAnsi="Times New Roman" w:cs="Times New Roman"/>
        </w:rPr>
        <w:t>Jumps</w:t>
      </w:r>
      <w:r w:rsidR="002B35BB">
        <w:rPr>
          <w:rFonts w:ascii="Times New Roman" w:hAnsi="Times New Roman" w:cs="Times New Roman"/>
        </w:rPr>
        <w:t xml:space="preserve"> (</w:t>
      </w:r>
      <w:r w:rsidR="001F7632">
        <w:rPr>
          <w:rFonts w:ascii="Times New Roman" w:hAnsi="Times New Roman" w:cs="Times New Roman"/>
        </w:rPr>
        <w:t xml:space="preserve">Week 1 = </w:t>
      </w:r>
      <w:r w:rsidR="001F7632" w:rsidRPr="003E1C9A">
        <w:rPr>
          <w:rFonts w:ascii="Times New Roman" w:hAnsi="Times New Roman" w:cs="Times New Roman"/>
        </w:rPr>
        <w:t>70.7 (8.9)</w:t>
      </w:r>
      <w:r w:rsidR="001F7632">
        <w:rPr>
          <w:rFonts w:ascii="Times New Roman" w:hAnsi="Times New Roman" w:cs="Times New Roman"/>
        </w:rPr>
        <w:t xml:space="preserve">; Week 4 = </w:t>
      </w:r>
      <w:r w:rsidR="001F7632" w:rsidRPr="003E1C9A">
        <w:rPr>
          <w:rFonts w:ascii="Times New Roman" w:hAnsi="Times New Roman" w:cs="Times New Roman"/>
        </w:rPr>
        <w:t>61.5 (10.6)</w:t>
      </w:r>
      <w:r w:rsidR="001F7632">
        <w:rPr>
          <w:rFonts w:ascii="Times New Roman" w:hAnsi="Times New Roman" w:cs="Times New Roman"/>
        </w:rPr>
        <w:t xml:space="preserve">, </w:t>
      </w:r>
      <w:r w:rsidR="00833995">
        <w:rPr>
          <w:rFonts w:ascii="Times New Roman" w:hAnsi="Times New Roman" w:cs="Times New Roman"/>
        </w:rPr>
        <w:t xml:space="preserve">p = 0.164, </w:t>
      </w:r>
      <w:r w:rsidR="00833995">
        <w:rPr>
          <w:rFonts w:ascii="Times New Roman" w:hAnsi="Times New Roman" w:cs="Times New Roman"/>
          <w:i/>
          <w:iCs/>
        </w:rPr>
        <w:t>d</w:t>
      </w:r>
      <w:r w:rsidR="00833995">
        <w:rPr>
          <w:rFonts w:ascii="Times New Roman" w:hAnsi="Times New Roman" w:cs="Times New Roman"/>
        </w:rPr>
        <w:t xml:space="preserve"> = 0.25</w:t>
      </w:r>
      <w:r w:rsidR="002B35BB">
        <w:rPr>
          <w:rFonts w:ascii="Times New Roman" w:hAnsi="Times New Roman" w:cs="Times New Roman"/>
        </w:rPr>
        <w:t>).</w:t>
      </w:r>
    </w:p>
    <w:p w14:paraId="655C25E4" w14:textId="1B2697D6" w:rsidR="009060D9" w:rsidRDefault="009060D9" w:rsidP="00A97FA0">
      <w:pPr>
        <w:spacing w:line="480" w:lineRule="auto"/>
        <w:ind w:firstLine="720"/>
        <w:rPr>
          <w:rFonts w:ascii="Times New Roman" w:hAnsi="Times New Roman" w:cs="Times New Roman"/>
        </w:rPr>
      </w:pPr>
    </w:p>
    <w:p w14:paraId="329BB7D2" w14:textId="1AE7CD48" w:rsidR="009060D9" w:rsidRDefault="009060D9" w:rsidP="00A97FA0">
      <w:pPr>
        <w:spacing w:line="480" w:lineRule="auto"/>
        <w:ind w:firstLine="720"/>
        <w:rPr>
          <w:rFonts w:ascii="Times New Roman" w:hAnsi="Times New Roman" w:cs="Times New Roman"/>
        </w:rPr>
      </w:pPr>
    </w:p>
    <w:p w14:paraId="49BAFC67" w14:textId="2571CC91" w:rsidR="009060D9" w:rsidRDefault="009060D9" w:rsidP="00A97FA0">
      <w:pPr>
        <w:spacing w:line="480" w:lineRule="auto"/>
        <w:ind w:firstLine="720"/>
        <w:rPr>
          <w:rFonts w:ascii="Times New Roman" w:hAnsi="Times New Roman" w:cs="Times New Roman"/>
        </w:rPr>
      </w:pPr>
    </w:p>
    <w:p w14:paraId="19C1A5A7" w14:textId="34FCBC61" w:rsidR="009060D9" w:rsidRDefault="009060D9" w:rsidP="00A97FA0">
      <w:pPr>
        <w:spacing w:line="480" w:lineRule="auto"/>
        <w:ind w:firstLine="720"/>
        <w:rPr>
          <w:rFonts w:ascii="Times New Roman" w:hAnsi="Times New Roman" w:cs="Times New Roman"/>
        </w:rPr>
      </w:pPr>
    </w:p>
    <w:p w14:paraId="5ED39E5E" w14:textId="776F60C6" w:rsidR="009060D9" w:rsidRDefault="009060D9" w:rsidP="00A97FA0">
      <w:pPr>
        <w:spacing w:line="480" w:lineRule="auto"/>
        <w:ind w:firstLine="720"/>
        <w:rPr>
          <w:rFonts w:ascii="Times New Roman" w:hAnsi="Times New Roman" w:cs="Times New Roman"/>
        </w:rPr>
      </w:pPr>
    </w:p>
    <w:p w14:paraId="3D016E7B" w14:textId="7AF84650" w:rsidR="009060D9" w:rsidRDefault="009060D9" w:rsidP="00A97FA0">
      <w:pPr>
        <w:spacing w:line="480" w:lineRule="auto"/>
        <w:ind w:firstLine="720"/>
        <w:rPr>
          <w:rFonts w:ascii="Times New Roman" w:hAnsi="Times New Roman" w:cs="Times New Roman"/>
        </w:rPr>
      </w:pPr>
    </w:p>
    <w:p w14:paraId="78500DBB" w14:textId="322BC222" w:rsidR="009060D9" w:rsidRDefault="009060D9" w:rsidP="00A97FA0">
      <w:pPr>
        <w:spacing w:line="480" w:lineRule="auto"/>
        <w:ind w:firstLine="720"/>
        <w:rPr>
          <w:rFonts w:ascii="Times New Roman" w:hAnsi="Times New Roman" w:cs="Times New Roman"/>
        </w:rPr>
      </w:pPr>
    </w:p>
    <w:p w14:paraId="53C36E4A" w14:textId="77777777" w:rsidR="009060D9" w:rsidRDefault="009060D9" w:rsidP="00A97FA0">
      <w:pPr>
        <w:spacing w:line="480" w:lineRule="auto"/>
        <w:ind w:firstLine="720"/>
        <w:rPr>
          <w:rFonts w:ascii="Times New Roman" w:hAnsi="Times New Roman" w:cs="Times New Roman"/>
        </w:rPr>
      </w:pPr>
    </w:p>
    <w:p w14:paraId="4D8BBDB9" w14:textId="0A21A25D" w:rsidR="004F5C80" w:rsidRPr="004F5C80" w:rsidRDefault="004F5C80" w:rsidP="004F5C80">
      <w:pPr>
        <w:pStyle w:val="Caption"/>
        <w:keepNext/>
        <w:rPr>
          <w:rFonts w:ascii="Times New Roman" w:hAnsi="Times New Roman"/>
        </w:rPr>
      </w:pPr>
      <w:bookmarkStart w:id="65" w:name="_Toc93726097"/>
      <w:r w:rsidRPr="004F5C80">
        <w:rPr>
          <w:rFonts w:ascii="Times New Roman" w:hAnsi="Times New Roman"/>
        </w:rPr>
        <w:t xml:space="preserve">Table </w:t>
      </w:r>
      <w:r w:rsidRPr="004F5C80">
        <w:rPr>
          <w:rFonts w:ascii="Times New Roman" w:hAnsi="Times New Roman"/>
        </w:rPr>
        <w:fldChar w:fldCharType="begin"/>
      </w:r>
      <w:r w:rsidRPr="004F5C80">
        <w:rPr>
          <w:rFonts w:ascii="Times New Roman" w:hAnsi="Times New Roman"/>
        </w:rPr>
        <w:instrText xml:space="preserve"> SEQ Table \* ARABIC </w:instrText>
      </w:r>
      <w:r w:rsidRPr="004F5C80">
        <w:rPr>
          <w:rFonts w:ascii="Times New Roman" w:hAnsi="Times New Roman"/>
        </w:rPr>
        <w:fldChar w:fldCharType="separate"/>
      </w:r>
      <w:r w:rsidR="002101E0">
        <w:rPr>
          <w:rFonts w:ascii="Times New Roman" w:hAnsi="Times New Roman"/>
          <w:noProof/>
        </w:rPr>
        <w:t>1</w:t>
      </w:r>
      <w:r w:rsidRPr="004F5C80">
        <w:rPr>
          <w:rFonts w:ascii="Times New Roman" w:hAnsi="Times New Roman"/>
        </w:rPr>
        <w:fldChar w:fldCharType="end"/>
      </w:r>
      <w:r w:rsidRPr="004F5C80">
        <w:rPr>
          <w:rFonts w:ascii="Times New Roman" w:hAnsi="Times New Roman"/>
        </w:rPr>
        <w:t>. Differences in External Training Load through the Preseason</w:t>
      </w:r>
      <w:r>
        <w:rPr>
          <w:rFonts w:ascii="Times New Roman" w:hAnsi="Times New Roman"/>
        </w:rPr>
        <w:t>.</w:t>
      </w:r>
      <w:bookmarkEnd w:id="65"/>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0"/>
        <w:gridCol w:w="1762"/>
        <w:gridCol w:w="1762"/>
        <w:gridCol w:w="1380"/>
        <w:gridCol w:w="1426"/>
      </w:tblGrid>
      <w:tr w:rsidR="009060D9" w:rsidRPr="003E1C9A" w14:paraId="3D13E586" w14:textId="77777777" w:rsidTr="004F5C80">
        <w:tc>
          <w:tcPr>
            <w:tcW w:w="1619" w:type="pct"/>
            <w:tcBorders>
              <w:top w:val="single" w:sz="4" w:space="0" w:color="auto"/>
              <w:bottom w:val="single" w:sz="4" w:space="0" w:color="auto"/>
            </w:tcBorders>
          </w:tcPr>
          <w:p w14:paraId="01B53FFB" w14:textId="77777777" w:rsidR="009060D9" w:rsidRPr="003E1C9A" w:rsidRDefault="009060D9" w:rsidP="00474036">
            <w:pPr>
              <w:rPr>
                <w:rFonts w:ascii="Times New Roman" w:hAnsi="Times New Roman" w:cs="Times New Roman"/>
              </w:rPr>
            </w:pPr>
            <w:r w:rsidRPr="003E1C9A">
              <w:rPr>
                <w:rFonts w:ascii="Times New Roman" w:hAnsi="Times New Roman" w:cs="Times New Roman"/>
              </w:rPr>
              <w:t>Variable</w:t>
            </w:r>
            <w:r>
              <w:rPr>
                <w:rFonts w:ascii="Times New Roman" w:hAnsi="Times New Roman" w:cs="Times New Roman"/>
              </w:rPr>
              <w:t xml:space="preserve"> (n = 14)</w:t>
            </w:r>
          </w:p>
        </w:tc>
        <w:tc>
          <w:tcPr>
            <w:tcW w:w="941" w:type="pct"/>
            <w:tcBorders>
              <w:top w:val="single" w:sz="4" w:space="0" w:color="auto"/>
              <w:bottom w:val="single" w:sz="4" w:space="0" w:color="auto"/>
            </w:tcBorders>
          </w:tcPr>
          <w:p w14:paraId="21644126"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Week 1</w:t>
            </w:r>
          </w:p>
        </w:tc>
        <w:tc>
          <w:tcPr>
            <w:tcW w:w="941" w:type="pct"/>
            <w:tcBorders>
              <w:top w:val="single" w:sz="4" w:space="0" w:color="auto"/>
              <w:bottom w:val="single" w:sz="4" w:space="0" w:color="auto"/>
            </w:tcBorders>
          </w:tcPr>
          <w:p w14:paraId="1E2414CB"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Week 4</w:t>
            </w:r>
          </w:p>
        </w:tc>
        <w:tc>
          <w:tcPr>
            <w:tcW w:w="737" w:type="pct"/>
            <w:tcBorders>
              <w:top w:val="single" w:sz="4" w:space="0" w:color="auto"/>
              <w:bottom w:val="single" w:sz="4" w:space="0" w:color="auto"/>
            </w:tcBorders>
          </w:tcPr>
          <w:p w14:paraId="693E6CE3"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p-value</w:t>
            </w:r>
          </w:p>
        </w:tc>
        <w:tc>
          <w:tcPr>
            <w:tcW w:w="762" w:type="pct"/>
            <w:tcBorders>
              <w:top w:val="single" w:sz="4" w:space="0" w:color="auto"/>
              <w:bottom w:val="single" w:sz="4" w:space="0" w:color="auto"/>
            </w:tcBorders>
          </w:tcPr>
          <w:p w14:paraId="1AE422B3"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Effect (</w:t>
            </w:r>
            <w:r w:rsidRPr="003E1C9A">
              <w:rPr>
                <w:rFonts w:ascii="Times New Roman" w:hAnsi="Times New Roman" w:cs="Times New Roman"/>
                <w:i/>
                <w:iCs/>
              </w:rPr>
              <w:t>d</w:t>
            </w:r>
            <w:r w:rsidRPr="003E1C9A">
              <w:rPr>
                <w:rFonts w:ascii="Times New Roman" w:hAnsi="Times New Roman" w:cs="Times New Roman"/>
              </w:rPr>
              <w:t>)</w:t>
            </w:r>
          </w:p>
        </w:tc>
      </w:tr>
      <w:tr w:rsidR="009060D9" w:rsidRPr="003E1C9A" w14:paraId="6EA02631" w14:textId="77777777" w:rsidTr="004F5C80">
        <w:tc>
          <w:tcPr>
            <w:tcW w:w="1619" w:type="pct"/>
            <w:tcBorders>
              <w:top w:val="single" w:sz="4" w:space="0" w:color="auto"/>
            </w:tcBorders>
          </w:tcPr>
          <w:p w14:paraId="3F591DDF" w14:textId="77777777" w:rsidR="009060D9" w:rsidRPr="003E1C9A" w:rsidRDefault="009060D9" w:rsidP="00474036">
            <w:pPr>
              <w:rPr>
                <w:rFonts w:ascii="Times New Roman" w:hAnsi="Times New Roman" w:cs="Times New Roman"/>
              </w:rPr>
            </w:pPr>
            <w:r w:rsidRPr="003E1C9A">
              <w:rPr>
                <w:rFonts w:ascii="Times New Roman" w:hAnsi="Times New Roman" w:cs="Times New Roman"/>
              </w:rPr>
              <w:t>Duration (min)</w:t>
            </w:r>
          </w:p>
        </w:tc>
        <w:tc>
          <w:tcPr>
            <w:tcW w:w="941" w:type="pct"/>
            <w:tcBorders>
              <w:top w:val="single" w:sz="4" w:space="0" w:color="auto"/>
            </w:tcBorders>
          </w:tcPr>
          <w:p w14:paraId="58DBC5D5"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112.5 (0.0</w:t>
            </w:r>
            <w:r w:rsidRPr="00A15634">
              <w:rPr>
                <w:rFonts w:ascii="Times New Roman" w:hAnsi="Times New Roman" w:cs="Times New Roman"/>
                <w:color w:val="000000" w:themeColor="text1"/>
              </w:rPr>
              <w:t>2)*</w:t>
            </w:r>
          </w:p>
        </w:tc>
        <w:tc>
          <w:tcPr>
            <w:tcW w:w="941" w:type="pct"/>
            <w:tcBorders>
              <w:top w:val="single" w:sz="4" w:space="0" w:color="auto"/>
            </w:tcBorders>
          </w:tcPr>
          <w:p w14:paraId="024163B6"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135.4 (0.02)</w:t>
            </w:r>
          </w:p>
        </w:tc>
        <w:tc>
          <w:tcPr>
            <w:tcW w:w="737" w:type="pct"/>
            <w:tcBorders>
              <w:top w:val="single" w:sz="4" w:space="0" w:color="auto"/>
            </w:tcBorders>
          </w:tcPr>
          <w:p w14:paraId="219ADCBD"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&lt; 0.001</w:t>
            </w:r>
          </w:p>
        </w:tc>
        <w:tc>
          <w:tcPr>
            <w:tcW w:w="762" w:type="pct"/>
            <w:tcBorders>
              <w:top w:val="single" w:sz="4" w:space="0" w:color="auto"/>
            </w:tcBorders>
          </w:tcPr>
          <w:p w14:paraId="4D130B2A" w14:textId="77777777" w:rsidR="009060D9" w:rsidRPr="003E1C9A" w:rsidRDefault="009060D9" w:rsidP="00474036">
            <w:pPr>
              <w:jc w:val="center"/>
              <w:rPr>
                <w:rFonts w:ascii="Times New Roman" w:hAnsi="Times New Roman" w:cs="Times New Roman"/>
              </w:rPr>
            </w:pPr>
            <w:r>
              <w:rPr>
                <w:rFonts w:ascii="Times New Roman" w:hAnsi="Times New Roman" w:cs="Times New Roman"/>
              </w:rPr>
              <w:t>4.57</w:t>
            </w:r>
          </w:p>
        </w:tc>
      </w:tr>
      <w:tr w:rsidR="009060D9" w:rsidRPr="003E1C9A" w14:paraId="474E91C0" w14:textId="77777777" w:rsidTr="004F5C80">
        <w:tc>
          <w:tcPr>
            <w:tcW w:w="1619" w:type="pct"/>
          </w:tcPr>
          <w:p w14:paraId="10E62123" w14:textId="77777777" w:rsidR="009060D9" w:rsidRPr="003E1C9A" w:rsidRDefault="009060D9" w:rsidP="00474036">
            <w:pPr>
              <w:rPr>
                <w:rFonts w:ascii="Times New Roman" w:hAnsi="Times New Roman" w:cs="Times New Roman"/>
              </w:rPr>
            </w:pPr>
            <w:r w:rsidRPr="003E1C9A">
              <w:rPr>
                <w:rFonts w:ascii="Times New Roman" w:hAnsi="Times New Roman" w:cs="Times New Roman"/>
              </w:rPr>
              <w:t>PL (au)</w:t>
            </w:r>
          </w:p>
        </w:tc>
        <w:tc>
          <w:tcPr>
            <w:tcW w:w="941" w:type="pct"/>
          </w:tcPr>
          <w:p w14:paraId="6791EE97"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510.8 (39.1)</w:t>
            </w:r>
          </w:p>
        </w:tc>
        <w:tc>
          <w:tcPr>
            <w:tcW w:w="941" w:type="pct"/>
          </w:tcPr>
          <w:p w14:paraId="647AFD81"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523.0 (42.0)</w:t>
            </w:r>
          </w:p>
        </w:tc>
        <w:tc>
          <w:tcPr>
            <w:tcW w:w="737" w:type="pct"/>
          </w:tcPr>
          <w:p w14:paraId="5D5C3838"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0.746</w:t>
            </w:r>
          </w:p>
        </w:tc>
        <w:tc>
          <w:tcPr>
            <w:tcW w:w="762" w:type="pct"/>
          </w:tcPr>
          <w:p w14:paraId="35E5ADF0"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0.08</w:t>
            </w:r>
          </w:p>
        </w:tc>
      </w:tr>
      <w:tr w:rsidR="009060D9" w:rsidRPr="003E1C9A" w14:paraId="300A00C2" w14:textId="77777777" w:rsidTr="004F5C80">
        <w:tc>
          <w:tcPr>
            <w:tcW w:w="1619" w:type="pct"/>
          </w:tcPr>
          <w:p w14:paraId="2C3A4A1E" w14:textId="77777777" w:rsidR="009060D9" w:rsidRPr="003E1C9A" w:rsidRDefault="009060D9" w:rsidP="00474036">
            <w:pPr>
              <w:rPr>
                <w:rFonts w:ascii="Times New Roman" w:hAnsi="Times New Roman" w:cs="Times New Roman"/>
              </w:rPr>
            </w:pPr>
            <w:r w:rsidRPr="003E1C9A">
              <w:rPr>
                <w:rFonts w:ascii="Times New Roman" w:hAnsi="Times New Roman" w:cs="Times New Roman"/>
              </w:rPr>
              <w:t>PL/</w:t>
            </w:r>
            <w:r>
              <w:rPr>
                <w:rFonts w:ascii="Times New Roman" w:hAnsi="Times New Roman" w:cs="Times New Roman"/>
              </w:rPr>
              <w:t>min</w:t>
            </w:r>
            <w:r w:rsidRPr="003E1C9A">
              <w:rPr>
                <w:rFonts w:ascii="Times New Roman" w:hAnsi="Times New Roman" w:cs="Times New Roman"/>
              </w:rPr>
              <w:t xml:space="preserve"> (au/min)</w:t>
            </w:r>
          </w:p>
        </w:tc>
        <w:tc>
          <w:tcPr>
            <w:tcW w:w="941" w:type="pct"/>
          </w:tcPr>
          <w:p w14:paraId="533A32CB"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4.4 (0.3)</w:t>
            </w:r>
          </w:p>
        </w:tc>
        <w:tc>
          <w:tcPr>
            <w:tcW w:w="941" w:type="pct"/>
          </w:tcPr>
          <w:p w14:paraId="7ABB840A"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4.1 (0.3)</w:t>
            </w:r>
          </w:p>
        </w:tc>
        <w:tc>
          <w:tcPr>
            <w:tcW w:w="737" w:type="pct"/>
          </w:tcPr>
          <w:p w14:paraId="06C55BDD"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0.192</w:t>
            </w:r>
          </w:p>
        </w:tc>
        <w:tc>
          <w:tcPr>
            <w:tcW w:w="762" w:type="pct"/>
          </w:tcPr>
          <w:p w14:paraId="5C61D3DF"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0.30</w:t>
            </w:r>
          </w:p>
        </w:tc>
      </w:tr>
      <w:tr w:rsidR="009060D9" w:rsidRPr="003E1C9A" w14:paraId="504B9BA1" w14:textId="77777777" w:rsidTr="004F5C80">
        <w:tc>
          <w:tcPr>
            <w:tcW w:w="1619" w:type="pct"/>
          </w:tcPr>
          <w:p w14:paraId="0ACBD7CA" w14:textId="77777777" w:rsidR="009060D9" w:rsidRPr="003E1C9A" w:rsidRDefault="009060D9" w:rsidP="00474036">
            <w:pPr>
              <w:rPr>
                <w:rFonts w:ascii="Times New Roman" w:hAnsi="Times New Roman" w:cs="Times New Roman"/>
              </w:rPr>
            </w:pPr>
            <w:r w:rsidRPr="003E1C9A">
              <w:rPr>
                <w:rFonts w:ascii="Times New Roman" w:hAnsi="Times New Roman" w:cs="Times New Roman"/>
              </w:rPr>
              <w:t>PL</w:t>
            </w:r>
            <w:r w:rsidRPr="003E1C9A">
              <w:rPr>
                <w:rFonts w:ascii="Times New Roman" w:hAnsi="Times New Roman" w:cs="Times New Roman"/>
                <w:vertAlign w:val="superscript"/>
              </w:rPr>
              <w:t xml:space="preserve">2D </w:t>
            </w:r>
            <w:r w:rsidRPr="003E1C9A">
              <w:rPr>
                <w:rFonts w:ascii="Times New Roman" w:hAnsi="Times New Roman" w:cs="Times New Roman"/>
              </w:rPr>
              <w:t>(au)</w:t>
            </w:r>
          </w:p>
        </w:tc>
        <w:tc>
          <w:tcPr>
            <w:tcW w:w="941" w:type="pct"/>
          </w:tcPr>
          <w:p w14:paraId="49221488"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336.3 (27.3)</w:t>
            </w:r>
          </w:p>
        </w:tc>
        <w:tc>
          <w:tcPr>
            <w:tcW w:w="941" w:type="pct"/>
          </w:tcPr>
          <w:p w14:paraId="3B7A8F6E"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350.4 (27.7)</w:t>
            </w:r>
          </w:p>
        </w:tc>
        <w:tc>
          <w:tcPr>
            <w:tcW w:w="737" w:type="pct"/>
          </w:tcPr>
          <w:p w14:paraId="67DD499F"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0.579</w:t>
            </w:r>
          </w:p>
        </w:tc>
        <w:tc>
          <w:tcPr>
            <w:tcW w:w="762" w:type="pct"/>
          </w:tcPr>
          <w:p w14:paraId="2F5E50B9"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0.14</w:t>
            </w:r>
          </w:p>
        </w:tc>
      </w:tr>
      <w:tr w:rsidR="009060D9" w:rsidRPr="003E1C9A" w14:paraId="18C46F6D" w14:textId="77777777" w:rsidTr="004F5C80">
        <w:tc>
          <w:tcPr>
            <w:tcW w:w="1619" w:type="pct"/>
          </w:tcPr>
          <w:p w14:paraId="7F9E41D5" w14:textId="77777777" w:rsidR="009060D9" w:rsidRPr="003E1C9A" w:rsidRDefault="009060D9" w:rsidP="00474036">
            <w:pPr>
              <w:rPr>
                <w:rFonts w:ascii="Times New Roman" w:hAnsi="Times New Roman" w:cs="Times New Roman"/>
              </w:rPr>
            </w:pPr>
            <w:r w:rsidRPr="003E1C9A">
              <w:rPr>
                <w:rFonts w:ascii="Times New Roman" w:hAnsi="Times New Roman" w:cs="Times New Roman"/>
              </w:rPr>
              <w:t>PL</w:t>
            </w:r>
            <w:r w:rsidRPr="003E1C9A">
              <w:rPr>
                <w:rFonts w:ascii="Times New Roman" w:hAnsi="Times New Roman" w:cs="Times New Roman"/>
                <w:vertAlign w:val="superscript"/>
              </w:rPr>
              <w:t xml:space="preserve">1D-FWD </w:t>
            </w:r>
            <w:r w:rsidRPr="003E1C9A">
              <w:rPr>
                <w:rFonts w:ascii="Times New Roman" w:hAnsi="Times New Roman" w:cs="Times New Roman"/>
              </w:rPr>
              <w:t>(au)</w:t>
            </w:r>
          </w:p>
        </w:tc>
        <w:tc>
          <w:tcPr>
            <w:tcW w:w="941" w:type="pct"/>
          </w:tcPr>
          <w:p w14:paraId="75507A1E"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207.2 (17.9)</w:t>
            </w:r>
          </w:p>
        </w:tc>
        <w:tc>
          <w:tcPr>
            <w:tcW w:w="941" w:type="pct"/>
          </w:tcPr>
          <w:p w14:paraId="2B69C6E9"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212.1 (17.1)</w:t>
            </w:r>
          </w:p>
        </w:tc>
        <w:tc>
          <w:tcPr>
            <w:tcW w:w="737" w:type="pct"/>
          </w:tcPr>
          <w:p w14:paraId="1400B5C9"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0.757</w:t>
            </w:r>
          </w:p>
        </w:tc>
        <w:tc>
          <w:tcPr>
            <w:tcW w:w="762" w:type="pct"/>
          </w:tcPr>
          <w:p w14:paraId="7A4A8B06"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0.07</w:t>
            </w:r>
          </w:p>
        </w:tc>
      </w:tr>
      <w:tr w:rsidR="009060D9" w:rsidRPr="003E1C9A" w14:paraId="228D666C" w14:textId="77777777" w:rsidTr="004F5C80">
        <w:tc>
          <w:tcPr>
            <w:tcW w:w="1619" w:type="pct"/>
          </w:tcPr>
          <w:p w14:paraId="42F36105" w14:textId="77777777" w:rsidR="009060D9" w:rsidRPr="003E1C9A" w:rsidRDefault="009060D9" w:rsidP="00474036">
            <w:pPr>
              <w:rPr>
                <w:rFonts w:ascii="Times New Roman" w:hAnsi="Times New Roman" w:cs="Times New Roman"/>
              </w:rPr>
            </w:pPr>
            <w:r w:rsidRPr="003E1C9A">
              <w:rPr>
                <w:rFonts w:ascii="Times New Roman" w:hAnsi="Times New Roman" w:cs="Times New Roman"/>
              </w:rPr>
              <w:t>PL</w:t>
            </w:r>
            <w:r w:rsidRPr="003E1C9A">
              <w:rPr>
                <w:rFonts w:ascii="Times New Roman" w:hAnsi="Times New Roman" w:cs="Times New Roman"/>
                <w:vertAlign w:val="superscript"/>
              </w:rPr>
              <w:t xml:space="preserve">1D-SIDE </w:t>
            </w:r>
            <w:r w:rsidRPr="003E1C9A">
              <w:rPr>
                <w:rFonts w:ascii="Times New Roman" w:hAnsi="Times New Roman" w:cs="Times New Roman"/>
              </w:rPr>
              <w:t>(au)</w:t>
            </w:r>
          </w:p>
        </w:tc>
        <w:tc>
          <w:tcPr>
            <w:tcW w:w="941" w:type="pct"/>
          </w:tcPr>
          <w:p w14:paraId="0DDDCE0B"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221.0 (17.2)</w:t>
            </w:r>
          </w:p>
        </w:tc>
        <w:tc>
          <w:tcPr>
            <w:tcW w:w="941" w:type="pct"/>
          </w:tcPr>
          <w:p w14:paraId="11362B94"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234.2 (18.3)</w:t>
            </w:r>
          </w:p>
        </w:tc>
        <w:tc>
          <w:tcPr>
            <w:tcW w:w="737" w:type="pct"/>
          </w:tcPr>
          <w:p w14:paraId="66328D5A"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0.433</w:t>
            </w:r>
          </w:p>
        </w:tc>
        <w:tc>
          <w:tcPr>
            <w:tcW w:w="762" w:type="pct"/>
          </w:tcPr>
          <w:p w14:paraId="3C65A590"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0.20</w:t>
            </w:r>
          </w:p>
        </w:tc>
      </w:tr>
      <w:tr w:rsidR="009060D9" w:rsidRPr="003E1C9A" w14:paraId="0F10D20A" w14:textId="77777777" w:rsidTr="004F5C80">
        <w:tc>
          <w:tcPr>
            <w:tcW w:w="1619" w:type="pct"/>
          </w:tcPr>
          <w:p w14:paraId="259F004C" w14:textId="77777777" w:rsidR="009060D9" w:rsidRPr="003E1C9A" w:rsidRDefault="009060D9" w:rsidP="00474036">
            <w:pPr>
              <w:rPr>
                <w:rFonts w:ascii="Times New Roman" w:hAnsi="Times New Roman" w:cs="Times New Roman"/>
              </w:rPr>
            </w:pPr>
            <w:r w:rsidRPr="003E1C9A">
              <w:rPr>
                <w:rFonts w:ascii="Times New Roman" w:hAnsi="Times New Roman" w:cs="Times New Roman"/>
              </w:rPr>
              <w:t>PL</w:t>
            </w:r>
            <w:r w:rsidRPr="003E1C9A">
              <w:rPr>
                <w:rFonts w:ascii="Times New Roman" w:hAnsi="Times New Roman" w:cs="Times New Roman"/>
                <w:vertAlign w:val="superscript"/>
              </w:rPr>
              <w:t xml:space="preserve">1D-UP </w:t>
            </w:r>
            <w:r w:rsidRPr="003E1C9A">
              <w:rPr>
                <w:rFonts w:ascii="Times New Roman" w:hAnsi="Times New Roman" w:cs="Times New Roman"/>
              </w:rPr>
              <w:t>(au)</w:t>
            </w:r>
          </w:p>
        </w:tc>
        <w:tc>
          <w:tcPr>
            <w:tcW w:w="941" w:type="pct"/>
          </w:tcPr>
          <w:p w14:paraId="5FDB2CE3"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326.5 (24.1)</w:t>
            </w:r>
          </w:p>
        </w:tc>
        <w:tc>
          <w:tcPr>
            <w:tcW w:w="941" w:type="pct"/>
          </w:tcPr>
          <w:p w14:paraId="7655F307"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327.5 (27.1)</w:t>
            </w:r>
          </w:p>
        </w:tc>
        <w:tc>
          <w:tcPr>
            <w:tcW w:w="737" w:type="pct"/>
          </w:tcPr>
          <w:p w14:paraId="5A594954"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0.965</w:t>
            </w:r>
          </w:p>
        </w:tc>
        <w:tc>
          <w:tcPr>
            <w:tcW w:w="762" w:type="pct"/>
          </w:tcPr>
          <w:p w14:paraId="2E5F0A09"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0.01</w:t>
            </w:r>
          </w:p>
        </w:tc>
      </w:tr>
      <w:tr w:rsidR="009060D9" w:rsidRPr="003E1C9A" w14:paraId="111E3BB1" w14:textId="77777777" w:rsidTr="004F5C80">
        <w:tc>
          <w:tcPr>
            <w:tcW w:w="1619" w:type="pct"/>
          </w:tcPr>
          <w:p w14:paraId="13568A26" w14:textId="77777777" w:rsidR="009060D9" w:rsidRPr="003E1C9A" w:rsidRDefault="009060D9" w:rsidP="00474036">
            <w:pPr>
              <w:rPr>
                <w:rFonts w:ascii="Times New Roman" w:hAnsi="Times New Roman" w:cs="Times New Roman"/>
              </w:rPr>
            </w:pPr>
            <w:r w:rsidRPr="003E1C9A">
              <w:rPr>
                <w:rFonts w:ascii="Times New Roman" w:hAnsi="Times New Roman" w:cs="Times New Roman"/>
              </w:rPr>
              <w:t>IMA</w:t>
            </w:r>
            <w:r>
              <w:rPr>
                <w:rFonts w:ascii="Times New Roman" w:hAnsi="Times New Roman" w:cs="Times New Roman"/>
              </w:rPr>
              <w:t xml:space="preserve"> </w:t>
            </w:r>
            <w:r w:rsidRPr="003E1C9A">
              <w:rPr>
                <w:rFonts w:ascii="Times New Roman" w:hAnsi="Times New Roman" w:cs="Times New Roman"/>
              </w:rPr>
              <w:t>High (</w:t>
            </w:r>
            <w:proofErr w:type="spellStart"/>
            <w:r w:rsidRPr="003E1C9A">
              <w:rPr>
                <w:rFonts w:ascii="Times New Roman" w:hAnsi="Times New Roman" w:cs="Times New Roman"/>
              </w:rPr>
              <w:t>cts</w:t>
            </w:r>
            <w:proofErr w:type="spellEnd"/>
            <w:r w:rsidRPr="003E1C9A">
              <w:rPr>
                <w:rFonts w:ascii="Times New Roman" w:hAnsi="Times New Roman" w:cs="Times New Roman"/>
              </w:rPr>
              <w:t>)</w:t>
            </w:r>
          </w:p>
        </w:tc>
        <w:tc>
          <w:tcPr>
            <w:tcW w:w="941" w:type="pct"/>
          </w:tcPr>
          <w:p w14:paraId="79FE9656"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55.9 (6.8)</w:t>
            </w:r>
          </w:p>
        </w:tc>
        <w:tc>
          <w:tcPr>
            <w:tcW w:w="941" w:type="pct"/>
          </w:tcPr>
          <w:p w14:paraId="36DA6CD6"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61.6 (10.2)</w:t>
            </w:r>
          </w:p>
        </w:tc>
        <w:tc>
          <w:tcPr>
            <w:tcW w:w="737" w:type="pct"/>
          </w:tcPr>
          <w:p w14:paraId="748E1080"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0.448</w:t>
            </w:r>
          </w:p>
        </w:tc>
        <w:tc>
          <w:tcPr>
            <w:tcW w:w="762" w:type="pct"/>
          </w:tcPr>
          <w:p w14:paraId="091BF8A3"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0.18</w:t>
            </w:r>
          </w:p>
        </w:tc>
      </w:tr>
      <w:tr w:rsidR="009060D9" w:rsidRPr="003E1C9A" w14:paraId="210967B6" w14:textId="77777777" w:rsidTr="004F5C80">
        <w:tc>
          <w:tcPr>
            <w:tcW w:w="1619" w:type="pct"/>
          </w:tcPr>
          <w:p w14:paraId="4FE4AACD" w14:textId="77777777" w:rsidR="009060D9" w:rsidRPr="003E1C9A" w:rsidRDefault="009060D9" w:rsidP="00474036">
            <w:pPr>
              <w:rPr>
                <w:rFonts w:ascii="Times New Roman" w:hAnsi="Times New Roman" w:cs="Times New Roman"/>
              </w:rPr>
            </w:pPr>
            <w:r w:rsidRPr="003E1C9A">
              <w:rPr>
                <w:rFonts w:ascii="Times New Roman" w:hAnsi="Times New Roman" w:cs="Times New Roman"/>
              </w:rPr>
              <w:t>IMA</w:t>
            </w:r>
            <w:r>
              <w:rPr>
                <w:rFonts w:ascii="Times New Roman" w:hAnsi="Times New Roman" w:cs="Times New Roman"/>
              </w:rPr>
              <w:t xml:space="preserve"> </w:t>
            </w:r>
            <w:r w:rsidRPr="003E1C9A">
              <w:rPr>
                <w:rFonts w:ascii="Times New Roman" w:hAnsi="Times New Roman" w:cs="Times New Roman"/>
              </w:rPr>
              <w:t>Medium (</w:t>
            </w:r>
            <w:proofErr w:type="spellStart"/>
            <w:r w:rsidRPr="003E1C9A">
              <w:rPr>
                <w:rFonts w:ascii="Times New Roman" w:hAnsi="Times New Roman" w:cs="Times New Roman"/>
              </w:rPr>
              <w:t>cts</w:t>
            </w:r>
            <w:proofErr w:type="spellEnd"/>
            <w:r w:rsidRPr="003E1C9A">
              <w:rPr>
                <w:rFonts w:ascii="Times New Roman" w:hAnsi="Times New Roman" w:cs="Times New Roman"/>
              </w:rPr>
              <w:t>)</w:t>
            </w:r>
          </w:p>
        </w:tc>
        <w:tc>
          <w:tcPr>
            <w:tcW w:w="941" w:type="pct"/>
          </w:tcPr>
          <w:p w14:paraId="1279487A"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119.6 (11.0)</w:t>
            </w:r>
          </w:p>
        </w:tc>
        <w:tc>
          <w:tcPr>
            <w:tcW w:w="941" w:type="pct"/>
          </w:tcPr>
          <w:p w14:paraId="51DE272B"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125.9 (19.8)</w:t>
            </w:r>
          </w:p>
        </w:tc>
        <w:tc>
          <w:tcPr>
            <w:tcW w:w="737" w:type="pct"/>
          </w:tcPr>
          <w:p w14:paraId="529174F6"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0.732</w:t>
            </w:r>
          </w:p>
        </w:tc>
        <w:tc>
          <w:tcPr>
            <w:tcW w:w="762" w:type="pct"/>
          </w:tcPr>
          <w:p w14:paraId="3140E120"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0.10</w:t>
            </w:r>
          </w:p>
        </w:tc>
      </w:tr>
      <w:tr w:rsidR="009060D9" w:rsidRPr="003E1C9A" w14:paraId="487AAEB4" w14:textId="77777777" w:rsidTr="004F5C80">
        <w:tc>
          <w:tcPr>
            <w:tcW w:w="1619" w:type="pct"/>
          </w:tcPr>
          <w:p w14:paraId="00DC77DB" w14:textId="77777777" w:rsidR="009060D9" w:rsidRPr="003E1C9A" w:rsidRDefault="009060D9" w:rsidP="00474036">
            <w:pPr>
              <w:rPr>
                <w:rFonts w:ascii="Times New Roman" w:hAnsi="Times New Roman" w:cs="Times New Roman"/>
              </w:rPr>
            </w:pPr>
            <w:r w:rsidRPr="003E1C9A">
              <w:rPr>
                <w:rFonts w:ascii="Times New Roman" w:hAnsi="Times New Roman" w:cs="Times New Roman"/>
              </w:rPr>
              <w:t>IMA</w:t>
            </w:r>
            <w:r>
              <w:rPr>
                <w:rFonts w:ascii="Times New Roman" w:hAnsi="Times New Roman" w:cs="Times New Roman"/>
              </w:rPr>
              <w:t xml:space="preserve"> </w:t>
            </w:r>
            <w:r w:rsidRPr="003E1C9A">
              <w:rPr>
                <w:rFonts w:ascii="Times New Roman" w:hAnsi="Times New Roman" w:cs="Times New Roman"/>
              </w:rPr>
              <w:t>Low (</w:t>
            </w:r>
            <w:proofErr w:type="spellStart"/>
            <w:r w:rsidRPr="003E1C9A">
              <w:rPr>
                <w:rFonts w:ascii="Times New Roman" w:hAnsi="Times New Roman" w:cs="Times New Roman"/>
              </w:rPr>
              <w:t>cts</w:t>
            </w:r>
            <w:proofErr w:type="spellEnd"/>
            <w:r w:rsidRPr="003E1C9A">
              <w:rPr>
                <w:rFonts w:ascii="Times New Roman" w:hAnsi="Times New Roman" w:cs="Times New Roman"/>
              </w:rPr>
              <w:t>)</w:t>
            </w:r>
          </w:p>
        </w:tc>
        <w:tc>
          <w:tcPr>
            <w:tcW w:w="941" w:type="pct"/>
          </w:tcPr>
          <w:p w14:paraId="24EEABA8"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446.2 (45.8)</w:t>
            </w:r>
          </w:p>
        </w:tc>
        <w:tc>
          <w:tcPr>
            <w:tcW w:w="941" w:type="pct"/>
          </w:tcPr>
          <w:p w14:paraId="733C0E1E"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478.1 (67.0)</w:t>
            </w:r>
          </w:p>
        </w:tc>
        <w:tc>
          <w:tcPr>
            <w:tcW w:w="737" w:type="pct"/>
          </w:tcPr>
          <w:p w14:paraId="61F6822E"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0.550</w:t>
            </w:r>
          </w:p>
        </w:tc>
        <w:tc>
          <w:tcPr>
            <w:tcW w:w="762" w:type="pct"/>
          </w:tcPr>
          <w:p w14:paraId="48ED08E2"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0.15</w:t>
            </w:r>
          </w:p>
        </w:tc>
      </w:tr>
      <w:tr w:rsidR="009060D9" w:rsidRPr="003E1C9A" w14:paraId="3CED5536" w14:textId="77777777" w:rsidTr="004F5C80">
        <w:tc>
          <w:tcPr>
            <w:tcW w:w="1619" w:type="pct"/>
            <w:tcBorders>
              <w:bottom w:val="single" w:sz="4" w:space="0" w:color="auto"/>
            </w:tcBorders>
          </w:tcPr>
          <w:p w14:paraId="258CF8BF" w14:textId="77777777" w:rsidR="009060D9" w:rsidRPr="003E1C9A" w:rsidRDefault="009060D9" w:rsidP="00474036">
            <w:pPr>
              <w:rPr>
                <w:rFonts w:ascii="Times New Roman" w:hAnsi="Times New Roman" w:cs="Times New Roman"/>
              </w:rPr>
            </w:pPr>
            <w:r w:rsidRPr="003E1C9A">
              <w:rPr>
                <w:rFonts w:ascii="Times New Roman" w:hAnsi="Times New Roman" w:cs="Times New Roman"/>
              </w:rPr>
              <w:t>Jumps (</w:t>
            </w:r>
            <w:proofErr w:type="spellStart"/>
            <w:r w:rsidRPr="003E1C9A">
              <w:rPr>
                <w:rFonts w:ascii="Times New Roman" w:hAnsi="Times New Roman" w:cs="Times New Roman"/>
              </w:rPr>
              <w:t>cts</w:t>
            </w:r>
            <w:proofErr w:type="spellEnd"/>
            <w:r w:rsidRPr="003E1C9A">
              <w:rPr>
                <w:rFonts w:ascii="Times New Roman" w:hAnsi="Times New Roman" w:cs="Times New Roman"/>
              </w:rPr>
              <w:t>)</w:t>
            </w:r>
          </w:p>
        </w:tc>
        <w:tc>
          <w:tcPr>
            <w:tcW w:w="941" w:type="pct"/>
            <w:tcBorders>
              <w:bottom w:val="single" w:sz="4" w:space="0" w:color="auto"/>
            </w:tcBorders>
          </w:tcPr>
          <w:p w14:paraId="2C2F8A8F"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70.7 (8.9)</w:t>
            </w:r>
          </w:p>
        </w:tc>
        <w:tc>
          <w:tcPr>
            <w:tcW w:w="941" w:type="pct"/>
            <w:tcBorders>
              <w:bottom w:val="single" w:sz="4" w:space="0" w:color="auto"/>
            </w:tcBorders>
          </w:tcPr>
          <w:p w14:paraId="36E35B41"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61.5 (10.6)</w:t>
            </w:r>
          </w:p>
        </w:tc>
        <w:tc>
          <w:tcPr>
            <w:tcW w:w="737" w:type="pct"/>
            <w:tcBorders>
              <w:bottom w:val="single" w:sz="4" w:space="0" w:color="auto"/>
            </w:tcBorders>
          </w:tcPr>
          <w:p w14:paraId="4B309525"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0.164</w:t>
            </w:r>
          </w:p>
        </w:tc>
        <w:tc>
          <w:tcPr>
            <w:tcW w:w="762" w:type="pct"/>
            <w:tcBorders>
              <w:bottom w:val="single" w:sz="4" w:space="0" w:color="auto"/>
            </w:tcBorders>
          </w:tcPr>
          <w:p w14:paraId="21D67FB0" w14:textId="77777777" w:rsidR="009060D9" w:rsidRPr="003E1C9A" w:rsidRDefault="009060D9" w:rsidP="00474036">
            <w:pPr>
              <w:jc w:val="center"/>
              <w:rPr>
                <w:rFonts w:ascii="Times New Roman" w:hAnsi="Times New Roman" w:cs="Times New Roman"/>
              </w:rPr>
            </w:pPr>
            <w:r w:rsidRPr="003E1C9A">
              <w:rPr>
                <w:rFonts w:ascii="Times New Roman" w:hAnsi="Times New Roman" w:cs="Times New Roman"/>
              </w:rPr>
              <w:t>0.25</w:t>
            </w:r>
          </w:p>
        </w:tc>
      </w:tr>
      <w:tr w:rsidR="009060D9" w:rsidRPr="003E1C9A" w14:paraId="0362892B" w14:textId="77777777" w:rsidTr="00474036">
        <w:tc>
          <w:tcPr>
            <w:tcW w:w="5000" w:type="pct"/>
            <w:gridSpan w:val="5"/>
            <w:tcBorders>
              <w:top w:val="single" w:sz="4" w:space="0" w:color="auto"/>
            </w:tcBorders>
          </w:tcPr>
          <w:p w14:paraId="77EABD06" w14:textId="77777777" w:rsidR="009060D9" w:rsidRPr="00966EA7" w:rsidRDefault="009060D9" w:rsidP="00474036">
            <w:pPr>
              <w:rPr>
                <w:rFonts w:ascii="Times New Roman" w:hAnsi="Times New Roman" w:cs="Times New Roman"/>
                <w:sz w:val="18"/>
                <w:szCs w:val="18"/>
                <w:lang w:bidi="en-US"/>
              </w:rPr>
            </w:pPr>
            <w:r w:rsidRPr="00966EA7">
              <w:rPr>
                <w:rFonts w:ascii="Times New Roman" w:hAnsi="Times New Roman" w:cs="Times New Roman"/>
                <w:sz w:val="18"/>
                <w:szCs w:val="18"/>
              </w:rPr>
              <w:t xml:space="preserve">Data presented as Mean (Standard Error). PL = </w:t>
            </w:r>
            <w:proofErr w:type="spellStart"/>
            <w:r w:rsidRPr="00966EA7">
              <w:rPr>
                <w:rFonts w:ascii="Times New Roman" w:hAnsi="Times New Roman" w:cs="Times New Roman"/>
                <w:sz w:val="18"/>
                <w:szCs w:val="18"/>
              </w:rPr>
              <w:t>PlayerLoad</w:t>
            </w:r>
            <w:r w:rsidRPr="00966EA7">
              <w:rPr>
                <w:rFonts w:ascii="Times New Roman" w:hAnsi="Times New Roman" w:cs="Times New Roman"/>
                <w:sz w:val="18"/>
                <w:szCs w:val="18"/>
                <w:vertAlign w:val="superscript"/>
              </w:rPr>
              <w:t>TM</w:t>
            </w:r>
            <w:proofErr w:type="spellEnd"/>
            <w:r w:rsidRPr="00966EA7">
              <w:rPr>
                <w:rFonts w:ascii="Times New Roman" w:hAnsi="Times New Roman" w:cs="Times New Roman"/>
                <w:sz w:val="18"/>
                <w:szCs w:val="18"/>
              </w:rPr>
              <w:t xml:space="preserve">; PL/min = </w:t>
            </w:r>
            <w:proofErr w:type="spellStart"/>
            <w:r w:rsidRPr="00966EA7">
              <w:rPr>
                <w:rFonts w:ascii="Times New Roman" w:hAnsi="Times New Roman" w:cs="Times New Roman"/>
                <w:sz w:val="18"/>
                <w:szCs w:val="18"/>
              </w:rPr>
              <w:t>PlayerLoad</w:t>
            </w:r>
            <w:r w:rsidRPr="00966EA7">
              <w:rPr>
                <w:rFonts w:ascii="Times New Roman" w:hAnsi="Times New Roman" w:cs="Times New Roman"/>
                <w:sz w:val="18"/>
                <w:szCs w:val="18"/>
                <w:vertAlign w:val="superscript"/>
              </w:rPr>
              <w:t>TM</w:t>
            </w:r>
            <w:proofErr w:type="spellEnd"/>
            <w:r w:rsidRPr="00966EA7">
              <w:rPr>
                <w:rFonts w:ascii="Times New Roman" w:hAnsi="Times New Roman" w:cs="Times New Roman"/>
                <w:sz w:val="18"/>
                <w:szCs w:val="18"/>
              </w:rPr>
              <w:t xml:space="preserve"> per minute; PL</w:t>
            </w:r>
            <w:r w:rsidRPr="00966EA7">
              <w:rPr>
                <w:rFonts w:ascii="Times New Roman" w:hAnsi="Times New Roman" w:cs="Times New Roman"/>
                <w:sz w:val="18"/>
                <w:szCs w:val="18"/>
                <w:vertAlign w:val="superscript"/>
              </w:rPr>
              <w:t>2D</w:t>
            </w:r>
            <w:r w:rsidRPr="00966EA7">
              <w:rPr>
                <w:rFonts w:ascii="Times New Roman" w:hAnsi="Times New Roman" w:cs="Times New Roman"/>
                <w:sz w:val="18"/>
                <w:szCs w:val="18"/>
              </w:rPr>
              <w:t xml:space="preserve"> = 2-Dimensional </w:t>
            </w:r>
            <w:proofErr w:type="spellStart"/>
            <w:r w:rsidRPr="00966EA7">
              <w:rPr>
                <w:rFonts w:ascii="Times New Roman" w:hAnsi="Times New Roman" w:cs="Times New Roman"/>
                <w:sz w:val="18"/>
                <w:szCs w:val="18"/>
              </w:rPr>
              <w:t>PlayerLoad</w:t>
            </w:r>
            <w:r w:rsidRPr="00966EA7">
              <w:rPr>
                <w:rFonts w:ascii="Times New Roman" w:hAnsi="Times New Roman" w:cs="Times New Roman"/>
                <w:sz w:val="18"/>
                <w:szCs w:val="18"/>
                <w:vertAlign w:val="superscript"/>
              </w:rPr>
              <w:t>TM</w:t>
            </w:r>
            <w:proofErr w:type="spellEnd"/>
            <w:r w:rsidRPr="00966EA7">
              <w:rPr>
                <w:rFonts w:ascii="Times New Roman" w:hAnsi="Times New Roman" w:cs="Times New Roman"/>
                <w:sz w:val="18"/>
                <w:szCs w:val="18"/>
              </w:rPr>
              <w:t>; PL</w:t>
            </w:r>
            <w:r w:rsidRPr="00966EA7">
              <w:rPr>
                <w:rFonts w:ascii="Times New Roman" w:hAnsi="Times New Roman" w:cs="Times New Roman"/>
                <w:sz w:val="18"/>
                <w:szCs w:val="18"/>
                <w:vertAlign w:val="superscript"/>
              </w:rPr>
              <w:t>1D-FWD</w:t>
            </w:r>
            <w:r w:rsidRPr="00966EA7">
              <w:rPr>
                <w:rFonts w:ascii="Times New Roman" w:hAnsi="Times New Roman" w:cs="Times New Roman"/>
                <w:sz w:val="18"/>
                <w:szCs w:val="18"/>
              </w:rPr>
              <w:t xml:space="preserve"> = 1-Dimensional </w:t>
            </w:r>
            <w:proofErr w:type="spellStart"/>
            <w:r w:rsidRPr="00966EA7">
              <w:rPr>
                <w:rFonts w:ascii="Times New Roman" w:hAnsi="Times New Roman" w:cs="Times New Roman"/>
                <w:sz w:val="18"/>
                <w:szCs w:val="18"/>
              </w:rPr>
              <w:t>PlayerLoad</w:t>
            </w:r>
            <w:r w:rsidRPr="00966EA7">
              <w:rPr>
                <w:rFonts w:ascii="Times New Roman" w:hAnsi="Times New Roman" w:cs="Times New Roman"/>
                <w:sz w:val="18"/>
                <w:szCs w:val="18"/>
                <w:vertAlign w:val="superscript"/>
              </w:rPr>
              <w:t>TM</w:t>
            </w:r>
            <w:proofErr w:type="spellEnd"/>
            <w:r w:rsidRPr="00966EA7">
              <w:rPr>
                <w:rFonts w:ascii="Times New Roman" w:hAnsi="Times New Roman" w:cs="Times New Roman"/>
                <w:sz w:val="18"/>
                <w:szCs w:val="18"/>
              </w:rPr>
              <w:t xml:space="preserve"> Forward; PL</w:t>
            </w:r>
            <w:r w:rsidRPr="00966EA7">
              <w:rPr>
                <w:rFonts w:ascii="Times New Roman" w:hAnsi="Times New Roman" w:cs="Times New Roman"/>
                <w:sz w:val="18"/>
                <w:szCs w:val="18"/>
                <w:vertAlign w:val="superscript"/>
              </w:rPr>
              <w:t>1D-SIDE</w:t>
            </w:r>
            <w:r w:rsidRPr="00966EA7">
              <w:rPr>
                <w:rFonts w:ascii="Times New Roman" w:hAnsi="Times New Roman" w:cs="Times New Roman"/>
                <w:sz w:val="18"/>
                <w:szCs w:val="18"/>
              </w:rPr>
              <w:t xml:space="preserve"> = 1-Dimensional </w:t>
            </w:r>
            <w:proofErr w:type="spellStart"/>
            <w:r w:rsidRPr="00966EA7">
              <w:rPr>
                <w:rFonts w:ascii="Times New Roman" w:hAnsi="Times New Roman" w:cs="Times New Roman"/>
                <w:sz w:val="18"/>
                <w:szCs w:val="18"/>
              </w:rPr>
              <w:t>PlayerLoad</w:t>
            </w:r>
            <w:r w:rsidRPr="00966EA7">
              <w:rPr>
                <w:rFonts w:ascii="Times New Roman" w:hAnsi="Times New Roman" w:cs="Times New Roman"/>
                <w:sz w:val="18"/>
                <w:szCs w:val="18"/>
                <w:vertAlign w:val="superscript"/>
              </w:rPr>
              <w:t>TM</w:t>
            </w:r>
            <w:proofErr w:type="spellEnd"/>
            <w:r w:rsidRPr="00966EA7">
              <w:rPr>
                <w:rFonts w:ascii="Times New Roman" w:hAnsi="Times New Roman" w:cs="Times New Roman"/>
                <w:sz w:val="18"/>
                <w:szCs w:val="18"/>
              </w:rPr>
              <w:t xml:space="preserve"> Side; PL</w:t>
            </w:r>
            <w:r w:rsidRPr="00966EA7">
              <w:rPr>
                <w:rFonts w:ascii="Times New Roman" w:hAnsi="Times New Roman" w:cs="Times New Roman"/>
                <w:sz w:val="18"/>
                <w:szCs w:val="18"/>
                <w:vertAlign w:val="superscript"/>
              </w:rPr>
              <w:t>1D-UP</w:t>
            </w:r>
            <w:r w:rsidRPr="00966EA7">
              <w:rPr>
                <w:rFonts w:ascii="Times New Roman" w:hAnsi="Times New Roman" w:cs="Times New Roman"/>
                <w:sz w:val="18"/>
                <w:szCs w:val="18"/>
              </w:rPr>
              <w:t xml:space="preserve"> = 1-Dimensional </w:t>
            </w:r>
            <w:proofErr w:type="spellStart"/>
            <w:r w:rsidRPr="00966EA7">
              <w:rPr>
                <w:rFonts w:ascii="Times New Roman" w:hAnsi="Times New Roman" w:cs="Times New Roman"/>
                <w:sz w:val="18"/>
                <w:szCs w:val="18"/>
              </w:rPr>
              <w:t>PlayerLoad</w:t>
            </w:r>
            <w:r w:rsidRPr="00966EA7">
              <w:rPr>
                <w:rFonts w:ascii="Times New Roman" w:hAnsi="Times New Roman" w:cs="Times New Roman"/>
                <w:sz w:val="18"/>
                <w:szCs w:val="18"/>
                <w:vertAlign w:val="superscript"/>
              </w:rPr>
              <w:t>TM</w:t>
            </w:r>
            <w:proofErr w:type="spellEnd"/>
            <w:r w:rsidRPr="00966EA7">
              <w:rPr>
                <w:rFonts w:ascii="Times New Roman" w:hAnsi="Times New Roman" w:cs="Times New Roman"/>
                <w:sz w:val="18"/>
                <w:szCs w:val="18"/>
              </w:rPr>
              <w:t xml:space="preserve"> Up; </w:t>
            </w:r>
            <w:proofErr w:type="spellStart"/>
            <w:r w:rsidRPr="00966EA7">
              <w:rPr>
                <w:rFonts w:ascii="Times New Roman" w:hAnsi="Times New Roman" w:cs="Times New Roman"/>
                <w:sz w:val="18"/>
                <w:szCs w:val="18"/>
              </w:rPr>
              <w:t>IMA_High</w:t>
            </w:r>
            <w:proofErr w:type="spellEnd"/>
            <w:r w:rsidRPr="00966EA7">
              <w:rPr>
                <w:rFonts w:ascii="Times New Roman" w:hAnsi="Times New Roman" w:cs="Times New Roman"/>
                <w:sz w:val="18"/>
                <w:szCs w:val="18"/>
              </w:rPr>
              <w:t xml:space="preserve"> = High Intensity (&gt; 3.5 m•s</w:t>
            </w:r>
            <w:r w:rsidRPr="00966EA7">
              <w:rPr>
                <w:rFonts w:ascii="Times New Roman" w:hAnsi="Times New Roman" w:cs="Times New Roman"/>
                <w:sz w:val="18"/>
                <w:szCs w:val="18"/>
                <w:vertAlign w:val="superscript"/>
              </w:rPr>
              <w:t>-1</w:t>
            </w:r>
            <w:r w:rsidRPr="00966EA7">
              <w:rPr>
                <w:rFonts w:ascii="Times New Roman" w:hAnsi="Times New Roman" w:cs="Times New Roman"/>
                <w:sz w:val="18"/>
                <w:szCs w:val="18"/>
              </w:rPr>
              <w:t xml:space="preserve">) Inertial Movement </w:t>
            </w:r>
            <w:proofErr w:type="spellStart"/>
            <w:r w:rsidRPr="00966EA7">
              <w:rPr>
                <w:rFonts w:ascii="Times New Roman" w:hAnsi="Times New Roman" w:cs="Times New Roman"/>
                <w:sz w:val="18"/>
                <w:szCs w:val="18"/>
              </w:rPr>
              <w:t>Analysis</w:t>
            </w:r>
            <w:r w:rsidRPr="00966EA7">
              <w:rPr>
                <w:rFonts w:ascii="Times New Roman" w:hAnsi="Times New Roman" w:cs="Times New Roman"/>
                <w:sz w:val="18"/>
                <w:szCs w:val="18"/>
                <w:vertAlign w:val="superscript"/>
              </w:rPr>
              <w:t>TM</w:t>
            </w:r>
            <w:proofErr w:type="spellEnd"/>
            <w:r w:rsidRPr="00966EA7">
              <w:rPr>
                <w:rFonts w:ascii="Times New Roman" w:hAnsi="Times New Roman" w:cs="Times New Roman"/>
                <w:sz w:val="18"/>
                <w:szCs w:val="18"/>
              </w:rPr>
              <w:t xml:space="preserve"> events; </w:t>
            </w:r>
            <w:proofErr w:type="spellStart"/>
            <w:r w:rsidRPr="00966EA7">
              <w:rPr>
                <w:rFonts w:ascii="Times New Roman" w:hAnsi="Times New Roman" w:cs="Times New Roman"/>
                <w:sz w:val="18"/>
                <w:szCs w:val="18"/>
              </w:rPr>
              <w:t>IMA_Medium</w:t>
            </w:r>
            <w:proofErr w:type="spellEnd"/>
            <w:r w:rsidRPr="00966EA7">
              <w:rPr>
                <w:rFonts w:ascii="Times New Roman" w:hAnsi="Times New Roman" w:cs="Times New Roman"/>
                <w:sz w:val="18"/>
                <w:szCs w:val="18"/>
              </w:rPr>
              <w:t xml:space="preserve"> = Medium Intensity (2.5 to 3.5 m•s</w:t>
            </w:r>
            <w:r w:rsidRPr="00966EA7">
              <w:rPr>
                <w:rFonts w:ascii="Times New Roman" w:hAnsi="Times New Roman" w:cs="Times New Roman"/>
                <w:sz w:val="18"/>
                <w:szCs w:val="18"/>
                <w:vertAlign w:val="superscript"/>
              </w:rPr>
              <w:t>-1</w:t>
            </w:r>
            <w:r w:rsidRPr="00966EA7">
              <w:rPr>
                <w:rFonts w:ascii="Times New Roman" w:hAnsi="Times New Roman" w:cs="Times New Roman"/>
                <w:sz w:val="18"/>
                <w:szCs w:val="18"/>
              </w:rPr>
              <w:t xml:space="preserve">) Inertial Movement </w:t>
            </w:r>
            <w:proofErr w:type="spellStart"/>
            <w:r w:rsidRPr="00966EA7">
              <w:rPr>
                <w:rFonts w:ascii="Times New Roman" w:hAnsi="Times New Roman" w:cs="Times New Roman"/>
                <w:sz w:val="18"/>
                <w:szCs w:val="18"/>
              </w:rPr>
              <w:t>Analysis</w:t>
            </w:r>
            <w:r w:rsidRPr="00966EA7">
              <w:rPr>
                <w:rFonts w:ascii="Times New Roman" w:hAnsi="Times New Roman" w:cs="Times New Roman"/>
                <w:sz w:val="18"/>
                <w:szCs w:val="18"/>
                <w:vertAlign w:val="superscript"/>
              </w:rPr>
              <w:t>TM</w:t>
            </w:r>
            <w:proofErr w:type="spellEnd"/>
            <w:r w:rsidRPr="00966EA7">
              <w:rPr>
                <w:rFonts w:ascii="Times New Roman" w:hAnsi="Times New Roman" w:cs="Times New Roman"/>
                <w:sz w:val="18"/>
                <w:szCs w:val="18"/>
              </w:rPr>
              <w:t xml:space="preserve"> events; </w:t>
            </w:r>
            <w:proofErr w:type="spellStart"/>
            <w:r w:rsidRPr="00966EA7">
              <w:rPr>
                <w:rFonts w:ascii="Times New Roman" w:hAnsi="Times New Roman" w:cs="Times New Roman"/>
                <w:sz w:val="18"/>
                <w:szCs w:val="18"/>
              </w:rPr>
              <w:t>IMA_Low</w:t>
            </w:r>
            <w:proofErr w:type="spellEnd"/>
            <w:r w:rsidRPr="00966EA7">
              <w:rPr>
                <w:rFonts w:ascii="Times New Roman" w:hAnsi="Times New Roman" w:cs="Times New Roman"/>
                <w:sz w:val="18"/>
                <w:szCs w:val="18"/>
              </w:rPr>
              <w:t xml:space="preserve"> = Low Intensity (1.5 to 2.5 m•s</w:t>
            </w:r>
            <w:r w:rsidRPr="00966EA7">
              <w:rPr>
                <w:rFonts w:ascii="Times New Roman" w:hAnsi="Times New Roman" w:cs="Times New Roman"/>
                <w:sz w:val="18"/>
                <w:szCs w:val="18"/>
                <w:vertAlign w:val="superscript"/>
              </w:rPr>
              <w:t>-1</w:t>
            </w:r>
            <w:r w:rsidRPr="00966EA7">
              <w:rPr>
                <w:rFonts w:ascii="Times New Roman" w:hAnsi="Times New Roman" w:cs="Times New Roman"/>
                <w:sz w:val="18"/>
                <w:szCs w:val="18"/>
              </w:rPr>
              <w:t xml:space="preserve">) Inertial Movement </w:t>
            </w:r>
            <w:proofErr w:type="spellStart"/>
            <w:r w:rsidRPr="00966EA7">
              <w:rPr>
                <w:rFonts w:ascii="Times New Roman" w:hAnsi="Times New Roman" w:cs="Times New Roman"/>
                <w:sz w:val="18"/>
                <w:szCs w:val="18"/>
              </w:rPr>
              <w:t>Analysis</w:t>
            </w:r>
            <w:r w:rsidRPr="00966EA7">
              <w:rPr>
                <w:rFonts w:ascii="Times New Roman" w:hAnsi="Times New Roman" w:cs="Times New Roman"/>
                <w:sz w:val="18"/>
                <w:szCs w:val="18"/>
                <w:vertAlign w:val="superscript"/>
              </w:rPr>
              <w:t>TM</w:t>
            </w:r>
            <w:proofErr w:type="spellEnd"/>
            <w:r w:rsidRPr="00966EA7">
              <w:rPr>
                <w:rFonts w:ascii="Times New Roman" w:hAnsi="Times New Roman" w:cs="Times New Roman"/>
                <w:sz w:val="18"/>
                <w:szCs w:val="18"/>
              </w:rPr>
              <w:t xml:space="preserve"> events; Jumps = Total number of Jump events (including High, Medium, and Low intensities); au = arbitrary units; </w:t>
            </w:r>
            <w:proofErr w:type="spellStart"/>
            <w:r w:rsidRPr="00966EA7">
              <w:rPr>
                <w:rFonts w:ascii="Times New Roman" w:hAnsi="Times New Roman" w:cs="Times New Roman"/>
                <w:sz w:val="18"/>
                <w:szCs w:val="18"/>
              </w:rPr>
              <w:t>cts</w:t>
            </w:r>
            <w:proofErr w:type="spellEnd"/>
            <w:r w:rsidRPr="00966EA7">
              <w:rPr>
                <w:rFonts w:ascii="Times New Roman" w:hAnsi="Times New Roman" w:cs="Times New Roman"/>
                <w:sz w:val="18"/>
                <w:szCs w:val="18"/>
              </w:rPr>
              <w:t xml:space="preserve"> = counts; * = statistically significant, set at p ≤ 0.05; </w:t>
            </w:r>
            <w:r w:rsidRPr="00966EA7">
              <w:rPr>
                <w:rFonts w:ascii="Times New Roman" w:hAnsi="Times New Roman" w:cs="Times New Roman"/>
                <w:bCs/>
                <w:i/>
                <w:sz w:val="18"/>
                <w:szCs w:val="18"/>
                <w:lang w:bidi="en-US"/>
              </w:rPr>
              <w:t xml:space="preserve">d = </w:t>
            </w:r>
            <w:r w:rsidRPr="00966EA7">
              <w:rPr>
                <w:rFonts w:ascii="Times New Roman" w:hAnsi="Times New Roman" w:cs="Times New Roman"/>
                <w:bCs/>
                <w:sz w:val="18"/>
                <w:szCs w:val="18"/>
                <w:lang w:bidi="en-US"/>
              </w:rPr>
              <w:t xml:space="preserve">Cohen’s </w:t>
            </w:r>
            <w:r w:rsidRPr="00966EA7">
              <w:rPr>
                <w:rFonts w:ascii="Times New Roman" w:hAnsi="Times New Roman" w:cs="Times New Roman"/>
                <w:bCs/>
                <w:i/>
                <w:sz w:val="18"/>
                <w:szCs w:val="18"/>
                <w:lang w:bidi="en-US"/>
              </w:rPr>
              <w:t>d</w:t>
            </w:r>
            <w:r w:rsidRPr="00966EA7">
              <w:rPr>
                <w:rFonts w:ascii="Times New Roman" w:hAnsi="Times New Roman" w:cs="Times New Roman"/>
                <w:bCs/>
                <w:sz w:val="18"/>
                <w:szCs w:val="18"/>
                <w:lang w:bidi="en-US"/>
              </w:rPr>
              <w:t xml:space="preserve">, interpreted as </w:t>
            </w:r>
            <w:r w:rsidRPr="00966EA7">
              <w:rPr>
                <w:rFonts w:ascii="Times New Roman" w:hAnsi="Times New Roman" w:cs="Times New Roman"/>
                <w:sz w:val="18"/>
                <w:szCs w:val="18"/>
                <w:lang w:bidi="en-US"/>
              </w:rPr>
              <w:t>trivial (0–0.19), small (0.20–0.49), medium (0.50–0.79), and large (≥ 0.80).</w:t>
            </w:r>
          </w:p>
        </w:tc>
      </w:tr>
    </w:tbl>
    <w:p w14:paraId="058FF583" w14:textId="77777777" w:rsidR="009060D9" w:rsidRDefault="009060D9" w:rsidP="009060D9">
      <w:pPr>
        <w:spacing w:line="480" w:lineRule="auto"/>
        <w:rPr>
          <w:rFonts w:ascii="Times New Roman" w:hAnsi="Times New Roman" w:cs="Times New Roman"/>
        </w:rPr>
      </w:pPr>
    </w:p>
    <w:p w14:paraId="29450937" w14:textId="20C6EE2A" w:rsidR="00F559F0" w:rsidRDefault="00C868EF" w:rsidP="004556BF">
      <w:pPr>
        <w:spacing w:line="480" w:lineRule="auto"/>
        <w:jc w:val="center"/>
        <w:rPr>
          <w:rFonts w:ascii="Times New Roman" w:hAnsi="Times New Roman" w:cs="Times New Roman"/>
        </w:rPr>
      </w:pPr>
      <w:r>
        <w:rPr>
          <w:noProof/>
        </w:rPr>
        <w:lastRenderedPageBreak/>
        <w:drawing>
          <wp:inline distT="0" distB="0" distL="0" distR="0" wp14:anchorId="5BC226BE" wp14:editId="6CB8407E">
            <wp:extent cx="5990308" cy="6478621"/>
            <wp:effectExtent l="0" t="0" r="0" b="5080"/>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90308" cy="6478621"/>
                    </a:xfrm>
                    <a:prstGeom prst="rect">
                      <a:avLst/>
                    </a:prstGeom>
                  </pic:spPr>
                </pic:pic>
              </a:graphicData>
            </a:graphic>
          </wp:inline>
        </w:drawing>
      </w:r>
    </w:p>
    <w:p w14:paraId="5836C88E" w14:textId="7603CC6C" w:rsidR="00345844" w:rsidRDefault="00345844" w:rsidP="000D387D">
      <w:pPr>
        <w:spacing w:line="480" w:lineRule="auto"/>
        <w:rPr>
          <w:rStyle w:val="Heading3Char"/>
          <w:rFonts w:ascii="Times New Roman" w:hAnsi="Times New Roman" w:cs="Times New Roman"/>
          <w:b/>
          <w:bCs/>
          <w:i/>
          <w:iCs/>
          <w:color w:val="000000" w:themeColor="text1"/>
        </w:rPr>
      </w:pPr>
      <w:r>
        <w:rPr>
          <w:noProof/>
        </w:rPr>
        <mc:AlternateContent>
          <mc:Choice Requires="wps">
            <w:drawing>
              <wp:anchor distT="0" distB="0" distL="114300" distR="114300" simplePos="0" relativeHeight="251700224" behindDoc="0" locked="0" layoutInCell="1" allowOverlap="1" wp14:anchorId="01D27479" wp14:editId="5FC63E5A">
                <wp:simplePos x="0" y="0"/>
                <wp:positionH relativeFrom="column">
                  <wp:posOffset>335915</wp:posOffset>
                </wp:positionH>
                <wp:positionV relativeFrom="paragraph">
                  <wp:posOffset>487140</wp:posOffset>
                </wp:positionV>
                <wp:extent cx="5229860" cy="635"/>
                <wp:effectExtent l="0" t="0" r="2540" b="12065"/>
                <wp:wrapTopAndBottom/>
                <wp:docPr id="59" name="Text Box 59"/>
                <wp:cNvGraphicFramePr/>
                <a:graphic xmlns:a="http://schemas.openxmlformats.org/drawingml/2006/main">
                  <a:graphicData uri="http://schemas.microsoft.com/office/word/2010/wordprocessingShape">
                    <wps:wsp>
                      <wps:cNvSpPr txBox="1"/>
                      <wps:spPr>
                        <a:xfrm>
                          <a:off x="0" y="0"/>
                          <a:ext cx="5229860" cy="635"/>
                        </a:xfrm>
                        <a:prstGeom prst="rect">
                          <a:avLst/>
                        </a:prstGeom>
                        <a:solidFill>
                          <a:prstClr val="white"/>
                        </a:solidFill>
                        <a:ln>
                          <a:noFill/>
                        </a:ln>
                      </wps:spPr>
                      <wps:txbx>
                        <w:txbxContent>
                          <w:p w14:paraId="54618F05" w14:textId="6287D89E" w:rsidR="00345844" w:rsidRPr="00345844" w:rsidRDefault="00345844" w:rsidP="00345844">
                            <w:pPr>
                              <w:pStyle w:val="Caption"/>
                              <w:jc w:val="center"/>
                              <w:rPr>
                                <w:rFonts w:ascii="Times New Roman" w:hAnsi="Times New Roman"/>
                                <w:sz w:val="20"/>
                                <w:szCs w:val="20"/>
                              </w:rPr>
                            </w:pPr>
                            <w:bookmarkStart w:id="66" w:name="_Toc100670668"/>
                            <w:r w:rsidRPr="00345844">
                              <w:rPr>
                                <w:rFonts w:ascii="Times New Roman" w:hAnsi="Times New Roman"/>
                                <w:sz w:val="20"/>
                                <w:szCs w:val="20"/>
                              </w:rPr>
                              <w:t xml:space="preserve">Figure </w:t>
                            </w:r>
                            <w:r w:rsidRPr="00345844">
                              <w:rPr>
                                <w:rFonts w:ascii="Times New Roman" w:hAnsi="Times New Roman"/>
                                <w:sz w:val="20"/>
                                <w:szCs w:val="20"/>
                              </w:rPr>
                              <w:fldChar w:fldCharType="begin"/>
                            </w:r>
                            <w:r w:rsidRPr="00345844">
                              <w:rPr>
                                <w:rFonts w:ascii="Times New Roman" w:hAnsi="Times New Roman"/>
                                <w:sz w:val="20"/>
                                <w:szCs w:val="20"/>
                              </w:rPr>
                              <w:instrText xml:space="preserve"> SEQ Figure \* ARABIC </w:instrText>
                            </w:r>
                            <w:r w:rsidRPr="00345844">
                              <w:rPr>
                                <w:rFonts w:ascii="Times New Roman" w:hAnsi="Times New Roman"/>
                                <w:sz w:val="20"/>
                                <w:szCs w:val="20"/>
                              </w:rPr>
                              <w:fldChar w:fldCharType="separate"/>
                            </w:r>
                            <w:r w:rsidR="002101E0">
                              <w:rPr>
                                <w:rFonts w:ascii="Times New Roman" w:hAnsi="Times New Roman"/>
                                <w:noProof/>
                                <w:sz w:val="20"/>
                                <w:szCs w:val="20"/>
                              </w:rPr>
                              <w:t>4</w:t>
                            </w:r>
                            <w:r w:rsidRPr="00345844">
                              <w:rPr>
                                <w:rFonts w:ascii="Times New Roman" w:hAnsi="Times New Roman"/>
                                <w:sz w:val="20"/>
                                <w:szCs w:val="20"/>
                              </w:rPr>
                              <w:fldChar w:fldCharType="end"/>
                            </w:r>
                            <w:r w:rsidRPr="00345844">
                              <w:rPr>
                                <w:rFonts w:ascii="Times New Roman" w:hAnsi="Times New Roman"/>
                                <w:sz w:val="20"/>
                                <w:szCs w:val="20"/>
                              </w:rPr>
                              <w:t>. Differences in External Training Loads between Week</w:t>
                            </w:r>
                            <w:bookmarkEnd w:id="66"/>
                          </w:p>
                          <w:p w14:paraId="32653125" w14:textId="6F1B2611" w:rsidR="00345844" w:rsidRPr="00345844" w:rsidRDefault="00345844" w:rsidP="00345844">
                            <w:pPr>
                              <w:rPr>
                                <w:rFonts w:ascii="Times New Roman" w:hAnsi="Times New Roman" w:cs="Times New Roman"/>
                                <w:sz w:val="20"/>
                                <w:szCs w:val="20"/>
                                <w:lang w:bidi="en-US"/>
                              </w:rPr>
                            </w:pPr>
                          </w:p>
                          <w:p w14:paraId="7F903AE8" w14:textId="611C7177" w:rsidR="00345844" w:rsidRPr="00345844" w:rsidRDefault="00345844" w:rsidP="00345844">
                            <w:pPr>
                              <w:jc w:val="center"/>
                              <w:rPr>
                                <w:rFonts w:ascii="Times New Roman" w:hAnsi="Times New Roman" w:cs="Times New Roman"/>
                                <w:sz w:val="20"/>
                                <w:szCs w:val="20"/>
                                <w:lang w:bidi="en-US"/>
                              </w:rPr>
                            </w:pPr>
                            <w:r w:rsidRPr="00345844">
                              <w:rPr>
                                <w:rFonts w:ascii="Times New Roman" w:hAnsi="Times New Roman" w:cs="Times New Roman"/>
                                <w:sz w:val="20"/>
                                <w:szCs w:val="20"/>
                                <w:lang w:bidi="en-US"/>
                              </w:rPr>
                              <w:t>Note: Data presented as Mean (Standard Error); A. = External Traing Load variables; B. = PlayerLoad per Minute; C. = Inertial Movement Analysis (IMA) Events; au = arbitrary units</w:t>
                            </w:r>
                            <w:r>
                              <w:rPr>
                                <w:rFonts w:ascii="Times New Roman" w:hAnsi="Times New Roman" w:cs="Times New Roman"/>
                                <w:sz w:val="20"/>
                                <w:szCs w:val="20"/>
                                <w:lang w:bidi="en-US"/>
                              </w:rPr>
                              <w:t>; * = Significant difference between week</w:t>
                            </w:r>
                            <w:r w:rsidR="00FB187F">
                              <w:rPr>
                                <w:rFonts w:ascii="Times New Roman" w:hAnsi="Times New Roman" w:cs="Times New Roman"/>
                                <w:sz w:val="20"/>
                                <w:szCs w:val="20"/>
                                <w:lang w:bidi="en-US"/>
                              </w:rPr>
                              <w:t>,</w:t>
                            </w:r>
                            <w:r>
                              <w:rPr>
                                <w:rFonts w:ascii="Times New Roman" w:hAnsi="Times New Roman" w:cs="Times New Roman"/>
                                <w:sz w:val="20"/>
                                <w:szCs w:val="20"/>
                                <w:lang w:bidi="en-US"/>
                              </w:rPr>
                              <w:t xml:space="preserve"> set at p ≤ 0.05</w:t>
                            </w:r>
                            <w:r w:rsidR="00863379">
                              <w:rPr>
                                <w:rFonts w:ascii="Times New Roman" w:hAnsi="Times New Roman" w:cs="Times New Roman"/>
                                <w:sz w:val="20"/>
                                <w:szCs w:val="20"/>
                                <w:lang w:bidi="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D27479" id="Text Box 59" o:spid="_x0000_s1029" type="#_x0000_t202" style="position:absolute;margin-left:26.45pt;margin-top:38.35pt;width:411.8pt;height:.0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" stroked="f">
                <v:textbox style="mso-fit-shape-to-text:t" inset="0,0,0,0">
                  <w:txbxContent>
                    <w:p w14:paraId="54618F05" w14:textId="6287D89E" w:rsidR="00345844" w:rsidRPr="00345844" w:rsidRDefault="00345844" w:rsidP="00345844">
                      <w:pPr>
                        <w:pStyle w:val="Caption"/>
                        <w:jc w:val="center"/>
                        <w:rPr>
                          <w:rFonts w:ascii="Times New Roman" w:hAnsi="Times New Roman"/>
                          <w:sz w:val="20"/>
                          <w:szCs w:val="20"/>
                        </w:rPr>
                      </w:pPr>
                      <w:bookmarkStart w:id="70" w:name="_Toc100670668"/>
                      <w:r w:rsidRPr="00345844">
                        <w:rPr>
                          <w:rFonts w:ascii="Times New Roman" w:hAnsi="Times New Roman"/>
                          <w:sz w:val="20"/>
                          <w:szCs w:val="20"/>
                        </w:rPr>
                        <w:t xml:space="preserve">Figure </w:t>
                      </w:r>
                      <w:r w:rsidRPr="00345844">
                        <w:rPr>
                          <w:rFonts w:ascii="Times New Roman" w:hAnsi="Times New Roman"/>
                          <w:sz w:val="20"/>
                          <w:szCs w:val="20"/>
                        </w:rPr>
                        <w:fldChar w:fldCharType="begin"/>
                      </w:r>
                      <w:r w:rsidRPr="00345844">
                        <w:rPr>
                          <w:rFonts w:ascii="Times New Roman" w:hAnsi="Times New Roman"/>
                          <w:sz w:val="20"/>
                          <w:szCs w:val="20"/>
                        </w:rPr>
                        <w:instrText xml:space="preserve"> SEQ Figure \* ARABIC </w:instrText>
                      </w:r>
                      <w:r w:rsidRPr="00345844">
                        <w:rPr>
                          <w:rFonts w:ascii="Times New Roman" w:hAnsi="Times New Roman"/>
                          <w:sz w:val="20"/>
                          <w:szCs w:val="20"/>
                        </w:rPr>
                        <w:fldChar w:fldCharType="separate"/>
                      </w:r>
                      <w:r w:rsidR="002101E0">
                        <w:rPr>
                          <w:rFonts w:ascii="Times New Roman" w:hAnsi="Times New Roman"/>
                          <w:noProof/>
                          <w:sz w:val="20"/>
                          <w:szCs w:val="20"/>
                        </w:rPr>
                        <w:t>4</w:t>
                      </w:r>
                      <w:r w:rsidRPr="00345844">
                        <w:rPr>
                          <w:rFonts w:ascii="Times New Roman" w:hAnsi="Times New Roman"/>
                          <w:sz w:val="20"/>
                          <w:szCs w:val="20"/>
                        </w:rPr>
                        <w:fldChar w:fldCharType="end"/>
                      </w:r>
                      <w:r w:rsidRPr="00345844">
                        <w:rPr>
                          <w:rFonts w:ascii="Times New Roman" w:hAnsi="Times New Roman"/>
                          <w:sz w:val="20"/>
                          <w:szCs w:val="20"/>
                        </w:rPr>
                        <w:t>. Differences in External Training Loads between Week</w:t>
                      </w:r>
                      <w:bookmarkEnd w:id="70"/>
                    </w:p>
                    <w:p w14:paraId="32653125" w14:textId="6F1B2611" w:rsidR="00345844" w:rsidRPr="00345844" w:rsidRDefault="00345844" w:rsidP="00345844">
                      <w:pPr>
                        <w:rPr>
                          <w:rFonts w:ascii="Times New Roman" w:hAnsi="Times New Roman" w:cs="Times New Roman"/>
                          <w:sz w:val="20"/>
                          <w:szCs w:val="20"/>
                          <w:lang w:bidi="en-US"/>
                        </w:rPr>
                      </w:pPr>
                    </w:p>
                    <w:p w14:paraId="7F903AE8" w14:textId="611C7177" w:rsidR="00345844" w:rsidRPr="00345844" w:rsidRDefault="00345844" w:rsidP="00345844">
                      <w:pPr>
                        <w:jc w:val="center"/>
                        <w:rPr>
                          <w:rFonts w:ascii="Times New Roman" w:hAnsi="Times New Roman" w:cs="Times New Roman"/>
                          <w:sz w:val="20"/>
                          <w:szCs w:val="20"/>
                          <w:lang w:bidi="en-US"/>
                        </w:rPr>
                      </w:pPr>
                      <w:r w:rsidRPr="00345844">
                        <w:rPr>
                          <w:rFonts w:ascii="Times New Roman" w:hAnsi="Times New Roman" w:cs="Times New Roman"/>
                          <w:sz w:val="20"/>
                          <w:szCs w:val="20"/>
                          <w:lang w:bidi="en-US"/>
                        </w:rPr>
                        <w:t>Note: Data presented as Mean (Standard Error); A. = External Traing Load variables; B. = PlayerLoad per Minute; C. = Inertial Movement Analysis (IMA) Events; au = arbitrary units</w:t>
                      </w:r>
                      <w:r>
                        <w:rPr>
                          <w:rFonts w:ascii="Times New Roman" w:hAnsi="Times New Roman" w:cs="Times New Roman"/>
                          <w:sz w:val="20"/>
                          <w:szCs w:val="20"/>
                          <w:lang w:bidi="en-US"/>
                        </w:rPr>
                        <w:t>; * = Significant difference between week</w:t>
                      </w:r>
                      <w:r w:rsidR="00FB187F">
                        <w:rPr>
                          <w:rFonts w:ascii="Times New Roman" w:hAnsi="Times New Roman" w:cs="Times New Roman"/>
                          <w:sz w:val="20"/>
                          <w:szCs w:val="20"/>
                          <w:lang w:bidi="en-US"/>
                        </w:rPr>
                        <w:t>,</w:t>
                      </w:r>
                      <w:r>
                        <w:rPr>
                          <w:rFonts w:ascii="Times New Roman" w:hAnsi="Times New Roman" w:cs="Times New Roman"/>
                          <w:sz w:val="20"/>
                          <w:szCs w:val="20"/>
                          <w:lang w:bidi="en-US"/>
                        </w:rPr>
                        <w:t xml:space="preserve"> set at p ≤ 0.05</w:t>
                      </w:r>
                      <w:r w:rsidR="00863379">
                        <w:rPr>
                          <w:rFonts w:ascii="Times New Roman" w:hAnsi="Times New Roman" w:cs="Times New Roman"/>
                          <w:sz w:val="20"/>
                          <w:szCs w:val="20"/>
                          <w:lang w:bidi="en-US"/>
                        </w:rPr>
                        <w:t>.</w:t>
                      </w:r>
                    </w:p>
                  </w:txbxContent>
                </v:textbox>
                <w10:wrap type="topAndBottom"/>
              </v:shape>
            </w:pict>
          </mc:Fallback>
        </mc:AlternateContent>
      </w:r>
    </w:p>
    <w:p w14:paraId="3CA13BD2" w14:textId="753B10E3" w:rsidR="00B52A76" w:rsidRDefault="00B52A76" w:rsidP="000D387D">
      <w:pPr>
        <w:spacing w:line="480" w:lineRule="auto"/>
        <w:rPr>
          <w:rStyle w:val="Heading3Char"/>
          <w:rFonts w:ascii="Times New Roman" w:hAnsi="Times New Roman" w:cs="Times New Roman"/>
          <w:b/>
          <w:bCs/>
          <w:i/>
          <w:iCs/>
          <w:color w:val="000000" w:themeColor="text1"/>
        </w:rPr>
      </w:pPr>
    </w:p>
    <w:p w14:paraId="5843CE34" w14:textId="6E23421D" w:rsidR="00763733" w:rsidRPr="00F571A7" w:rsidRDefault="004B36EA" w:rsidP="000D387D">
      <w:pPr>
        <w:spacing w:line="480" w:lineRule="auto"/>
      </w:pPr>
      <w:bookmarkStart w:id="67" w:name="_Toc99267641"/>
      <w:r w:rsidRPr="000D387D">
        <w:rPr>
          <w:rStyle w:val="Heading3Char"/>
          <w:rFonts w:ascii="Times New Roman" w:hAnsi="Times New Roman" w:cs="Times New Roman"/>
          <w:b/>
          <w:bCs/>
          <w:i/>
          <w:iCs/>
          <w:color w:val="000000" w:themeColor="text1"/>
        </w:rPr>
        <w:lastRenderedPageBreak/>
        <w:t>Internal Training Load</w:t>
      </w:r>
      <w:bookmarkEnd w:id="67"/>
      <w:r w:rsidRPr="000D387D">
        <w:rPr>
          <w:rFonts w:ascii="Times New Roman" w:hAnsi="Times New Roman" w:cs="Times New Roman"/>
          <w:b/>
          <w:bCs/>
          <w:i/>
          <w:iCs/>
        </w:rPr>
        <w:t>:</w:t>
      </w:r>
    </w:p>
    <w:p w14:paraId="5BBF771C" w14:textId="66210CE7" w:rsidR="00DA28B7" w:rsidRDefault="004B36EA" w:rsidP="00F829B9">
      <w:pPr>
        <w:spacing w:line="480" w:lineRule="auto"/>
        <w:jc w:val="both"/>
        <w:rPr>
          <w:rFonts w:ascii="Times New Roman" w:hAnsi="Times New Roman" w:cs="Times New Roman"/>
        </w:rPr>
      </w:pPr>
      <w:r>
        <w:rPr>
          <w:rFonts w:ascii="Times New Roman" w:hAnsi="Times New Roman" w:cs="Times New Roman"/>
        </w:rPr>
        <w:tab/>
      </w:r>
      <w:r w:rsidR="004E73A3">
        <w:rPr>
          <w:rFonts w:ascii="Times New Roman" w:hAnsi="Times New Roman" w:cs="Times New Roman"/>
        </w:rPr>
        <w:t xml:space="preserve">Data from 11 participants were included in the objective </w:t>
      </w:r>
      <w:proofErr w:type="spellStart"/>
      <w:r w:rsidR="004E73A3">
        <w:rPr>
          <w:rFonts w:ascii="Times New Roman" w:hAnsi="Times New Roman" w:cs="Times New Roman"/>
        </w:rPr>
        <w:t>iTL</w:t>
      </w:r>
      <w:proofErr w:type="spellEnd"/>
      <w:r w:rsidR="004E73A3">
        <w:rPr>
          <w:rFonts w:ascii="Times New Roman" w:hAnsi="Times New Roman" w:cs="Times New Roman"/>
        </w:rPr>
        <w:t xml:space="preserve"> analysis, as four participants w</w:t>
      </w:r>
      <w:r w:rsidR="00563EA8">
        <w:rPr>
          <w:rFonts w:ascii="Times New Roman" w:hAnsi="Times New Roman" w:cs="Times New Roman"/>
        </w:rPr>
        <w:t>ere</w:t>
      </w:r>
      <w:r w:rsidR="004E73A3">
        <w:rPr>
          <w:rFonts w:ascii="Times New Roman" w:hAnsi="Times New Roman" w:cs="Times New Roman"/>
        </w:rPr>
        <w:t xml:space="preserve"> excluded due to missing time points and 14 were included in the subjective </w:t>
      </w:r>
      <w:proofErr w:type="spellStart"/>
      <w:r w:rsidR="004E73A3">
        <w:rPr>
          <w:rFonts w:ascii="Times New Roman" w:hAnsi="Times New Roman" w:cs="Times New Roman"/>
        </w:rPr>
        <w:t>iTL</w:t>
      </w:r>
      <w:proofErr w:type="spellEnd"/>
      <w:r w:rsidR="004E73A3">
        <w:rPr>
          <w:rFonts w:ascii="Times New Roman" w:hAnsi="Times New Roman" w:cs="Times New Roman"/>
        </w:rPr>
        <w:t xml:space="preserve"> analysis due to one participant being excluded for missing time points. </w:t>
      </w:r>
      <w:r>
        <w:rPr>
          <w:rFonts w:ascii="Times New Roman" w:hAnsi="Times New Roman" w:cs="Times New Roman"/>
        </w:rPr>
        <w:t xml:space="preserve">The </w:t>
      </w:r>
      <w:proofErr w:type="spellStart"/>
      <w:r>
        <w:rPr>
          <w:rFonts w:ascii="Times New Roman" w:hAnsi="Times New Roman" w:cs="Times New Roman"/>
        </w:rPr>
        <w:t>iTL</w:t>
      </w:r>
      <w:proofErr w:type="spellEnd"/>
      <w:r>
        <w:rPr>
          <w:rFonts w:ascii="Times New Roman" w:hAnsi="Times New Roman" w:cs="Times New Roman"/>
        </w:rPr>
        <w:t xml:space="preserve"> results and descriptive statistics from Week 1 and Week 4 of the preseason training phase are presented in Table 2. </w:t>
      </w:r>
      <w:r w:rsidR="004F74FD">
        <w:rPr>
          <w:rFonts w:ascii="Times New Roman" w:hAnsi="Times New Roman" w:cs="Times New Roman"/>
        </w:rPr>
        <w:t xml:space="preserve">As presented </w:t>
      </w:r>
      <w:r w:rsidR="00DA28B7">
        <w:rPr>
          <w:rFonts w:ascii="Times New Roman" w:hAnsi="Times New Roman" w:cs="Times New Roman"/>
        </w:rPr>
        <w:t xml:space="preserve">in Figure </w:t>
      </w:r>
      <w:r w:rsidR="008F1439">
        <w:rPr>
          <w:rFonts w:ascii="Times New Roman" w:hAnsi="Times New Roman" w:cs="Times New Roman"/>
        </w:rPr>
        <w:t>5</w:t>
      </w:r>
      <w:r w:rsidR="00DA28B7">
        <w:rPr>
          <w:rFonts w:ascii="Times New Roman" w:hAnsi="Times New Roman" w:cs="Times New Roman"/>
        </w:rPr>
        <w:t>, t</w:t>
      </w:r>
      <w:r>
        <w:rPr>
          <w:rFonts w:ascii="Times New Roman" w:hAnsi="Times New Roman" w:cs="Times New Roman"/>
        </w:rPr>
        <w:t xml:space="preserve">here were no significant differences detected </w:t>
      </w:r>
      <w:r w:rsidR="00C14ADD">
        <w:rPr>
          <w:rFonts w:ascii="Times New Roman" w:hAnsi="Times New Roman" w:cs="Times New Roman"/>
        </w:rPr>
        <w:t xml:space="preserve">across time </w:t>
      </w:r>
      <w:r>
        <w:rPr>
          <w:rFonts w:ascii="Times New Roman" w:hAnsi="Times New Roman" w:cs="Times New Roman"/>
        </w:rPr>
        <w:t xml:space="preserve">for any of the </w:t>
      </w:r>
      <w:r w:rsidR="004F74FD">
        <w:rPr>
          <w:rFonts w:ascii="Times New Roman" w:hAnsi="Times New Roman" w:cs="Times New Roman"/>
        </w:rPr>
        <w:t xml:space="preserve">objective </w:t>
      </w:r>
      <w:proofErr w:type="spellStart"/>
      <w:r>
        <w:rPr>
          <w:rFonts w:ascii="Times New Roman" w:hAnsi="Times New Roman" w:cs="Times New Roman"/>
        </w:rPr>
        <w:t>iTL</w:t>
      </w:r>
      <w:proofErr w:type="spellEnd"/>
      <w:r>
        <w:rPr>
          <w:rFonts w:ascii="Times New Roman" w:hAnsi="Times New Roman" w:cs="Times New Roman"/>
        </w:rPr>
        <w:t xml:space="preserve"> variables</w:t>
      </w:r>
      <w:r w:rsidR="000E4FD8">
        <w:rPr>
          <w:rFonts w:ascii="Times New Roman" w:hAnsi="Times New Roman" w:cs="Times New Roman"/>
        </w:rPr>
        <w:t xml:space="preserve">, </w:t>
      </w:r>
      <w:r w:rsidR="00F27C54">
        <w:rPr>
          <w:rFonts w:ascii="Times New Roman" w:hAnsi="Times New Roman" w:cs="Times New Roman"/>
        </w:rPr>
        <w:t>including Average HR (</w:t>
      </w:r>
      <w:r w:rsidR="00F45F82">
        <w:rPr>
          <w:rFonts w:ascii="Times New Roman" w:hAnsi="Times New Roman" w:cs="Times New Roman"/>
        </w:rPr>
        <w:t xml:space="preserve">Week 1 = 126.0 (5.3); Week 4 = 120.5 (5.4), </w:t>
      </w:r>
      <w:r w:rsidR="00F27C54">
        <w:rPr>
          <w:rFonts w:ascii="Times New Roman" w:hAnsi="Times New Roman" w:cs="Times New Roman"/>
        </w:rPr>
        <w:t>p = 0.303</w:t>
      </w:r>
      <w:r w:rsidR="000E4FD8">
        <w:rPr>
          <w:rFonts w:ascii="Times New Roman" w:hAnsi="Times New Roman" w:cs="Times New Roman"/>
        </w:rPr>
        <w:t xml:space="preserve">, </w:t>
      </w:r>
      <w:r w:rsidR="000E4FD8">
        <w:rPr>
          <w:rFonts w:ascii="Times New Roman" w:hAnsi="Times New Roman" w:cs="Times New Roman"/>
          <w:i/>
          <w:iCs/>
        </w:rPr>
        <w:t>d</w:t>
      </w:r>
      <w:r w:rsidR="000E4FD8">
        <w:rPr>
          <w:rFonts w:ascii="Times New Roman" w:hAnsi="Times New Roman" w:cs="Times New Roman"/>
        </w:rPr>
        <w:t xml:space="preserve"> = 0.31</w:t>
      </w:r>
      <w:r w:rsidR="00F27C54">
        <w:rPr>
          <w:rFonts w:ascii="Times New Roman" w:hAnsi="Times New Roman" w:cs="Times New Roman"/>
        </w:rPr>
        <w:t>), TRIMP (</w:t>
      </w:r>
      <w:r w:rsidR="00F45F82">
        <w:rPr>
          <w:rFonts w:ascii="Times New Roman" w:hAnsi="Times New Roman" w:cs="Times New Roman"/>
        </w:rPr>
        <w:t xml:space="preserve">Week 1 = 109.4 (16.7); Week 4 = 104.8 (17.5), </w:t>
      </w:r>
      <w:r w:rsidR="00F27C54">
        <w:rPr>
          <w:rFonts w:ascii="Times New Roman" w:hAnsi="Times New Roman" w:cs="Times New Roman"/>
        </w:rPr>
        <w:t>p = 0.793</w:t>
      </w:r>
      <w:r w:rsidR="000E4FD8">
        <w:rPr>
          <w:rFonts w:ascii="Times New Roman" w:hAnsi="Times New Roman" w:cs="Times New Roman"/>
        </w:rPr>
        <w:t xml:space="preserve">, </w:t>
      </w:r>
      <w:r w:rsidR="000E4FD8">
        <w:rPr>
          <w:rFonts w:ascii="Times New Roman" w:hAnsi="Times New Roman" w:cs="Times New Roman"/>
          <w:i/>
          <w:iCs/>
        </w:rPr>
        <w:t>d</w:t>
      </w:r>
      <w:r w:rsidR="000E4FD8">
        <w:rPr>
          <w:rFonts w:ascii="Times New Roman" w:hAnsi="Times New Roman" w:cs="Times New Roman"/>
        </w:rPr>
        <w:t xml:space="preserve"> = 0.08</w:t>
      </w:r>
      <w:r w:rsidR="00F27C54">
        <w:rPr>
          <w:rFonts w:ascii="Times New Roman" w:hAnsi="Times New Roman" w:cs="Times New Roman"/>
        </w:rPr>
        <w:t xml:space="preserve">), </w:t>
      </w:r>
      <w:r w:rsidR="004F74FD">
        <w:rPr>
          <w:rFonts w:ascii="Times New Roman" w:hAnsi="Times New Roman" w:cs="Times New Roman"/>
        </w:rPr>
        <w:t xml:space="preserve">and </w:t>
      </w:r>
      <w:r w:rsidR="00F27C54">
        <w:rPr>
          <w:rFonts w:ascii="Times New Roman" w:hAnsi="Times New Roman" w:cs="Times New Roman"/>
        </w:rPr>
        <w:t>TRIMP/</w:t>
      </w:r>
      <w:r w:rsidR="00511B2C">
        <w:rPr>
          <w:rFonts w:ascii="Times New Roman" w:hAnsi="Times New Roman" w:cs="Times New Roman"/>
        </w:rPr>
        <w:t>M</w:t>
      </w:r>
      <w:r w:rsidR="00F27C54">
        <w:rPr>
          <w:rFonts w:ascii="Times New Roman" w:hAnsi="Times New Roman" w:cs="Times New Roman"/>
        </w:rPr>
        <w:t>in (</w:t>
      </w:r>
      <w:r w:rsidR="00F45F82">
        <w:rPr>
          <w:rFonts w:ascii="Times New Roman" w:hAnsi="Times New Roman" w:cs="Times New Roman"/>
        </w:rPr>
        <w:t xml:space="preserve">Week 1 = 1.0 (0.1); Week 4 = 0.8 (0.1), </w:t>
      </w:r>
      <w:r w:rsidR="00F27C54">
        <w:rPr>
          <w:rFonts w:ascii="Times New Roman" w:hAnsi="Times New Roman" w:cs="Times New Roman"/>
        </w:rPr>
        <w:t>p = 0.330</w:t>
      </w:r>
      <w:r w:rsidR="000E4FD8">
        <w:rPr>
          <w:rFonts w:ascii="Times New Roman" w:hAnsi="Times New Roman" w:cs="Times New Roman"/>
        </w:rPr>
        <w:t xml:space="preserve">, </w:t>
      </w:r>
      <w:r w:rsidR="000E4FD8">
        <w:rPr>
          <w:rFonts w:ascii="Times New Roman" w:hAnsi="Times New Roman" w:cs="Times New Roman"/>
          <w:i/>
          <w:iCs/>
        </w:rPr>
        <w:t>d</w:t>
      </w:r>
      <w:r w:rsidR="000E4FD8">
        <w:rPr>
          <w:rFonts w:ascii="Times New Roman" w:hAnsi="Times New Roman" w:cs="Times New Roman"/>
        </w:rPr>
        <w:t xml:space="preserve"> = 0.27</w:t>
      </w:r>
      <w:r w:rsidR="00F27C54">
        <w:rPr>
          <w:rFonts w:ascii="Times New Roman" w:hAnsi="Times New Roman" w:cs="Times New Roman"/>
        </w:rPr>
        <w:t>)</w:t>
      </w:r>
      <w:r w:rsidR="004F74FD">
        <w:rPr>
          <w:rFonts w:ascii="Times New Roman" w:hAnsi="Times New Roman" w:cs="Times New Roman"/>
        </w:rPr>
        <w:t xml:space="preserve">. </w:t>
      </w:r>
    </w:p>
    <w:p w14:paraId="131D75F2" w14:textId="1DE6EF89" w:rsidR="00DA28B7" w:rsidRDefault="0071305D" w:rsidP="000C7A7B">
      <w:pPr>
        <w:spacing w:line="480" w:lineRule="auto"/>
        <w:jc w:val="center"/>
        <w:rPr>
          <w:rFonts w:ascii="Times New Roman" w:hAnsi="Times New Roman" w:cs="Times New Roman"/>
        </w:rPr>
      </w:pPr>
      <w:r>
        <w:rPr>
          <w:noProof/>
        </w:rPr>
        <mc:AlternateContent>
          <mc:Choice Requires="wps">
            <w:drawing>
              <wp:anchor distT="0" distB="0" distL="114300" distR="114300" simplePos="0" relativeHeight="251702272" behindDoc="0" locked="0" layoutInCell="1" allowOverlap="1" wp14:anchorId="7FF96525" wp14:editId="5CE47D74">
                <wp:simplePos x="0" y="0"/>
                <wp:positionH relativeFrom="column">
                  <wp:posOffset>377825</wp:posOffset>
                </wp:positionH>
                <wp:positionV relativeFrom="paragraph">
                  <wp:posOffset>4289425</wp:posOffset>
                </wp:positionV>
                <wp:extent cx="5229860" cy="635"/>
                <wp:effectExtent l="0" t="0" r="2540" b="12065"/>
                <wp:wrapTopAndBottom/>
                <wp:docPr id="60" name="Text Box 60"/>
                <wp:cNvGraphicFramePr/>
                <a:graphic xmlns:a="http://schemas.openxmlformats.org/drawingml/2006/main">
                  <a:graphicData uri="http://schemas.microsoft.com/office/word/2010/wordprocessingShape">
                    <wps:wsp>
                      <wps:cNvSpPr txBox="1"/>
                      <wps:spPr>
                        <a:xfrm>
                          <a:off x="0" y="0"/>
                          <a:ext cx="5229860" cy="635"/>
                        </a:xfrm>
                        <a:prstGeom prst="rect">
                          <a:avLst/>
                        </a:prstGeom>
                        <a:solidFill>
                          <a:prstClr val="white"/>
                        </a:solidFill>
                        <a:ln>
                          <a:noFill/>
                        </a:ln>
                      </wps:spPr>
                      <wps:txbx>
                        <w:txbxContent>
                          <w:p w14:paraId="03740094" w14:textId="2E8EFCFE" w:rsidR="0071305D" w:rsidRDefault="0071305D" w:rsidP="00863379">
                            <w:pPr>
                              <w:pStyle w:val="Caption"/>
                              <w:jc w:val="center"/>
                              <w:rPr>
                                <w:rFonts w:ascii="Times New Roman" w:hAnsi="Times New Roman"/>
                                <w:sz w:val="20"/>
                                <w:szCs w:val="20"/>
                              </w:rPr>
                            </w:pPr>
                            <w:bookmarkStart w:id="68" w:name="_Toc100670669"/>
                            <w:r w:rsidRPr="00863379">
                              <w:rPr>
                                <w:rFonts w:ascii="Times New Roman" w:hAnsi="Times New Roman"/>
                                <w:sz w:val="20"/>
                                <w:szCs w:val="20"/>
                              </w:rPr>
                              <w:t xml:space="preserve">Figure </w:t>
                            </w:r>
                            <w:r w:rsidRPr="00863379">
                              <w:rPr>
                                <w:rFonts w:ascii="Times New Roman" w:hAnsi="Times New Roman"/>
                                <w:sz w:val="20"/>
                                <w:szCs w:val="20"/>
                              </w:rPr>
                              <w:fldChar w:fldCharType="begin"/>
                            </w:r>
                            <w:r w:rsidRPr="00863379">
                              <w:rPr>
                                <w:rFonts w:ascii="Times New Roman" w:hAnsi="Times New Roman"/>
                                <w:sz w:val="20"/>
                                <w:szCs w:val="20"/>
                              </w:rPr>
                              <w:instrText xml:space="preserve"> SEQ Figure \* ARABIC </w:instrText>
                            </w:r>
                            <w:r w:rsidRPr="00863379">
                              <w:rPr>
                                <w:rFonts w:ascii="Times New Roman" w:hAnsi="Times New Roman"/>
                                <w:sz w:val="20"/>
                                <w:szCs w:val="20"/>
                              </w:rPr>
                              <w:fldChar w:fldCharType="separate"/>
                            </w:r>
                            <w:r w:rsidR="002101E0">
                              <w:rPr>
                                <w:rFonts w:ascii="Times New Roman" w:hAnsi="Times New Roman"/>
                                <w:noProof/>
                                <w:sz w:val="20"/>
                                <w:szCs w:val="20"/>
                              </w:rPr>
                              <w:t>5</w:t>
                            </w:r>
                            <w:r w:rsidRPr="00863379">
                              <w:rPr>
                                <w:rFonts w:ascii="Times New Roman" w:hAnsi="Times New Roman"/>
                                <w:sz w:val="20"/>
                                <w:szCs w:val="20"/>
                              </w:rPr>
                              <w:fldChar w:fldCharType="end"/>
                            </w:r>
                            <w:r w:rsidR="00863379">
                              <w:rPr>
                                <w:rFonts w:ascii="Times New Roman" w:hAnsi="Times New Roman"/>
                                <w:sz w:val="20"/>
                                <w:szCs w:val="20"/>
                              </w:rPr>
                              <w:t>. Differences in Objective Internal Training Loads Between Week</w:t>
                            </w:r>
                            <w:bookmarkEnd w:id="68"/>
                          </w:p>
                          <w:p w14:paraId="4B533A1A" w14:textId="52E8CB37" w:rsidR="00863379" w:rsidRDefault="00863379" w:rsidP="00863379">
                            <w:pPr>
                              <w:jc w:val="center"/>
                              <w:rPr>
                                <w:lang w:bidi="en-US"/>
                              </w:rPr>
                            </w:pPr>
                          </w:p>
                          <w:p w14:paraId="47C8D9AB" w14:textId="0E51821D" w:rsidR="00863379" w:rsidRPr="00863379" w:rsidRDefault="00863379" w:rsidP="00863379">
                            <w:pPr>
                              <w:jc w:val="center"/>
                              <w:rPr>
                                <w:rFonts w:ascii="Times New Roman" w:hAnsi="Times New Roman" w:cs="Times New Roman"/>
                                <w:sz w:val="20"/>
                                <w:szCs w:val="20"/>
                                <w:lang w:bidi="en-US"/>
                              </w:rPr>
                            </w:pPr>
                            <w:r>
                              <w:rPr>
                                <w:rFonts w:ascii="Times New Roman" w:hAnsi="Times New Roman" w:cs="Times New Roman"/>
                                <w:sz w:val="20"/>
                                <w:szCs w:val="20"/>
                                <w:lang w:bidi="en-US"/>
                              </w:rPr>
                              <w:t>Note: Data presented as Mean (Standard Error); A. = Average Heart Rate; B. = Training Impulse (TRIMP); C. = TRIMP per Minute (TRIMP/Min); au = arbitrary units; * Significant difference between weeks</w:t>
                            </w:r>
                            <w:r w:rsidR="00FB187F">
                              <w:rPr>
                                <w:rFonts w:ascii="Times New Roman" w:hAnsi="Times New Roman" w:cs="Times New Roman"/>
                                <w:sz w:val="20"/>
                                <w:szCs w:val="20"/>
                                <w:lang w:bidi="en-US"/>
                              </w:rPr>
                              <w:t>,</w:t>
                            </w:r>
                            <w:r>
                              <w:rPr>
                                <w:rFonts w:ascii="Times New Roman" w:hAnsi="Times New Roman" w:cs="Times New Roman"/>
                                <w:sz w:val="20"/>
                                <w:szCs w:val="20"/>
                                <w:lang w:bidi="en-US"/>
                              </w:rPr>
                              <w:t xml:space="preserve"> set at p ≤ 0.05.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F96525" id="Text Box 60" o:spid="_x0000_s1030" type="#_x0000_t202" style="position:absolute;left:0;text-align:left;margin-left:29.75pt;margin-top:337.75pt;width:411.8pt;height:.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" stroked="f">
                <v:textbox style="mso-fit-shape-to-text:t" inset="0,0,0,0">
                  <w:txbxContent>
                    <w:p w14:paraId="03740094" w14:textId="2E8EFCFE" w:rsidR="0071305D" w:rsidRDefault="0071305D" w:rsidP="00863379">
                      <w:pPr>
                        <w:pStyle w:val="Caption"/>
                        <w:jc w:val="center"/>
                        <w:rPr>
                          <w:rFonts w:ascii="Times New Roman" w:hAnsi="Times New Roman"/>
                          <w:sz w:val="20"/>
                          <w:szCs w:val="20"/>
                        </w:rPr>
                      </w:pPr>
                      <w:bookmarkStart w:id="73" w:name="_Toc100670669"/>
                      <w:r w:rsidRPr="00863379">
                        <w:rPr>
                          <w:rFonts w:ascii="Times New Roman" w:hAnsi="Times New Roman"/>
                          <w:sz w:val="20"/>
                          <w:szCs w:val="20"/>
                        </w:rPr>
                        <w:t xml:space="preserve">Figure </w:t>
                      </w:r>
                      <w:r w:rsidRPr="00863379">
                        <w:rPr>
                          <w:rFonts w:ascii="Times New Roman" w:hAnsi="Times New Roman"/>
                          <w:sz w:val="20"/>
                          <w:szCs w:val="20"/>
                        </w:rPr>
                        <w:fldChar w:fldCharType="begin"/>
                      </w:r>
                      <w:r w:rsidRPr="00863379">
                        <w:rPr>
                          <w:rFonts w:ascii="Times New Roman" w:hAnsi="Times New Roman"/>
                          <w:sz w:val="20"/>
                          <w:szCs w:val="20"/>
                        </w:rPr>
                        <w:instrText xml:space="preserve"> SEQ Figure \* ARABIC </w:instrText>
                      </w:r>
                      <w:r w:rsidRPr="00863379">
                        <w:rPr>
                          <w:rFonts w:ascii="Times New Roman" w:hAnsi="Times New Roman"/>
                          <w:sz w:val="20"/>
                          <w:szCs w:val="20"/>
                        </w:rPr>
                        <w:fldChar w:fldCharType="separate"/>
                      </w:r>
                      <w:r w:rsidR="002101E0">
                        <w:rPr>
                          <w:rFonts w:ascii="Times New Roman" w:hAnsi="Times New Roman"/>
                          <w:noProof/>
                          <w:sz w:val="20"/>
                          <w:szCs w:val="20"/>
                        </w:rPr>
                        <w:t>5</w:t>
                      </w:r>
                      <w:r w:rsidRPr="00863379">
                        <w:rPr>
                          <w:rFonts w:ascii="Times New Roman" w:hAnsi="Times New Roman"/>
                          <w:sz w:val="20"/>
                          <w:szCs w:val="20"/>
                        </w:rPr>
                        <w:fldChar w:fldCharType="end"/>
                      </w:r>
                      <w:r w:rsidR="00863379">
                        <w:rPr>
                          <w:rFonts w:ascii="Times New Roman" w:hAnsi="Times New Roman"/>
                          <w:sz w:val="20"/>
                          <w:szCs w:val="20"/>
                        </w:rPr>
                        <w:t>. Differences in Objective Internal Training Loads Between Week</w:t>
                      </w:r>
                      <w:bookmarkEnd w:id="73"/>
                    </w:p>
                    <w:p w14:paraId="4B533A1A" w14:textId="52E8CB37" w:rsidR="00863379" w:rsidRDefault="00863379" w:rsidP="00863379">
                      <w:pPr>
                        <w:jc w:val="center"/>
                        <w:rPr>
                          <w:lang w:bidi="en-US"/>
                        </w:rPr>
                      </w:pPr>
                    </w:p>
                    <w:p w14:paraId="47C8D9AB" w14:textId="0E51821D" w:rsidR="00863379" w:rsidRPr="00863379" w:rsidRDefault="00863379" w:rsidP="00863379">
                      <w:pPr>
                        <w:jc w:val="center"/>
                        <w:rPr>
                          <w:rFonts w:ascii="Times New Roman" w:hAnsi="Times New Roman" w:cs="Times New Roman"/>
                          <w:sz w:val="20"/>
                          <w:szCs w:val="20"/>
                          <w:lang w:bidi="en-US"/>
                        </w:rPr>
                      </w:pPr>
                      <w:r>
                        <w:rPr>
                          <w:rFonts w:ascii="Times New Roman" w:hAnsi="Times New Roman" w:cs="Times New Roman"/>
                          <w:sz w:val="20"/>
                          <w:szCs w:val="20"/>
                          <w:lang w:bidi="en-US"/>
                        </w:rPr>
                        <w:t>Note: Data presented as Mean (Standard Error); A. = Average Heart Rate; B. = Training Impulse (TRIMP); C. = TRIMP per Minute (TRIMP/Min); au = arbitrary units; * Significant difference between weeks</w:t>
                      </w:r>
                      <w:r w:rsidR="00FB187F">
                        <w:rPr>
                          <w:rFonts w:ascii="Times New Roman" w:hAnsi="Times New Roman" w:cs="Times New Roman"/>
                          <w:sz w:val="20"/>
                          <w:szCs w:val="20"/>
                          <w:lang w:bidi="en-US"/>
                        </w:rPr>
                        <w:t>,</w:t>
                      </w:r>
                      <w:r>
                        <w:rPr>
                          <w:rFonts w:ascii="Times New Roman" w:hAnsi="Times New Roman" w:cs="Times New Roman"/>
                          <w:sz w:val="20"/>
                          <w:szCs w:val="20"/>
                          <w:lang w:bidi="en-US"/>
                        </w:rPr>
                        <w:t xml:space="preserve"> set at p ≤ 0.05.</w:t>
                      </w:r>
                    </w:p>
                  </w:txbxContent>
                </v:textbox>
                <w10:wrap type="topAndBottom"/>
              </v:shape>
            </w:pict>
          </mc:Fallback>
        </mc:AlternateContent>
      </w:r>
      <w:r w:rsidR="00E4799E">
        <w:rPr>
          <w:rFonts w:ascii="Times New Roman" w:hAnsi="Times New Roman" w:cs="Times New Roman"/>
          <w:noProof/>
        </w:rPr>
        <w:drawing>
          <wp:inline distT="0" distB="0" distL="0" distR="0" wp14:anchorId="07350057" wp14:editId="1A99868F">
            <wp:extent cx="4056380" cy="3967104"/>
            <wp:effectExtent l="0" t="0" r="0" b="0"/>
            <wp:docPr id="17" name="Picture 1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10256" cy="4019794"/>
                    </a:xfrm>
                    <a:prstGeom prst="rect">
                      <a:avLst/>
                    </a:prstGeom>
                  </pic:spPr>
                </pic:pic>
              </a:graphicData>
            </a:graphic>
          </wp:inline>
        </w:drawing>
      </w:r>
    </w:p>
    <w:p w14:paraId="284D3784" w14:textId="2A894D4C" w:rsidR="001006AC" w:rsidRDefault="004F74FD" w:rsidP="00F829B9">
      <w:pPr>
        <w:spacing w:line="480" w:lineRule="auto"/>
        <w:ind w:firstLine="720"/>
        <w:jc w:val="both"/>
        <w:rPr>
          <w:rFonts w:ascii="Times New Roman" w:hAnsi="Times New Roman" w:cs="Times New Roman"/>
        </w:rPr>
      </w:pPr>
      <w:r>
        <w:rPr>
          <w:rFonts w:ascii="Times New Roman" w:hAnsi="Times New Roman" w:cs="Times New Roman"/>
        </w:rPr>
        <w:lastRenderedPageBreak/>
        <w:t xml:space="preserve">Additionally, no significant differences were presented within the subjective </w:t>
      </w:r>
      <w:proofErr w:type="spellStart"/>
      <w:r>
        <w:rPr>
          <w:rFonts w:ascii="Times New Roman" w:hAnsi="Times New Roman" w:cs="Times New Roman"/>
        </w:rPr>
        <w:t>iTL</w:t>
      </w:r>
      <w:proofErr w:type="spellEnd"/>
      <w:r>
        <w:rPr>
          <w:rFonts w:ascii="Times New Roman" w:hAnsi="Times New Roman" w:cs="Times New Roman"/>
        </w:rPr>
        <w:t xml:space="preserve"> variables, including</w:t>
      </w:r>
      <w:r w:rsidR="00F27C54">
        <w:rPr>
          <w:rFonts w:ascii="Times New Roman" w:hAnsi="Times New Roman" w:cs="Times New Roman"/>
        </w:rPr>
        <w:t xml:space="preserve"> RPE (</w:t>
      </w:r>
      <w:r w:rsidR="00F45F82">
        <w:rPr>
          <w:rFonts w:ascii="Times New Roman" w:hAnsi="Times New Roman" w:cs="Times New Roman"/>
        </w:rPr>
        <w:t xml:space="preserve">Week 1 = 5.8 (0.5); Week 4 = 6.0 (0.7), </w:t>
      </w:r>
      <w:r w:rsidR="00F27C54">
        <w:rPr>
          <w:rFonts w:ascii="Times New Roman" w:hAnsi="Times New Roman" w:cs="Times New Roman"/>
        </w:rPr>
        <w:t>p = 0.718</w:t>
      </w:r>
      <w:r w:rsidR="000E4FD8">
        <w:rPr>
          <w:rFonts w:ascii="Times New Roman" w:hAnsi="Times New Roman" w:cs="Times New Roman"/>
        </w:rPr>
        <w:t xml:space="preserve">, </w:t>
      </w:r>
      <w:r w:rsidR="000E4FD8">
        <w:rPr>
          <w:rFonts w:ascii="Times New Roman" w:hAnsi="Times New Roman" w:cs="Times New Roman"/>
          <w:i/>
          <w:iCs/>
        </w:rPr>
        <w:t>d</w:t>
      </w:r>
      <w:r w:rsidR="000E4FD8">
        <w:rPr>
          <w:rFonts w:ascii="Times New Roman" w:hAnsi="Times New Roman" w:cs="Times New Roman"/>
        </w:rPr>
        <w:t xml:space="preserve"> = 0.10</w:t>
      </w:r>
      <w:r w:rsidR="00F27C54">
        <w:rPr>
          <w:rFonts w:ascii="Times New Roman" w:hAnsi="Times New Roman" w:cs="Times New Roman"/>
        </w:rPr>
        <w:t xml:space="preserve">) and </w:t>
      </w:r>
      <w:proofErr w:type="spellStart"/>
      <w:r w:rsidR="00F27C54">
        <w:rPr>
          <w:rFonts w:ascii="Times New Roman" w:hAnsi="Times New Roman" w:cs="Times New Roman"/>
        </w:rPr>
        <w:t>sRPE</w:t>
      </w:r>
      <w:proofErr w:type="spellEnd"/>
      <w:r w:rsidR="00F27C54">
        <w:rPr>
          <w:rFonts w:ascii="Times New Roman" w:hAnsi="Times New Roman" w:cs="Times New Roman"/>
        </w:rPr>
        <w:t xml:space="preserve"> (</w:t>
      </w:r>
      <w:r w:rsidR="00F45F82">
        <w:rPr>
          <w:rFonts w:ascii="Times New Roman" w:hAnsi="Times New Roman" w:cs="Times New Roman"/>
        </w:rPr>
        <w:t xml:space="preserve">Week 1 = 646.9 (55.9); Week 4 = 807.1 (88.2), </w:t>
      </w:r>
      <w:r w:rsidR="00F27C54">
        <w:rPr>
          <w:rFonts w:ascii="Times New Roman" w:hAnsi="Times New Roman" w:cs="Times New Roman"/>
        </w:rPr>
        <w:t>p = 0.056</w:t>
      </w:r>
      <w:r w:rsidR="000E4FD8">
        <w:rPr>
          <w:rFonts w:ascii="Times New Roman" w:hAnsi="Times New Roman" w:cs="Times New Roman"/>
        </w:rPr>
        <w:t xml:space="preserve">, </w:t>
      </w:r>
      <w:r w:rsidR="000E4FD8">
        <w:rPr>
          <w:rFonts w:ascii="Times New Roman" w:hAnsi="Times New Roman" w:cs="Times New Roman"/>
          <w:i/>
          <w:iCs/>
        </w:rPr>
        <w:t>d</w:t>
      </w:r>
      <w:r w:rsidR="000E4FD8">
        <w:rPr>
          <w:rFonts w:ascii="Times New Roman" w:hAnsi="Times New Roman" w:cs="Times New Roman"/>
        </w:rPr>
        <w:t xml:space="preserve"> = 0.58</w:t>
      </w:r>
      <w:r w:rsidR="00F27C54">
        <w:rPr>
          <w:rFonts w:ascii="Times New Roman" w:hAnsi="Times New Roman" w:cs="Times New Roman"/>
        </w:rPr>
        <w:t>)</w:t>
      </w:r>
      <w:r w:rsidR="00DD3B4C">
        <w:rPr>
          <w:rFonts w:ascii="Times New Roman" w:hAnsi="Times New Roman" w:cs="Times New Roman"/>
        </w:rPr>
        <w:t>.</w:t>
      </w:r>
    </w:p>
    <w:p w14:paraId="70672A02" w14:textId="11CB71EC" w:rsidR="00431C8D" w:rsidRDefault="00431C8D" w:rsidP="006323AE">
      <w:pPr>
        <w:spacing w:line="480" w:lineRule="auto"/>
        <w:ind w:firstLine="720"/>
        <w:rPr>
          <w:rFonts w:ascii="Times New Roman" w:hAnsi="Times New Roman" w:cs="Times New Roman"/>
        </w:rPr>
      </w:pPr>
    </w:p>
    <w:p w14:paraId="47CFDC0B" w14:textId="5CC9CE9B" w:rsidR="008F1439" w:rsidRDefault="00431C8D" w:rsidP="00431C8D">
      <w:pPr>
        <w:spacing w:line="480" w:lineRule="auto"/>
        <w:rPr>
          <w:rFonts w:ascii="Times New Roman" w:hAnsi="Times New Roman" w:cs="Times New Roman"/>
        </w:rPr>
      </w:pPr>
      <w:r>
        <w:rPr>
          <w:rFonts w:ascii="Times New Roman" w:hAnsi="Times New Roman" w:cs="Times New Roman"/>
          <w:noProof/>
        </w:rPr>
        <w:drawing>
          <wp:inline distT="0" distB="0" distL="0" distR="0" wp14:anchorId="1D150314" wp14:editId="49A715E4">
            <wp:extent cx="5943600" cy="2451100"/>
            <wp:effectExtent l="0" t="0" r="0" b="0"/>
            <wp:docPr id="20" name="Picture 20" descr="Chart, bar chart, histogram,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bar chart, histogram, box and whisker 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2451100"/>
                    </a:xfrm>
                    <a:prstGeom prst="rect">
                      <a:avLst/>
                    </a:prstGeom>
                  </pic:spPr>
                </pic:pic>
              </a:graphicData>
            </a:graphic>
          </wp:inline>
        </w:drawing>
      </w:r>
    </w:p>
    <w:p w14:paraId="51012C77" w14:textId="4507F670" w:rsidR="00F57296" w:rsidRDefault="00537744" w:rsidP="008F1439">
      <w:pPr>
        <w:spacing w:line="480" w:lineRule="auto"/>
        <w:jc w:val="center"/>
        <w:rPr>
          <w:rFonts w:ascii="Times New Roman" w:hAnsi="Times New Roman" w:cs="Times New Roman"/>
        </w:rPr>
      </w:pPr>
      <w:r>
        <w:rPr>
          <w:noProof/>
        </w:rPr>
        <mc:AlternateContent>
          <mc:Choice Requires="wps">
            <w:drawing>
              <wp:anchor distT="0" distB="0" distL="114300" distR="114300" simplePos="0" relativeHeight="251704320" behindDoc="0" locked="0" layoutInCell="1" allowOverlap="1" wp14:anchorId="16295F93" wp14:editId="584C679F">
                <wp:simplePos x="0" y="0"/>
                <wp:positionH relativeFrom="column">
                  <wp:posOffset>407035</wp:posOffset>
                </wp:positionH>
                <wp:positionV relativeFrom="paragraph">
                  <wp:posOffset>434975</wp:posOffset>
                </wp:positionV>
                <wp:extent cx="5300980" cy="635"/>
                <wp:effectExtent l="0" t="0" r="0" b="12065"/>
                <wp:wrapTopAndBottom/>
                <wp:docPr id="61" name="Text Box 61"/>
                <wp:cNvGraphicFramePr/>
                <a:graphic xmlns:a="http://schemas.openxmlformats.org/drawingml/2006/main">
                  <a:graphicData uri="http://schemas.microsoft.com/office/word/2010/wordprocessingShape">
                    <wps:wsp>
                      <wps:cNvSpPr txBox="1"/>
                      <wps:spPr>
                        <a:xfrm>
                          <a:off x="0" y="0"/>
                          <a:ext cx="5300980" cy="635"/>
                        </a:xfrm>
                        <a:prstGeom prst="rect">
                          <a:avLst/>
                        </a:prstGeom>
                        <a:solidFill>
                          <a:prstClr val="white"/>
                        </a:solidFill>
                        <a:ln>
                          <a:noFill/>
                        </a:ln>
                      </wps:spPr>
                      <wps:txbx>
                        <w:txbxContent>
                          <w:p w14:paraId="03124FAE" w14:textId="23AB3557" w:rsidR="00702E7D" w:rsidRPr="00702E7D" w:rsidRDefault="00702E7D" w:rsidP="00702E7D">
                            <w:pPr>
                              <w:pStyle w:val="Caption"/>
                              <w:jc w:val="center"/>
                              <w:rPr>
                                <w:rFonts w:ascii="Times New Roman" w:hAnsi="Times New Roman"/>
                                <w:sz w:val="20"/>
                                <w:szCs w:val="20"/>
                              </w:rPr>
                            </w:pPr>
                            <w:bookmarkStart w:id="69" w:name="_Toc100670670"/>
                            <w:r w:rsidRPr="00702E7D">
                              <w:rPr>
                                <w:rFonts w:ascii="Times New Roman" w:hAnsi="Times New Roman"/>
                                <w:sz w:val="20"/>
                                <w:szCs w:val="20"/>
                              </w:rPr>
                              <w:t xml:space="preserve">Figure </w:t>
                            </w:r>
                            <w:r w:rsidRPr="00702E7D">
                              <w:rPr>
                                <w:rFonts w:ascii="Times New Roman" w:hAnsi="Times New Roman"/>
                                <w:sz w:val="20"/>
                                <w:szCs w:val="20"/>
                              </w:rPr>
                              <w:fldChar w:fldCharType="begin"/>
                            </w:r>
                            <w:r w:rsidRPr="00702E7D">
                              <w:rPr>
                                <w:rFonts w:ascii="Times New Roman" w:hAnsi="Times New Roman"/>
                                <w:sz w:val="20"/>
                                <w:szCs w:val="20"/>
                              </w:rPr>
                              <w:instrText xml:space="preserve"> SEQ Figure \* ARABIC </w:instrText>
                            </w:r>
                            <w:r w:rsidRPr="00702E7D">
                              <w:rPr>
                                <w:rFonts w:ascii="Times New Roman" w:hAnsi="Times New Roman"/>
                                <w:sz w:val="20"/>
                                <w:szCs w:val="20"/>
                              </w:rPr>
                              <w:fldChar w:fldCharType="separate"/>
                            </w:r>
                            <w:r w:rsidR="002101E0">
                              <w:rPr>
                                <w:rFonts w:ascii="Times New Roman" w:hAnsi="Times New Roman"/>
                                <w:noProof/>
                                <w:sz w:val="20"/>
                                <w:szCs w:val="20"/>
                              </w:rPr>
                              <w:t>6</w:t>
                            </w:r>
                            <w:r w:rsidRPr="00702E7D">
                              <w:rPr>
                                <w:rFonts w:ascii="Times New Roman" w:hAnsi="Times New Roman"/>
                                <w:sz w:val="20"/>
                                <w:szCs w:val="20"/>
                              </w:rPr>
                              <w:fldChar w:fldCharType="end"/>
                            </w:r>
                            <w:r>
                              <w:rPr>
                                <w:rFonts w:ascii="Times New Roman" w:hAnsi="Times New Roman"/>
                                <w:sz w:val="20"/>
                                <w:szCs w:val="20"/>
                              </w:rPr>
                              <w:t xml:space="preserve">. </w:t>
                            </w:r>
                            <w:r w:rsidRPr="00702E7D">
                              <w:rPr>
                                <w:rFonts w:ascii="Times New Roman" w:hAnsi="Times New Roman"/>
                                <w:sz w:val="20"/>
                                <w:szCs w:val="20"/>
                              </w:rPr>
                              <w:t>Differences in Subjective Internal Training Loads Between Week</w:t>
                            </w:r>
                            <w:bookmarkEnd w:id="69"/>
                          </w:p>
                          <w:p w14:paraId="6A8912D0" w14:textId="27A3A1FC" w:rsidR="00702E7D" w:rsidRPr="00702E7D" w:rsidRDefault="00702E7D" w:rsidP="00702E7D">
                            <w:pPr>
                              <w:jc w:val="center"/>
                              <w:rPr>
                                <w:sz w:val="20"/>
                                <w:szCs w:val="20"/>
                                <w:lang w:bidi="en-US"/>
                              </w:rPr>
                            </w:pPr>
                          </w:p>
                          <w:p w14:paraId="4B8A1404" w14:textId="29656691" w:rsidR="00702E7D" w:rsidRPr="00702E7D" w:rsidRDefault="00702E7D" w:rsidP="00702E7D">
                            <w:pPr>
                              <w:jc w:val="center"/>
                              <w:rPr>
                                <w:rFonts w:ascii="Times New Roman" w:hAnsi="Times New Roman" w:cs="Times New Roman"/>
                                <w:sz w:val="20"/>
                                <w:szCs w:val="20"/>
                                <w:lang w:bidi="en-US"/>
                              </w:rPr>
                            </w:pPr>
                            <w:r>
                              <w:rPr>
                                <w:rFonts w:ascii="Times New Roman" w:hAnsi="Times New Roman" w:cs="Times New Roman"/>
                                <w:sz w:val="20"/>
                                <w:szCs w:val="20"/>
                                <w:lang w:bidi="en-US"/>
                              </w:rPr>
                              <w:t>Note: Data presented as Mean (Standard Error); A. Rating of Perceived Exertion (RPE); B. = Session Rating of Perceived Exertion (sRPE); * = Significant difference between weeks</w:t>
                            </w:r>
                            <w:r w:rsidR="00FB187F">
                              <w:rPr>
                                <w:rFonts w:ascii="Times New Roman" w:hAnsi="Times New Roman" w:cs="Times New Roman"/>
                                <w:sz w:val="20"/>
                                <w:szCs w:val="20"/>
                                <w:lang w:bidi="en-US"/>
                              </w:rPr>
                              <w:t>,</w:t>
                            </w:r>
                            <w:r>
                              <w:rPr>
                                <w:rFonts w:ascii="Times New Roman" w:hAnsi="Times New Roman" w:cs="Times New Roman"/>
                                <w:sz w:val="20"/>
                                <w:szCs w:val="20"/>
                                <w:lang w:bidi="en-US"/>
                              </w:rPr>
                              <w:t xml:space="preserve"> set at p ≤ 0.05.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295F93" id="Text Box 61" o:spid="_x0000_s1031" type="#_x0000_t202" style="position:absolute;left:0;text-align:left;margin-left:32.05pt;margin-top:34.25pt;width:417.4pt;height:.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" stroked="f">
                <v:textbox style="mso-fit-shape-to-text:t" inset="0,0,0,0">
                  <w:txbxContent>
                    <w:p w14:paraId="03124FAE" w14:textId="23AB3557" w:rsidR="00702E7D" w:rsidRPr="00702E7D" w:rsidRDefault="00702E7D" w:rsidP="00702E7D">
                      <w:pPr>
                        <w:pStyle w:val="Caption"/>
                        <w:jc w:val="center"/>
                        <w:rPr>
                          <w:rFonts w:ascii="Times New Roman" w:hAnsi="Times New Roman"/>
                          <w:sz w:val="20"/>
                          <w:szCs w:val="20"/>
                        </w:rPr>
                      </w:pPr>
                      <w:bookmarkStart w:id="75" w:name="_Toc100670670"/>
                      <w:r w:rsidRPr="00702E7D">
                        <w:rPr>
                          <w:rFonts w:ascii="Times New Roman" w:hAnsi="Times New Roman"/>
                          <w:sz w:val="20"/>
                          <w:szCs w:val="20"/>
                        </w:rPr>
                        <w:t xml:space="preserve">Figure </w:t>
                      </w:r>
                      <w:r w:rsidRPr="00702E7D">
                        <w:rPr>
                          <w:rFonts w:ascii="Times New Roman" w:hAnsi="Times New Roman"/>
                          <w:sz w:val="20"/>
                          <w:szCs w:val="20"/>
                        </w:rPr>
                        <w:fldChar w:fldCharType="begin"/>
                      </w:r>
                      <w:r w:rsidRPr="00702E7D">
                        <w:rPr>
                          <w:rFonts w:ascii="Times New Roman" w:hAnsi="Times New Roman"/>
                          <w:sz w:val="20"/>
                          <w:szCs w:val="20"/>
                        </w:rPr>
                        <w:instrText xml:space="preserve"> SEQ Figure \* ARABIC </w:instrText>
                      </w:r>
                      <w:r w:rsidRPr="00702E7D">
                        <w:rPr>
                          <w:rFonts w:ascii="Times New Roman" w:hAnsi="Times New Roman"/>
                          <w:sz w:val="20"/>
                          <w:szCs w:val="20"/>
                        </w:rPr>
                        <w:fldChar w:fldCharType="separate"/>
                      </w:r>
                      <w:r w:rsidR="002101E0">
                        <w:rPr>
                          <w:rFonts w:ascii="Times New Roman" w:hAnsi="Times New Roman"/>
                          <w:noProof/>
                          <w:sz w:val="20"/>
                          <w:szCs w:val="20"/>
                        </w:rPr>
                        <w:t>6</w:t>
                      </w:r>
                      <w:r w:rsidRPr="00702E7D">
                        <w:rPr>
                          <w:rFonts w:ascii="Times New Roman" w:hAnsi="Times New Roman"/>
                          <w:sz w:val="20"/>
                          <w:szCs w:val="20"/>
                        </w:rPr>
                        <w:fldChar w:fldCharType="end"/>
                      </w:r>
                      <w:r>
                        <w:rPr>
                          <w:rFonts w:ascii="Times New Roman" w:hAnsi="Times New Roman"/>
                          <w:sz w:val="20"/>
                          <w:szCs w:val="20"/>
                        </w:rPr>
                        <w:t xml:space="preserve">. </w:t>
                      </w:r>
                      <w:r w:rsidRPr="00702E7D">
                        <w:rPr>
                          <w:rFonts w:ascii="Times New Roman" w:hAnsi="Times New Roman"/>
                          <w:sz w:val="20"/>
                          <w:szCs w:val="20"/>
                        </w:rPr>
                        <w:t>Differences in Subjective Internal Training Loads Between Week</w:t>
                      </w:r>
                      <w:bookmarkEnd w:id="75"/>
                    </w:p>
                    <w:p w14:paraId="6A8912D0" w14:textId="27A3A1FC" w:rsidR="00702E7D" w:rsidRPr="00702E7D" w:rsidRDefault="00702E7D" w:rsidP="00702E7D">
                      <w:pPr>
                        <w:jc w:val="center"/>
                        <w:rPr>
                          <w:sz w:val="20"/>
                          <w:szCs w:val="20"/>
                          <w:lang w:bidi="en-US"/>
                        </w:rPr>
                      </w:pPr>
                    </w:p>
                    <w:p w14:paraId="4B8A1404" w14:textId="29656691" w:rsidR="00702E7D" w:rsidRPr="00702E7D" w:rsidRDefault="00702E7D" w:rsidP="00702E7D">
                      <w:pPr>
                        <w:jc w:val="center"/>
                        <w:rPr>
                          <w:rFonts w:ascii="Times New Roman" w:hAnsi="Times New Roman" w:cs="Times New Roman"/>
                          <w:sz w:val="20"/>
                          <w:szCs w:val="20"/>
                          <w:lang w:bidi="en-US"/>
                        </w:rPr>
                      </w:pPr>
                      <w:r>
                        <w:rPr>
                          <w:rFonts w:ascii="Times New Roman" w:hAnsi="Times New Roman" w:cs="Times New Roman"/>
                          <w:sz w:val="20"/>
                          <w:szCs w:val="20"/>
                          <w:lang w:bidi="en-US"/>
                        </w:rPr>
                        <w:t>Note: Data presented as Mean (Standard Error); A. Rating of Perceived Exertion (RPE); B. = Session Rating of Perceived Exertion (sRPE); * = Significant difference between weeks</w:t>
                      </w:r>
                      <w:r w:rsidR="00FB187F">
                        <w:rPr>
                          <w:rFonts w:ascii="Times New Roman" w:hAnsi="Times New Roman" w:cs="Times New Roman"/>
                          <w:sz w:val="20"/>
                          <w:szCs w:val="20"/>
                          <w:lang w:bidi="en-US"/>
                        </w:rPr>
                        <w:t>,</w:t>
                      </w:r>
                      <w:r>
                        <w:rPr>
                          <w:rFonts w:ascii="Times New Roman" w:hAnsi="Times New Roman" w:cs="Times New Roman"/>
                          <w:sz w:val="20"/>
                          <w:szCs w:val="20"/>
                          <w:lang w:bidi="en-US"/>
                        </w:rPr>
                        <w:t xml:space="preserve"> set at p ≤ 0.05.</w:t>
                      </w:r>
                    </w:p>
                  </w:txbxContent>
                </v:textbox>
                <w10:wrap type="topAndBottom"/>
              </v:shape>
            </w:pict>
          </mc:Fallback>
        </mc:AlternateContent>
      </w:r>
    </w:p>
    <w:p w14:paraId="0FFC58A9" w14:textId="7F46C1A1" w:rsidR="008F1439" w:rsidRDefault="008F1439" w:rsidP="006323AE">
      <w:pPr>
        <w:spacing w:line="480" w:lineRule="auto"/>
        <w:ind w:firstLine="720"/>
        <w:rPr>
          <w:rFonts w:ascii="Times New Roman" w:hAnsi="Times New Roman" w:cs="Times New Roman"/>
        </w:rPr>
      </w:pPr>
    </w:p>
    <w:p w14:paraId="6C367340" w14:textId="5D31CC6A" w:rsidR="004F5C80" w:rsidRPr="004F5C80" w:rsidRDefault="004F5C80" w:rsidP="004F5C80">
      <w:pPr>
        <w:pStyle w:val="Caption"/>
        <w:keepNext/>
        <w:rPr>
          <w:rFonts w:ascii="Times New Roman" w:hAnsi="Times New Roman"/>
        </w:rPr>
      </w:pPr>
      <w:bookmarkStart w:id="70" w:name="_Toc93726098"/>
      <w:r w:rsidRPr="004F5C80">
        <w:rPr>
          <w:rFonts w:ascii="Times New Roman" w:hAnsi="Times New Roman"/>
        </w:rPr>
        <w:t xml:space="preserve">Table </w:t>
      </w:r>
      <w:r w:rsidRPr="004F5C80">
        <w:rPr>
          <w:rFonts w:ascii="Times New Roman" w:hAnsi="Times New Roman"/>
        </w:rPr>
        <w:fldChar w:fldCharType="begin"/>
      </w:r>
      <w:r w:rsidRPr="004F5C80">
        <w:rPr>
          <w:rFonts w:ascii="Times New Roman" w:hAnsi="Times New Roman"/>
        </w:rPr>
        <w:instrText xml:space="preserve"> SEQ Table \* ARABIC </w:instrText>
      </w:r>
      <w:r w:rsidRPr="004F5C80">
        <w:rPr>
          <w:rFonts w:ascii="Times New Roman" w:hAnsi="Times New Roman"/>
        </w:rPr>
        <w:fldChar w:fldCharType="separate"/>
      </w:r>
      <w:r w:rsidR="002101E0">
        <w:rPr>
          <w:rFonts w:ascii="Times New Roman" w:hAnsi="Times New Roman"/>
          <w:noProof/>
        </w:rPr>
        <w:t>2</w:t>
      </w:r>
      <w:r w:rsidRPr="004F5C80">
        <w:rPr>
          <w:rFonts w:ascii="Times New Roman" w:hAnsi="Times New Roman"/>
        </w:rPr>
        <w:fldChar w:fldCharType="end"/>
      </w:r>
      <w:r w:rsidRPr="004F5C80">
        <w:rPr>
          <w:rFonts w:ascii="Times New Roman" w:hAnsi="Times New Roman"/>
        </w:rPr>
        <w:t>. Differences in Internal Training Load through the Preseason</w:t>
      </w:r>
      <w:r>
        <w:rPr>
          <w:rFonts w:ascii="Times New Roman" w:hAnsi="Times New Roman"/>
        </w:rPr>
        <w:t>.</w:t>
      </w:r>
      <w:bookmarkEnd w:id="7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2"/>
        <w:gridCol w:w="741"/>
        <w:gridCol w:w="1640"/>
        <w:gridCol w:w="1640"/>
        <w:gridCol w:w="1269"/>
        <w:gridCol w:w="1458"/>
      </w:tblGrid>
      <w:tr w:rsidR="00C9743C" w14:paraId="17D09A5C" w14:textId="30937449" w:rsidTr="00C9743C">
        <w:tc>
          <w:tcPr>
            <w:tcW w:w="0" w:type="auto"/>
            <w:tcBorders>
              <w:top w:val="single" w:sz="4" w:space="0" w:color="auto"/>
              <w:bottom w:val="single" w:sz="4" w:space="0" w:color="auto"/>
            </w:tcBorders>
          </w:tcPr>
          <w:p w14:paraId="62EC3B9D" w14:textId="4928B8DB" w:rsidR="00C9743C" w:rsidRDefault="00C9743C" w:rsidP="00FF0C0E">
            <w:pPr>
              <w:rPr>
                <w:rFonts w:ascii="Times New Roman" w:hAnsi="Times New Roman" w:cs="Times New Roman"/>
              </w:rPr>
            </w:pPr>
            <w:r>
              <w:rPr>
                <w:rFonts w:ascii="Times New Roman" w:hAnsi="Times New Roman" w:cs="Times New Roman"/>
              </w:rPr>
              <w:t>Variable</w:t>
            </w:r>
          </w:p>
        </w:tc>
        <w:tc>
          <w:tcPr>
            <w:tcW w:w="0" w:type="auto"/>
            <w:tcBorders>
              <w:top w:val="single" w:sz="4" w:space="0" w:color="auto"/>
              <w:bottom w:val="single" w:sz="4" w:space="0" w:color="auto"/>
            </w:tcBorders>
          </w:tcPr>
          <w:p w14:paraId="203EAA7A" w14:textId="02824D17" w:rsidR="00C9743C" w:rsidRDefault="00C9743C" w:rsidP="00FF0C0E">
            <w:pPr>
              <w:jc w:val="center"/>
              <w:rPr>
                <w:rFonts w:ascii="Times New Roman" w:hAnsi="Times New Roman" w:cs="Times New Roman"/>
              </w:rPr>
            </w:pPr>
            <w:r>
              <w:rPr>
                <w:rFonts w:ascii="Times New Roman" w:hAnsi="Times New Roman" w:cs="Times New Roman"/>
              </w:rPr>
              <w:t>n =</w:t>
            </w:r>
          </w:p>
        </w:tc>
        <w:tc>
          <w:tcPr>
            <w:tcW w:w="0" w:type="auto"/>
            <w:tcBorders>
              <w:top w:val="single" w:sz="4" w:space="0" w:color="auto"/>
              <w:bottom w:val="single" w:sz="4" w:space="0" w:color="auto"/>
            </w:tcBorders>
          </w:tcPr>
          <w:p w14:paraId="1BB7E981" w14:textId="24670BDC" w:rsidR="00C9743C" w:rsidRDefault="00C9743C" w:rsidP="00FF0C0E">
            <w:pPr>
              <w:jc w:val="center"/>
              <w:rPr>
                <w:rFonts w:ascii="Times New Roman" w:hAnsi="Times New Roman" w:cs="Times New Roman"/>
              </w:rPr>
            </w:pPr>
            <w:r>
              <w:rPr>
                <w:rFonts w:ascii="Times New Roman" w:hAnsi="Times New Roman" w:cs="Times New Roman"/>
              </w:rPr>
              <w:t>Week 1</w:t>
            </w:r>
          </w:p>
        </w:tc>
        <w:tc>
          <w:tcPr>
            <w:tcW w:w="0" w:type="auto"/>
            <w:tcBorders>
              <w:top w:val="single" w:sz="4" w:space="0" w:color="auto"/>
              <w:bottom w:val="single" w:sz="4" w:space="0" w:color="auto"/>
            </w:tcBorders>
          </w:tcPr>
          <w:p w14:paraId="7985A9D0" w14:textId="7FBE2C21" w:rsidR="00C9743C" w:rsidRDefault="00C9743C" w:rsidP="00FF0C0E">
            <w:pPr>
              <w:jc w:val="center"/>
              <w:rPr>
                <w:rFonts w:ascii="Times New Roman" w:hAnsi="Times New Roman" w:cs="Times New Roman"/>
              </w:rPr>
            </w:pPr>
            <w:r>
              <w:rPr>
                <w:rFonts w:ascii="Times New Roman" w:hAnsi="Times New Roman" w:cs="Times New Roman"/>
              </w:rPr>
              <w:t>Week 4</w:t>
            </w:r>
          </w:p>
        </w:tc>
        <w:tc>
          <w:tcPr>
            <w:tcW w:w="0" w:type="auto"/>
            <w:tcBorders>
              <w:top w:val="single" w:sz="4" w:space="0" w:color="auto"/>
              <w:bottom w:val="single" w:sz="4" w:space="0" w:color="auto"/>
            </w:tcBorders>
          </w:tcPr>
          <w:p w14:paraId="73D0C5C9" w14:textId="34EEBB14" w:rsidR="00C9743C" w:rsidRDefault="00C9743C" w:rsidP="00FF0C0E">
            <w:pPr>
              <w:jc w:val="center"/>
              <w:rPr>
                <w:rFonts w:ascii="Times New Roman" w:hAnsi="Times New Roman" w:cs="Times New Roman"/>
              </w:rPr>
            </w:pPr>
            <w:r>
              <w:rPr>
                <w:rFonts w:ascii="Times New Roman" w:hAnsi="Times New Roman" w:cs="Times New Roman"/>
              </w:rPr>
              <w:t>p-value</w:t>
            </w:r>
          </w:p>
        </w:tc>
        <w:tc>
          <w:tcPr>
            <w:tcW w:w="0" w:type="auto"/>
            <w:tcBorders>
              <w:top w:val="single" w:sz="4" w:space="0" w:color="auto"/>
              <w:bottom w:val="single" w:sz="4" w:space="0" w:color="auto"/>
            </w:tcBorders>
          </w:tcPr>
          <w:p w14:paraId="23E0E538" w14:textId="73EAC2CF" w:rsidR="00C9743C" w:rsidRPr="007C0627" w:rsidRDefault="00C9743C" w:rsidP="00FF0C0E">
            <w:pPr>
              <w:jc w:val="center"/>
              <w:rPr>
                <w:rFonts w:ascii="Times New Roman" w:hAnsi="Times New Roman" w:cs="Times New Roman"/>
              </w:rPr>
            </w:pPr>
            <w:r>
              <w:rPr>
                <w:rFonts w:ascii="Times New Roman" w:hAnsi="Times New Roman" w:cs="Times New Roman"/>
              </w:rPr>
              <w:t>Effect (</w:t>
            </w:r>
            <w:r>
              <w:rPr>
                <w:rFonts w:ascii="Times New Roman" w:hAnsi="Times New Roman" w:cs="Times New Roman"/>
                <w:i/>
                <w:iCs/>
              </w:rPr>
              <w:t>d</w:t>
            </w:r>
            <w:r>
              <w:rPr>
                <w:rFonts w:ascii="Times New Roman" w:hAnsi="Times New Roman" w:cs="Times New Roman"/>
              </w:rPr>
              <w:t>)</w:t>
            </w:r>
          </w:p>
        </w:tc>
      </w:tr>
      <w:tr w:rsidR="00C9743C" w14:paraId="2A115A39" w14:textId="05C660E0" w:rsidTr="00C9743C">
        <w:tc>
          <w:tcPr>
            <w:tcW w:w="0" w:type="auto"/>
            <w:tcBorders>
              <w:top w:val="single" w:sz="4" w:space="0" w:color="auto"/>
            </w:tcBorders>
          </w:tcPr>
          <w:p w14:paraId="38BE7066" w14:textId="7996B746" w:rsidR="00C9743C" w:rsidRDefault="00C9743C" w:rsidP="00FF0C0E">
            <w:pPr>
              <w:rPr>
                <w:rFonts w:ascii="Times New Roman" w:hAnsi="Times New Roman" w:cs="Times New Roman"/>
              </w:rPr>
            </w:pPr>
            <w:r>
              <w:rPr>
                <w:rFonts w:ascii="Times New Roman" w:hAnsi="Times New Roman" w:cs="Times New Roman"/>
              </w:rPr>
              <w:t>Average HR (bpm)</w:t>
            </w:r>
          </w:p>
        </w:tc>
        <w:tc>
          <w:tcPr>
            <w:tcW w:w="0" w:type="auto"/>
            <w:tcBorders>
              <w:top w:val="single" w:sz="4" w:space="0" w:color="auto"/>
            </w:tcBorders>
          </w:tcPr>
          <w:p w14:paraId="79360ED9" w14:textId="763F0590" w:rsidR="00C9743C" w:rsidRDefault="00C9743C" w:rsidP="00FF0C0E">
            <w:pPr>
              <w:jc w:val="center"/>
              <w:rPr>
                <w:rFonts w:ascii="Times New Roman" w:hAnsi="Times New Roman" w:cs="Times New Roman"/>
              </w:rPr>
            </w:pPr>
            <w:r>
              <w:rPr>
                <w:rFonts w:ascii="Times New Roman" w:hAnsi="Times New Roman" w:cs="Times New Roman"/>
              </w:rPr>
              <w:t>11</w:t>
            </w:r>
          </w:p>
        </w:tc>
        <w:tc>
          <w:tcPr>
            <w:tcW w:w="0" w:type="auto"/>
            <w:tcBorders>
              <w:top w:val="single" w:sz="4" w:space="0" w:color="auto"/>
            </w:tcBorders>
          </w:tcPr>
          <w:p w14:paraId="7CEABCA3" w14:textId="1F1EBC99" w:rsidR="00C9743C" w:rsidRDefault="00C9743C" w:rsidP="00FF0C0E">
            <w:pPr>
              <w:jc w:val="center"/>
              <w:rPr>
                <w:rFonts w:ascii="Times New Roman" w:hAnsi="Times New Roman" w:cs="Times New Roman"/>
              </w:rPr>
            </w:pPr>
            <w:r>
              <w:rPr>
                <w:rFonts w:ascii="Times New Roman" w:hAnsi="Times New Roman" w:cs="Times New Roman"/>
              </w:rPr>
              <w:t>126.0 (5.3)</w:t>
            </w:r>
          </w:p>
        </w:tc>
        <w:tc>
          <w:tcPr>
            <w:tcW w:w="0" w:type="auto"/>
            <w:tcBorders>
              <w:top w:val="single" w:sz="4" w:space="0" w:color="auto"/>
            </w:tcBorders>
          </w:tcPr>
          <w:p w14:paraId="5453B346" w14:textId="6C777B01" w:rsidR="00C9743C" w:rsidRDefault="00C9743C" w:rsidP="00FF0C0E">
            <w:pPr>
              <w:jc w:val="center"/>
              <w:rPr>
                <w:rFonts w:ascii="Times New Roman" w:hAnsi="Times New Roman" w:cs="Times New Roman"/>
              </w:rPr>
            </w:pPr>
            <w:r>
              <w:rPr>
                <w:rFonts w:ascii="Times New Roman" w:hAnsi="Times New Roman" w:cs="Times New Roman"/>
              </w:rPr>
              <w:t>120.5 (5.4)</w:t>
            </w:r>
          </w:p>
        </w:tc>
        <w:tc>
          <w:tcPr>
            <w:tcW w:w="0" w:type="auto"/>
            <w:tcBorders>
              <w:top w:val="single" w:sz="4" w:space="0" w:color="auto"/>
            </w:tcBorders>
          </w:tcPr>
          <w:p w14:paraId="6C17080E" w14:textId="25B5F3F7" w:rsidR="00C9743C" w:rsidRDefault="00C9743C" w:rsidP="00FF0C0E">
            <w:pPr>
              <w:jc w:val="center"/>
              <w:rPr>
                <w:rFonts w:ascii="Times New Roman" w:hAnsi="Times New Roman" w:cs="Times New Roman"/>
              </w:rPr>
            </w:pPr>
            <w:r>
              <w:rPr>
                <w:rFonts w:ascii="Times New Roman" w:hAnsi="Times New Roman" w:cs="Times New Roman"/>
              </w:rPr>
              <w:t>0.303</w:t>
            </w:r>
          </w:p>
        </w:tc>
        <w:tc>
          <w:tcPr>
            <w:tcW w:w="0" w:type="auto"/>
            <w:tcBorders>
              <w:top w:val="single" w:sz="4" w:space="0" w:color="auto"/>
            </w:tcBorders>
          </w:tcPr>
          <w:p w14:paraId="267F2873" w14:textId="2D42E4B5" w:rsidR="00C9743C" w:rsidRDefault="00C9743C" w:rsidP="00FF0C0E">
            <w:pPr>
              <w:jc w:val="center"/>
              <w:rPr>
                <w:rFonts w:ascii="Times New Roman" w:hAnsi="Times New Roman" w:cs="Times New Roman"/>
              </w:rPr>
            </w:pPr>
            <w:r>
              <w:rPr>
                <w:rFonts w:ascii="Times New Roman" w:hAnsi="Times New Roman" w:cs="Times New Roman"/>
              </w:rPr>
              <w:t>0.31</w:t>
            </w:r>
          </w:p>
        </w:tc>
      </w:tr>
      <w:tr w:rsidR="00C9743C" w14:paraId="72A579F9" w14:textId="773F8AA8" w:rsidTr="00C9743C">
        <w:tc>
          <w:tcPr>
            <w:tcW w:w="0" w:type="auto"/>
          </w:tcPr>
          <w:p w14:paraId="76BF15B8" w14:textId="2654BA5E" w:rsidR="00C9743C" w:rsidRDefault="00C9743C" w:rsidP="00FF0C0E">
            <w:pPr>
              <w:rPr>
                <w:rFonts w:ascii="Times New Roman" w:hAnsi="Times New Roman" w:cs="Times New Roman"/>
              </w:rPr>
            </w:pPr>
            <w:r>
              <w:rPr>
                <w:rFonts w:ascii="Times New Roman" w:hAnsi="Times New Roman" w:cs="Times New Roman"/>
              </w:rPr>
              <w:t>TRIMP (au)</w:t>
            </w:r>
          </w:p>
        </w:tc>
        <w:tc>
          <w:tcPr>
            <w:tcW w:w="0" w:type="auto"/>
          </w:tcPr>
          <w:p w14:paraId="406D4D6A" w14:textId="3261244A" w:rsidR="00C9743C" w:rsidRDefault="00C9743C" w:rsidP="00FF0C0E">
            <w:pPr>
              <w:jc w:val="center"/>
              <w:rPr>
                <w:rFonts w:ascii="Times New Roman" w:hAnsi="Times New Roman" w:cs="Times New Roman"/>
              </w:rPr>
            </w:pPr>
            <w:r>
              <w:rPr>
                <w:rFonts w:ascii="Times New Roman" w:hAnsi="Times New Roman" w:cs="Times New Roman"/>
              </w:rPr>
              <w:t>11</w:t>
            </w:r>
          </w:p>
        </w:tc>
        <w:tc>
          <w:tcPr>
            <w:tcW w:w="0" w:type="auto"/>
          </w:tcPr>
          <w:p w14:paraId="1BB12BF5" w14:textId="29E48FCC" w:rsidR="00C9743C" w:rsidRDefault="00C9743C" w:rsidP="00FF0C0E">
            <w:pPr>
              <w:jc w:val="center"/>
              <w:rPr>
                <w:rFonts w:ascii="Times New Roman" w:hAnsi="Times New Roman" w:cs="Times New Roman"/>
              </w:rPr>
            </w:pPr>
            <w:r>
              <w:rPr>
                <w:rFonts w:ascii="Times New Roman" w:hAnsi="Times New Roman" w:cs="Times New Roman"/>
              </w:rPr>
              <w:t>109.4 (16.7)</w:t>
            </w:r>
          </w:p>
        </w:tc>
        <w:tc>
          <w:tcPr>
            <w:tcW w:w="0" w:type="auto"/>
          </w:tcPr>
          <w:p w14:paraId="76F01012" w14:textId="403639E1" w:rsidR="00C9743C" w:rsidRDefault="00C9743C" w:rsidP="00FF0C0E">
            <w:pPr>
              <w:jc w:val="center"/>
              <w:rPr>
                <w:rFonts w:ascii="Times New Roman" w:hAnsi="Times New Roman" w:cs="Times New Roman"/>
              </w:rPr>
            </w:pPr>
            <w:r>
              <w:rPr>
                <w:rFonts w:ascii="Times New Roman" w:hAnsi="Times New Roman" w:cs="Times New Roman"/>
              </w:rPr>
              <w:t>104.8 (17.5)</w:t>
            </w:r>
          </w:p>
        </w:tc>
        <w:tc>
          <w:tcPr>
            <w:tcW w:w="0" w:type="auto"/>
          </w:tcPr>
          <w:p w14:paraId="01814581" w14:textId="505D02B4" w:rsidR="00C9743C" w:rsidRDefault="00C9743C" w:rsidP="00FF0C0E">
            <w:pPr>
              <w:jc w:val="center"/>
              <w:rPr>
                <w:rFonts w:ascii="Times New Roman" w:hAnsi="Times New Roman" w:cs="Times New Roman"/>
              </w:rPr>
            </w:pPr>
            <w:r>
              <w:rPr>
                <w:rFonts w:ascii="Times New Roman" w:hAnsi="Times New Roman" w:cs="Times New Roman"/>
              </w:rPr>
              <w:t>0.793</w:t>
            </w:r>
          </w:p>
        </w:tc>
        <w:tc>
          <w:tcPr>
            <w:tcW w:w="0" w:type="auto"/>
          </w:tcPr>
          <w:p w14:paraId="5BB748CA" w14:textId="0770C3AA" w:rsidR="00C9743C" w:rsidRDefault="00C9743C" w:rsidP="00FF0C0E">
            <w:pPr>
              <w:jc w:val="center"/>
              <w:rPr>
                <w:rFonts w:ascii="Times New Roman" w:hAnsi="Times New Roman" w:cs="Times New Roman"/>
              </w:rPr>
            </w:pPr>
            <w:r>
              <w:rPr>
                <w:rFonts w:ascii="Times New Roman" w:hAnsi="Times New Roman" w:cs="Times New Roman"/>
              </w:rPr>
              <w:t>0.08</w:t>
            </w:r>
          </w:p>
        </w:tc>
      </w:tr>
      <w:tr w:rsidR="00C9743C" w14:paraId="452B19F0" w14:textId="21704DAB" w:rsidTr="00C9743C">
        <w:tc>
          <w:tcPr>
            <w:tcW w:w="0" w:type="auto"/>
          </w:tcPr>
          <w:p w14:paraId="514533FA" w14:textId="0E2BB8C2" w:rsidR="00C9743C" w:rsidRDefault="00C9743C" w:rsidP="00FF0C0E">
            <w:pPr>
              <w:rPr>
                <w:rFonts w:ascii="Times New Roman" w:hAnsi="Times New Roman" w:cs="Times New Roman"/>
              </w:rPr>
            </w:pPr>
            <w:r>
              <w:rPr>
                <w:rFonts w:ascii="Times New Roman" w:hAnsi="Times New Roman" w:cs="Times New Roman"/>
              </w:rPr>
              <w:t>TRIMP/</w:t>
            </w:r>
            <w:r w:rsidR="00511B2C">
              <w:rPr>
                <w:rFonts w:ascii="Times New Roman" w:hAnsi="Times New Roman" w:cs="Times New Roman"/>
              </w:rPr>
              <w:t>M</w:t>
            </w:r>
            <w:r>
              <w:rPr>
                <w:rFonts w:ascii="Times New Roman" w:hAnsi="Times New Roman" w:cs="Times New Roman"/>
              </w:rPr>
              <w:t>in (au)</w:t>
            </w:r>
          </w:p>
        </w:tc>
        <w:tc>
          <w:tcPr>
            <w:tcW w:w="0" w:type="auto"/>
          </w:tcPr>
          <w:p w14:paraId="74BDB640" w14:textId="20C190FD" w:rsidR="00C9743C" w:rsidRDefault="00C9743C" w:rsidP="00FF0C0E">
            <w:pPr>
              <w:jc w:val="center"/>
              <w:rPr>
                <w:rFonts w:ascii="Times New Roman" w:hAnsi="Times New Roman" w:cs="Times New Roman"/>
              </w:rPr>
            </w:pPr>
            <w:r>
              <w:rPr>
                <w:rFonts w:ascii="Times New Roman" w:hAnsi="Times New Roman" w:cs="Times New Roman"/>
              </w:rPr>
              <w:t>11</w:t>
            </w:r>
          </w:p>
        </w:tc>
        <w:tc>
          <w:tcPr>
            <w:tcW w:w="0" w:type="auto"/>
          </w:tcPr>
          <w:p w14:paraId="66E7D4A9" w14:textId="3C3FC036" w:rsidR="00C9743C" w:rsidRDefault="00C9743C" w:rsidP="00FF0C0E">
            <w:pPr>
              <w:jc w:val="center"/>
              <w:rPr>
                <w:rFonts w:ascii="Times New Roman" w:hAnsi="Times New Roman" w:cs="Times New Roman"/>
              </w:rPr>
            </w:pPr>
            <w:r>
              <w:rPr>
                <w:rFonts w:ascii="Times New Roman" w:hAnsi="Times New Roman" w:cs="Times New Roman"/>
              </w:rPr>
              <w:t>1.0 (0.1)</w:t>
            </w:r>
          </w:p>
        </w:tc>
        <w:tc>
          <w:tcPr>
            <w:tcW w:w="0" w:type="auto"/>
          </w:tcPr>
          <w:p w14:paraId="66D6453D" w14:textId="15A7C5D1" w:rsidR="00C9743C" w:rsidRDefault="00C9743C" w:rsidP="00FF0C0E">
            <w:pPr>
              <w:jc w:val="center"/>
              <w:rPr>
                <w:rFonts w:ascii="Times New Roman" w:hAnsi="Times New Roman" w:cs="Times New Roman"/>
              </w:rPr>
            </w:pPr>
            <w:r>
              <w:rPr>
                <w:rFonts w:ascii="Times New Roman" w:hAnsi="Times New Roman" w:cs="Times New Roman"/>
              </w:rPr>
              <w:t>0.8 (0.1)</w:t>
            </w:r>
          </w:p>
        </w:tc>
        <w:tc>
          <w:tcPr>
            <w:tcW w:w="0" w:type="auto"/>
          </w:tcPr>
          <w:p w14:paraId="4D9CAFF6" w14:textId="1B3D812B" w:rsidR="00C9743C" w:rsidRDefault="00C9743C" w:rsidP="00FF0C0E">
            <w:pPr>
              <w:jc w:val="center"/>
              <w:rPr>
                <w:rFonts w:ascii="Times New Roman" w:hAnsi="Times New Roman" w:cs="Times New Roman"/>
              </w:rPr>
            </w:pPr>
            <w:r>
              <w:rPr>
                <w:rFonts w:ascii="Times New Roman" w:hAnsi="Times New Roman" w:cs="Times New Roman"/>
              </w:rPr>
              <w:t>0.330</w:t>
            </w:r>
          </w:p>
        </w:tc>
        <w:tc>
          <w:tcPr>
            <w:tcW w:w="0" w:type="auto"/>
          </w:tcPr>
          <w:p w14:paraId="6C605C41" w14:textId="4D28E30F" w:rsidR="00C9743C" w:rsidRDefault="00C9743C" w:rsidP="00FF0C0E">
            <w:pPr>
              <w:jc w:val="center"/>
              <w:rPr>
                <w:rFonts w:ascii="Times New Roman" w:hAnsi="Times New Roman" w:cs="Times New Roman"/>
              </w:rPr>
            </w:pPr>
            <w:r>
              <w:rPr>
                <w:rFonts w:ascii="Times New Roman" w:hAnsi="Times New Roman" w:cs="Times New Roman"/>
              </w:rPr>
              <w:t>0.27</w:t>
            </w:r>
          </w:p>
        </w:tc>
      </w:tr>
      <w:tr w:rsidR="00C9743C" w14:paraId="133F6193" w14:textId="47C0203A" w:rsidTr="00C9743C">
        <w:tc>
          <w:tcPr>
            <w:tcW w:w="0" w:type="auto"/>
          </w:tcPr>
          <w:p w14:paraId="218EF1CB" w14:textId="37AD91A0" w:rsidR="00C9743C" w:rsidRDefault="00C9743C" w:rsidP="00FF0C0E">
            <w:pPr>
              <w:rPr>
                <w:rFonts w:ascii="Times New Roman" w:hAnsi="Times New Roman" w:cs="Times New Roman"/>
              </w:rPr>
            </w:pPr>
            <w:r>
              <w:rPr>
                <w:rFonts w:ascii="Times New Roman" w:hAnsi="Times New Roman" w:cs="Times New Roman"/>
              </w:rPr>
              <w:t>RPE</w:t>
            </w:r>
          </w:p>
        </w:tc>
        <w:tc>
          <w:tcPr>
            <w:tcW w:w="0" w:type="auto"/>
          </w:tcPr>
          <w:p w14:paraId="4BADBBE4" w14:textId="0F3EFED4" w:rsidR="00C9743C" w:rsidRDefault="00C9743C" w:rsidP="00FF0C0E">
            <w:pPr>
              <w:jc w:val="center"/>
              <w:rPr>
                <w:rFonts w:ascii="Times New Roman" w:hAnsi="Times New Roman" w:cs="Times New Roman"/>
              </w:rPr>
            </w:pPr>
            <w:r>
              <w:rPr>
                <w:rFonts w:ascii="Times New Roman" w:hAnsi="Times New Roman" w:cs="Times New Roman"/>
              </w:rPr>
              <w:t>14</w:t>
            </w:r>
          </w:p>
        </w:tc>
        <w:tc>
          <w:tcPr>
            <w:tcW w:w="0" w:type="auto"/>
          </w:tcPr>
          <w:p w14:paraId="03DEB7EA" w14:textId="2D059EE6" w:rsidR="00C9743C" w:rsidRDefault="00C9743C" w:rsidP="00FF0C0E">
            <w:pPr>
              <w:jc w:val="center"/>
              <w:rPr>
                <w:rFonts w:ascii="Times New Roman" w:hAnsi="Times New Roman" w:cs="Times New Roman"/>
              </w:rPr>
            </w:pPr>
            <w:r>
              <w:rPr>
                <w:rFonts w:ascii="Times New Roman" w:hAnsi="Times New Roman" w:cs="Times New Roman"/>
              </w:rPr>
              <w:t>5.8 (0.5)</w:t>
            </w:r>
          </w:p>
        </w:tc>
        <w:tc>
          <w:tcPr>
            <w:tcW w:w="0" w:type="auto"/>
          </w:tcPr>
          <w:p w14:paraId="12424435" w14:textId="318A0994" w:rsidR="00C9743C" w:rsidRDefault="00C9743C" w:rsidP="00FF0C0E">
            <w:pPr>
              <w:jc w:val="center"/>
              <w:rPr>
                <w:rFonts w:ascii="Times New Roman" w:hAnsi="Times New Roman" w:cs="Times New Roman"/>
              </w:rPr>
            </w:pPr>
            <w:r>
              <w:rPr>
                <w:rFonts w:ascii="Times New Roman" w:hAnsi="Times New Roman" w:cs="Times New Roman"/>
              </w:rPr>
              <w:t>6.0 (0.7)</w:t>
            </w:r>
          </w:p>
        </w:tc>
        <w:tc>
          <w:tcPr>
            <w:tcW w:w="0" w:type="auto"/>
          </w:tcPr>
          <w:p w14:paraId="0F01BCD7" w14:textId="0D59A51C" w:rsidR="00C9743C" w:rsidRDefault="00C9743C" w:rsidP="00FF0C0E">
            <w:pPr>
              <w:jc w:val="center"/>
              <w:rPr>
                <w:rFonts w:ascii="Times New Roman" w:hAnsi="Times New Roman" w:cs="Times New Roman"/>
              </w:rPr>
            </w:pPr>
            <w:r>
              <w:rPr>
                <w:rFonts w:ascii="Times New Roman" w:hAnsi="Times New Roman" w:cs="Times New Roman"/>
              </w:rPr>
              <w:t>0.718</w:t>
            </w:r>
          </w:p>
        </w:tc>
        <w:tc>
          <w:tcPr>
            <w:tcW w:w="0" w:type="auto"/>
          </w:tcPr>
          <w:p w14:paraId="30A1193A" w14:textId="47FC4FEB" w:rsidR="00C9743C" w:rsidRDefault="00C9743C" w:rsidP="00FF0C0E">
            <w:pPr>
              <w:jc w:val="center"/>
              <w:rPr>
                <w:rFonts w:ascii="Times New Roman" w:hAnsi="Times New Roman" w:cs="Times New Roman"/>
              </w:rPr>
            </w:pPr>
            <w:r>
              <w:rPr>
                <w:rFonts w:ascii="Times New Roman" w:hAnsi="Times New Roman" w:cs="Times New Roman"/>
              </w:rPr>
              <w:t>0.10</w:t>
            </w:r>
          </w:p>
        </w:tc>
      </w:tr>
      <w:tr w:rsidR="00C9743C" w14:paraId="5EC24D5F" w14:textId="2F519CD7" w:rsidTr="00C9743C">
        <w:tc>
          <w:tcPr>
            <w:tcW w:w="0" w:type="auto"/>
            <w:tcBorders>
              <w:bottom w:val="single" w:sz="4" w:space="0" w:color="auto"/>
            </w:tcBorders>
          </w:tcPr>
          <w:p w14:paraId="018F0059" w14:textId="484C3FDB" w:rsidR="00C9743C" w:rsidRDefault="00C9743C" w:rsidP="00FF0C0E">
            <w:pPr>
              <w:rPr>
                <w:rFonts w:ascii="Times New Roman" w:hAnsi="Times New Roman" w:cs="Times New Roman"/>
              </w:rPr>
            </w:pPr>
            <w:proofErr w:type="spellStart"/>
            <w:r>
              <w:rPr>
                <w:rFonts w:ascii="Times New Roman" w:hAnsi="Times New Roman" w:cs="Times New Roman"/>
              </w:rPr>
              <w:t>sRPE</w:t>
            </w:r>
            <w:proofErr w:type="spellEnd"/>
          </w:p>
        </w:tc>
        <w:tc>
          <w:tcPr>
            <w:tcW w:w="0" w:type="auto"/>
            <w:tcBorders>
              <w:bottom w:val="single" w:sz="4" w:space="0" w:color="auto"/>
            </w:tcBorders>
          </w:tcPr>
          <w:p w14:paraId="277AED9E" w14:textId="12DB9960" w:rsidR="00C9743C" w:rsidRDefault="00C9743C" w:rsidP="00FF0C0E">
            <w:pPr>
              <w:jc w:val="center"/>
              <w:rPr>
                <w:rFonts w:ascii="Times New Roman" w:hAnsi="Times New Roman" w:cs="Times New Roman"/>
              </w:rPr>
            </w:pPr>
            <w:r>
              <w:rPr>
                <w:rFonts w:ascii="Times New Roman" w:hAnsi="Times New Roman" w:cs="Times New Roman"/>
              </w:rPr>
              <w:t>14</w:t>
            </w:r>
          </w:p>
        </w:tc>
        <w:tc>
          <w:tcPr>
            <w:tcW w:w="0" w:type="auto"/>
            <w:tcBorders>
              <w:bottom w:val="single" w:sz="4" w:space="0" w:color="auto"/>
            </w:tcBorders>
          </w:tcPr>
          <w:p w14:paraId="660D15CB" w14:textId="630DE79A" w:rsidR="00C9743C" w:rsidRDefault="00C9743C" w:rsidP="00FF0C0E">
            <w:pPr>
              <w:jc w:val="center"/>
              <w:rPr>
                <w:rFonts w:ascii="Times New Roman" w:hAnsi="Times New Roman" w:cs="Times New Roman"/>
              </w:rPr>
            </w:pPr>
            <w:r>
              <w:rPr>
                <w:rFonts w:ascii="Times New Roman" w:hAnsi="Times New Roman" w:cs="Times New Roman"/>
              </w:rPr>
              <w:t>646.9 (55.9)</w:t>
            </w:r>
          </w:p>
        </w:tc>
        <w:tc>
          <w:tcPr>
            <w:tcW w:w="0" w:type="auto"/>
            <w:tcBorders>
              <w:bottom w:val="single" w:sz="4" w:space="0" w:color="auto"/>
            </w:tcBorders>
          </w:tcPr>
          <w:p w14:paraId="1F0A072F" w14:textId="424AB3F7" w:rsidR="00C9743C" w:rsidRDefault="00C9743C" w:rsidP="00FF0C0E">
            <w:pPr>
              <w:jc w:val="center"/>
              <w:rPr>
                <w:rFonts w:ascii="Times New Roman" w:hAnsi="Times New Roman" w:cs="Times New Roman"/>
              </w:rPr>
            </w:pPr>
            <w:r>
              <w:rPr>
                <w:rFonts w:ascii="Times New Roman" w:hAnsi="Times New Roman" w:cs="Times New Roman"/>
              </w:rPr>
              <w:t>807.1 (88.2)</w:t>
            </w:r>
          </w:p>
        </w:tc>
        <w:tc>
          <w:tcPr>
            <w:tcW w:w="0" w:type="auto"/>
            <w:tcBorders>
              <w:bottom w:val="single" w:sz="4" w:space="0" w:color="auto"/>
            </w:tcBorders>
          </w:tcPr>
          <w:p w14:paraId="77B3357D" w14:textId="532FEA24" w:rsidR="00C9743C" w:rsidRDefault="00C9743C" w:rsidP="00FF0C0E">
            <w:pPr>
              <w:jc w:val="center"/>
              <w:rPr>
                <w:rFonts w:ascii="Times New Roman" w:hAnsi="Times New Roman" w:cs="Times New Roman"/>
              </w:rPr>
            </w:pPr>
            <w:r>
              <w:rPr>
                <w:rFonts w:ascii="Times New Roman" w:hAnsi="Times New Roman" w:cs="Times New Roman"/>
              </w:rPr>
              <w:t>0.056</w:t>
            </w:r>
          </w:p>
        </w:tc>
        <w:tc>
          <w:tcPr>
            <w:tcW w:w="0" w:type="auto"/>
            <w:tcBorders>
              <w:bottom w:val="single" w:sz="4" w:space="0" w:color="auto"/>
            </w:tcBorders>
          </w:tcPr>
          <w:p w14:paraId="68FAA49E" w14:textId="5A22216D" w:rsidR="00C9743C" w:rsidRDefault="00C9743C" w:rsidP="00FF0C0E">
            <w:pPr>
              <w:jc w:val="center"/>
              <w:rPr>
                <w:rFonts w:ascii="Times New Roman" w:hAnsi="Times New Roman" w:cs="Times New Roman"/>
              </w:rPr>
            </w:pPr>
            <w:r>
              <w:rPr>
                <w:rFonts w:ascii="Times New Roman" w:hAnsi="Times New Roman" w:cs="Times New Roman"/>
              </w:rPr>
              <w:t>0.58</w:t>
            </w:r>
          </w:p>
        </w:tc>
      </w:tr>
      <w:tr w:rsidR="00C9743C" w14:paraId="5C51403B" w14:textId="728A2A4C" w:rsidTr="00C9743C">
        <w:tc>
          <w:tcPr>
            <w:tcW w:w="0" w:type="auto"/>
            <w:gridSpan w:val="6"/>
            <w:tcBorders>
              <w:top w:val="single" w:sz="4" w:space="0" w:color="auto"/>
            </w:tcBorders>
          </w:tcPr>
          <w:p w14:paraId="39858AD7" w14:textId="31FA84BD" w:rsidR="00C9743C" w:rsidRPr="00966EA7" w:rsidRDefault="00C9743C" w:rsidP="00FF0C0E">
            <w:pPr>
              <w:rPr>
                <w:rFonts w:ascii="Times New Roman" w:hAnsi="Times New Roman" w:cs="Times New Roman"/>
                <w:sz w:val="18"/>
                <w:szCs w:val="18"/>
                <w:lang w:bidi="en-US"/>
              </w:rPr>
            </w:pPr>
            <w:r w:rsidRPr="00966EA7">
              <w:rPr>
                <w:rFonts w:ascii="Times New Roman" w:hAnsi="Times New Roman" w:cs="Times New Roman"/>
                <w:sz w:val="18"/>
                <w:szCs w:val="18"/>
              </w:rPr>
              <w:t xml:space="preserve">Data presented as Mean (Standard Error). HR = Heart Rate; TRIMP = Training Impulse; RPE = Rating of Perceived Exertion; </w:t>
            </w:r>
            <w:proofErr w:type="spellStart"/>
            <w:r w:rsidRPr="00966EA7">
              <w:rPr>
                <w:rFonts w:ascii="Times New Roman" w:hAnsi="Times New Roman" w:cs="Times New Roman"/>
                <w:sz w:val="18"/>
                <w:szCs w:val="18"/>
              </w:rPr>
              <w:t>sRPE</w:t>
            </w:r>
            <w:proofErr w:type="spellEnd"/>
            <w:r w:rsidRPr="00966EA7">
              <w:rPr>
                <w:rFonts w:ascii="Times New Roman" w:hAnsi="Times New Roman" w:cs="Times New Roman"/>
                <w:sz w:val="18"/>
                <w:szCs w:val="18"/>
              </w:rPr>
              <w:t xml:space="preserve"> = Session Rating of Perceived Exertion; statistical significance set at p ≤ 0.05; </w:t>
            </w:r>
            <w:r w:rsidRPr="00966EA7">
              <w:rPr>
                <w:rFonts w:ascii="Times New Roman" w:hAnsi="Times New Roman" w:cs="Times New Roman"/>
                <w:bCs/>
                <w:i/>
                <w:sz w:val="18"/>
                <w:szCs w:val="18"/>
                <w:lang w:bidi="en-US"/>
              </w:rPr>
              <w:t xml:space="preserve">d = </w:t>
            </w:r>
            <w:r w:rsidRPr="00966EA7">
              <w:rPr>
                <w:rFonts w:ascii="Times New Roman" w:hAnsi="Times New Roman" w:cs="Times New Roman"/>
                <w:bCs/>
                <w:sz w:val="18"/>
                <w:szCs w:val="18"/>
                <w:lang w:bidi="en-US"/>
              </w:rPr>
              <w:t xml:space="preserve">Cohen’s </w:t>
            </w:r>
            <w:r w:rsidRPr="00966EA7">
              <w:rPr>
                <w:rFonts w:ascii="Times New Roman" w:hAnsi="Times New Roman" w:cs="Times New Roman"/>
                <w:bCs/>
                <w:i/>
                <w:sz w:val="18"/>
                <w:szCs w:val="18"/>
                <w:lang w:bidi="en-US"/>
              </w:rPr>
              <w:t>d</w:t>
            </w:r>
            <w:r w:rsidRPr="00966EA7">
              <w:rPr>
                <w:rFonts w:ascii="Times New Roman" w:hAnsi="Times New Roman" w:cs="Times New Roman"/>
                <w:bCs/>
                <w:sz w:val="18"/>
                <w:szCs w:val="18"/>
                <w:lang w:bidi="en-US"/>
              </w:rPr>
              <w:t xml:space="preserve">, interpreted as </w:t>
            </w:r>
            <w:r w:rsidRPr="00966EA7">
              <w:rPr>
                <w:rFonts w:ascii="Times New Roman" w:hAnsi="Times New Roman" w:cs="Times New Roman"/>
                <w:sz w:val="18"/>
                <w:szCs w:val="18"/>
                <w:lang w:bidi="en-US"/>
              </w:rPr>
              <w:t>trivial (0–0.19), small (0.20–0.49), medium (0.50–0.79), and large (≥ 0.80).</w:t>
            </w:r>
          </w:p>
        </w:tc>
      </w:tr>
    </w:tbl>
    <w:p w14:paraId="13A4A7F5" w14:textId="77777777" w:rsidR="009F4AC6" w:rsidRDefault="009F4AC6" w:rsidP="008D7C02">
      <w:pPr>
        <w:spacing w:line="480" w:lineRule="auto"/>
        <w:rPr>
          <w:rFonts w:ascii="Times New Roman" w:hAnsi="Times New Roman" w:cs="Times New Roman"/>
        </w:rPr>
      </w:pPr>
    </w:p>
    <w:p w14:paraId="28915375" w14:textId="0E51C9B4" w:rsidR="00975A61" w:rsidRPr="00F571A7" w:rsidRDefault="00975A61" w:rsidP="00F829B9">
      <w:pPr>
        <w:pStyle w:val="Heading2"/>
      </w:pPr>
      <w:bookmarkStart w:id="71" w:name="_Toc99267642"/>
      <w:r w:rsidRPr="00F571A7">
        <w:lastRenderedPageBreak/>
        <w:t>Countermovement Jump (CMJ) Results</w:t>
      </w:r>
      <w:bookmarkEnd w:id="71"/>
    </w:p>
    <w:p w14:paraId="7BEB20AC" w14:textId="7FE9D215" w:rsidR="00236575" w:rsidRDefault="00975A61" w:rsidP="00F829B9">
      <w:pPr>
        <w:spacing w:line="480" w:lineRule="auto"/>
        <w:jc w:val="both"/>
        <w:rPr>
          <w:rFonts w:ascii="Times New Roman" w:hAnsi="Times New Roman" w:cs="Times New Roman"/>
        </w:rPr>
      </w:pPr>
      <w:r>
        <w:rPr>
          <w:rFonts w:ascii="Times New Roman" w:hAnsi="Times New Roman" w:cs="Times New Roman"/>
        </w:rPr>
        <w:tab/>
      </w:r>
      <w:r w:rsidR="00563EA8">
        <w:rPr>
          <w:rFonts w:ascii="Times New Roman" w:hAnsi="Times New Roman" w:cs="Times New Roman"/>
        </w:rPr>
        <w:t xml:space="preserve">Data from 13 participants were included in the CMJ analysis, as two participants were excluded due to missing time points. </w:t>
      </w:r>
      <w:r>
        <w:rPr>
          <w:rFonts w:ascii="Times New Roman" w:hAnsi="Times New Roman" w:cs="Times New Roman"/>
        </w:rPr>
        <w:t xml:space="preserve">The </w:t>
      </w:r>
      <w:r w:rsidR="003B4F0A">
        <w:rPr>
          <w:rFonts w:ascii="Times New Roman" w:hAnsi="Times New Roman" w:cs="Times New Roman"/>
        </w:rPr>
        <w:t xml:space="preserve">overall </w:t>
      </w:r>
      <w:r>
        <w:rPr>
          <w:rFonts w:ascii="Times New Roman" w:hAnsi="Times New Roman" w:cs="Times New Roman"/>
        </w:rPr>
        <w:t xml:space="preserve">descriptive statistics of the CMJ variables are outlined in Table 3. </w:t>
      </w:r>
      <w:r w:rsidR="00EF29E9">
        <w:rPr>
          <w:rFonts w:ascii="Times New Roman" w:hAnsi="Times New Roman" w:cs="Times New Roman"/>
        </w:rPr>
        <w:t>When examining the CMJ variables there were no</w:t>
      </w:r>
      <w:r w:rsidR="000A2F75">
        <w:rPr>
          <w:rFonts w:ascii="Times New Roman" w:hAnsi="Times New Roman" w:cs="Times New Roman"/>
        </w:rPr>
        <w:t xml:space="preserve"> </w:t>
      </w:r>
      <w:r w:rsidR="00485BD8">
        <w:rPr>
          <w:rFonts w:ascii="Times New Roman" w:hAnsi="Times New Roman" w:cs="Times New Roman"/>
        </w:rPr>
        <w:t>significant</w:t>
      </w:r>
      <w:r w:rsidR="00EF29E9">
        <w:rPr>
          <w:rFonts w:ascii="Times New Roman" w:hAnsi="Times New Roman" w:cs="Times New Roman"/>
        </w:rPr>
        <w:t xml:space="preserve"> Week main effects</w:t>
      </w:r>
      <w:r w:rsidR="00485BD8">
        <w:rPr>
          <w:rFonts w:ascii="Times New Roman" w:hAnsi="Times New Roman" w:cs="Times New Roman"/>
        </w:rPr>
        <w:t xml:space="preserve"> </w:t>
      </w:r>
      <w:r w:rsidR="000628B0">
        <w:rPr>
          <w:rFonts w:ascii="Times New Roman" w:hAnsi="Times New Roman" w:cs="Times New Roman"/>
        </w:rPr>
        <w:t xml:space="preserve">detected </w:t>
      </w:r>
      <w:r w:rsidR="000A2F75">
        <w:rPr>
          <w:rFonts w:ascii="Times New Roman" w:hAnsi="Times New Roman" w:cs="Times New Roman"/>
        </w:rPr>
        <w:t>across</w:t>
      </w:r>
      <w:r w:rsidR="00AD7AEC">
        <w:rPr>
          <w:rFonts w:ascii="Times New Roman" w:hAnsi="Times New Roman" w:cs="Times New Roman"/>
        </w:rPr>
        <w:t xml:space="preserve"> time within </w:t>
      </w:r>
      <w:r w:rsidR="00EF29E9">
        <w:rPr>
          <w:rFonts w:ascii="Times New Roman" w:hAnsi="Times New Roman" w:cs="Times New Roman"/>
        </w:rPr>
        <w:t>any of the</w:t>
      </w:r>
      <w:r w:rsidR="00AD7AEC">
        <w:rPr>
          <w:rFonts w:ascii="Times New Roman" w:hAnsi="Times New Roman" w:cs="Times New Roman"/>
        </w:rPr>
        <w:t xml:space="preserve"> variables</w:t>
      </w:r>
      <w:r w:rsidR="000A2F75">
        <w:rPr>
          <w:rFonts w:ascii="Times New Roman" w:hAnsi="Times New Roman" w:cs="Times New Roman"/>
        </w:rPr>
        <w:t>, including</w:t>
      </w:r>
      <w:r w:rsidR="00485BD8">
        <w:rPr>
          <w:rFonts w:ascii="Times New Roman" w:hAnsi="Times New Roman" w:cs="Times New Roman"/>
        </w:rPr>
        <w:t xml:space="preserve"> </w:t>
      </w:r>
      <w:proofErr w:type="spellStart"/>
      <w:r w:rsidR="00461B17">
        <w:rPr>
          <w:rFonts w:ascii="Times New Roman" w:hAnsi="Times New Roman" w:cs="Times New Roman"/>
        </w:rPr>
        <w:t>ConcMF</w:t>
      </w:r>
      <w:proofErr w:type="spellEnd"/>
      <w:r w:rsidR="005631F9">
        <w:rPr>
          <w:rFonts w:ascii="Times New Roman" w:hAnsi="Times New Roman" w:cs="Times New Roman"/>
        </w:rPr>
        <w:t xml:space="preserve"> (p =</w:t>
      </w:r>
      <w:r w:rsidR="001D6C34">
        <w:rPr>
          <w:rFonts w:ascii="Times New Roman" w:hAnsi="Times New Roman" w:cs="Times New Roman"/>
        </w:rPr>
        <w:t xml:space="preserve"> 0.</w:t>
      </w:r>
      <w:r w:rsidR="00EA39AF">
        <w:rPr>
          <w:rFonts w:ascii="Times New Roman" w:hAnsi="Times New Roman" w:cs="Times New Roman"/>
        </w:rPr>
        <w:t>512</w:t>
      </w:r>
      <w:r w:rsidR="001D6C34" w:rsidRPr="00DF5A55">
        <w:rPr>
          <w:rFonts w:ascii="Times New Roman" w:hAnsi="Times New Roman" w:cs="Times New Roman"/>
        </w:rPr>
        <w:t>)</w:t>
      </w:r>
      <w:r w:rsidR="00461B17" w:rsidRPr="00DF5A55">
        <w:rPr>
          <w:rFonts w:ascii="Times New Roman" w:hAnsi="Times New Roman" w:cs="Times New Roman"/>
        </w:rPr>
        <w:t>,</w:t>
      </w:r>
      <w:r w:rsidR="00461B17">
        <w:rPr>
          <w:rFonts w:ascii="Times New Roman" w:hAnsi="Times New Roman" w:cs="Times New Roman"/>
        </w:rPr>
        <w:t xml:space="preserve"> </w:t>
      </w:r>
      <w:proofErr w:type="spellStart"/>
      <w:r w:rsidR="00461B17">
        <w:rPr>
          <w:rFonts w:ascii="Times New Roman" w:hAnsi="Times New Roman" w:cs="Times New Roman"/>
        </w:rPr>
        <w:t>ConcMP</w:t>
      </w:r>
      <w:proofErr w:type="spellEnd"/>
      <w:r w:rsidR="005631F9">
        <w:rPr>
          <w:rFonts w:ascii="Times New Roman" w:hAnsi="Times New Roman" w:cs="Times New Roman"/>
        </w:rPr>
        <w:t xml:space="preserve"> (p =</w:t>
      </w:r>
      <w:r w:rsidR="001D6C34">
        <w:rPr>
          <w:rFonts w:ascii="Times New Roman" w:hAnsi="Times New Roman" w:cs="Times New Roman"/>
        </w:rPr>
        <w:t xml:space="preserve"> 0.</w:t>
      </w:r>
      <w:r w:rsidR="00EA39AF">
        <w:rPr>
          <w:rFonts w:ascii="Times New Roman" w:hAnsi="Times New Roman" w:cs="Times New Roman"/>
        </w:rPr>
        <w:t>624</w:t>
      </w:r>
      <w:r w:rsidR="001D6C34">
        <w:rPr>
          <w:rFonts w:ascii="Times New Roman" w:hAnsi="Times New Roman" w:cs="Times New Roman"/>
        </w:rPr>
        <w:t>)</w:t>
      </w:r>
      <w:r w:rsidR="00461B17">
        <w:rPr>
          <w:rFonts w:ascii="Times New Roman" w:hAnsi="Times New Roman" w:cs="Times New Roman"/>
        </w:rPr>
        <w:t xml:space="preserve">, </w:t>
      </w:r>
      <w:proofErr w:type="spellStart"/>
      <w:r w:rsidR="005631F9">
        <w:rPr>
          <w:rFonts w:ascii="Times New Roman" w:hAnsi="Times New Roman" w:cs="Times New Roman"/>
        </w:rPr>
        <w:t>ConcPF</w:t>
      </w:r>
      <w:proofErr w:type="spellEnd"/>
      <w:r w:rsidR="005631F9">
        <w:rPr>
          <w:rFonts w:ascii="Times New Roman" w:hAnsi="Times New Roman" w:cs="Times New Roman"/>
        </w:rPr>
        <w:t xml:space="preserve"> (p =</w:t>
      </w:r>
      <w:r w:rsidR="001D6C34">
        <w:rPr>
          <w:rFonts w:ascii="Times New Roman" w:hAnsi="Times New Roman" w:cs="Times New Roman"/>
        </w:rPr>
        <w:t xml:space="preserve"> </w:t>
      </w:r>
      <w:r w:rsidR="00A33909">
        <w:rPr>
          <w:rFonts w:ascii="Times New Roman" w:hAnsi="Times New Roman" w:cs="Times New Roman"/>
        </w:rPr>
        <w:t>0.</w:t>
      </w:r>
      <w:r w:rsidR="00EA39AF">
        <w:rPr>
          <w:rFonts w:ascii="Times New Roman" w:hAnsi="Times New Roman" w:cs="Times New Roman"/>
        </w:rPr>
        <w:t>364</w:t>
      </w:r>
      <w:r w:rsidR="00A33909">
        <w:rPr>
          <w:rFonts w:ascii="Times New Roman" w:hAnsi="Times New Roman" w:cs="Times New Roman"/>
        </w:rPr>
        <w:t>)</w:t>
      </w:r>
      <w:r w:rsidR="005631F9">
        <w:rPr>
          <w:rFonts w:ascii="Times New Roman" w:hAnsi="Times New Roman" w:cs="Times New Roman"/>
        </w:rPr>
        <w:t>, CT (p =</w:t>
      </w:r>
      <w:r w:rsidR="00A33909">
        <w:rPr>
          <w:rFonts w:ascii="Times New Roman" w:hAnsi="Times New Roman" w:cs="Times New Roman"/>
        </w:rPr>
        <w:t xml:space="preserve"> 0.</w:t>
      </w:r>
      <w:r w:rsidR="00EA39AF">
        <w:rPr>
          <w:rFonts w:ascii="Times New Roman" w:hAnsi="Times New Roman" w:cs="Times New Roman"/>
        </w:rPr>
        <w:t>924</w:t>
      </w:r>
      <w:r w:rsidR="00A33909">
        <w:rPr>
          <w:rFonts w:ascii="Times New Roman" w:hAnsi="Times New Roman" w:cs="Times New Roman"/>
        </w:rPr>
        <w:t>)</w:t>
      </w:r>
      <w:r w:rsidR="005631F9">
        <w:rPr>
          <w:rFonts w:ascii="Times New Roman" w:hAnsi="Times New Roman" w:cs="Times New Roman"/>
        </w:rPr>
        <w:t xml:space="preserve">, </w:t>
      </w:r>
      <w:proofErr w:type="spellStart"/>
      <w:r w:rsidR="005631F9">
        <w:rPr>
          <w:rFonts w:ascii="Times New Roman" w:hAnsi="Times New Roman" w:cs="Times New Roman"/>
        </w:rPr>
        <w:t>EccMBF</w:t>
      </w:r>
      <w:proofErr w:type="spellEnd"/>
      <w:r w:rsidR="005631F9">
        <w:rPr>
          <w:rFonts w:ascii="Times New Roman" w:hAnsi="Times New Roman" w:cs="Times New Roman"/>
        </w:rPr>
        <w:t xml:space="preserve"> (p =</w:t>
      </w:r>
      <w:r w:rsidR="00A33909">
        <w:rPr>
          <w:rFonts w:ascii="Times New Roman" w:hAnsi="Times New Roman" w:cs="Times New Roman"/>
        </w:rPr>
        <w:t xml:space="preserve"> 0.</w:t>
      </w:r>
      <w:r w:rsidR="00EA39AF">
        <w:rPr>
          <w:rFonts w:ascii="Times New Roman" w:hAnsi="Times New Roman" w:cs="Times New Roman"/>
        </w:rPr>
        <w:t>242</w:t>
      </w:r>
      <w:r w:rsidR="00055A6E">
        <w:rPr>
          <w:rFonts w:ascii="Times New Roman" w:hAnsi="Times New Roman" w:cs="Times New Roman"/>
        </w:rPr>
        <w:t>,</w:t>
      </w:r>
      <w:r w:rsidR="00A33909">
        <w:rPr>
          <w:rFonts w:ascii="Times New Roman" w:hAnsi="Times New Roman" w:cs="Times New Roman"/>
        </w:rPr>
        <w:t>)</w:t>
      </w:r>
      <w:r w:rsidR="005631F9">
        <w:rPr>
          <w:rFonts w:ascii="Times New Roman" w:hAnsi="Times New Roman" w:cs="Times New Roman"/>
        </w:rPr>
        <w:t xml:space="preserve">, </w:t>
      </w:r>
      <w:proofErr w:type="spellStart"/>
      <w:r w:rsidR="005631F9">
        <w:rPr>
          <w:rFonts w:ascii="Times New Roman" w:hAnsi="Times New Roman" w:cs="Times New Roman"/>
        </w:rPr>
        <w:t>EccMDecF</w:t>
      </w:r>
      <w:proofErr w:type="spellEnd"/>
      <w:r w:rsidR="005631F9">
        <w:rPr>
          <w:rFonts w:ascii="Times New Roman" w:hAnsi="Times New Roman" w:cs="Times New Roman"/>
        </w:rPr>
        <w:t xml:space="preserve"> (p =</w:t>
      </w:r>
      <w:r w:rsidR="00A33909">
        <w:rPr>
          <w:rFonts w:ascii="Times New Roman" w:hAnsi="Times New Roman" w:cs="Times New Roman"/>
        </w:rPr>
        <w:t xml:space="preserve"> 0.</w:t>
      </w:r>
      <w:r w:rsidR="00EA39AF">
        <w:rPr>
          <w:rFonts w:ascii="Times New Roman" w:hAnsi="Times New Roman" w:cs="Times New Roman"/>
        </w:rPr>
        <w:t>740</w:t>
      </w:r>
      <w:r w:rsidR="00A33909">
        <w:rPr>
          <w:rFonts w:ascii="Times New Roman" w:hAnsi="Times New Roman" w:cs="Times New Roman"/>
        </w:rPr>
        <w:t>)</w:t>
      </w:r>
      <w:r w:rsidR="005631F9">
        <w:rPr>
          <w:rFonts w:ascii="Times New Roman" w:hAnsi="Times New Roman" w:cs="Times New Roman"/>
        </w:rPr>
        <w:t xml:space="preserve">, </w:t>
      </w:r>
      <w:proofErr w:type="spellStart"/>
      <w:r w:rsidR="000A2F75" w:rsidRPr="00516614">
        <w:rPr>
          <w:rFonts w:ascii="Times New Roman" w:hAnsi="Times New Roman" w:cs="Times New Roman"/>
        </w:rPr>
        <w:t>EccMF</w:t>
      </w:r>
      <w:proofErr w:type="spellEnd"/>
      <w:r w:rsidR="000A2F75" w:rsidRPr="00516614">
        <w:rPr>
          <w:rFonts w:ascii="Times New Roman" w:hAnsi="Times New Roman" w:cs="Times New Roman"/>
        </w:rPr>
        <w:t xml:space="preserve"> (</w:t>
      </w:r>
      <w:r w:rsidR="000A2F75">
        <w:rPr>
          <w:rFonts w:ascii="Times New Roman" w:hAnsi="Times New Roman" w:cs="Times New Roman"/>
        </w:rPr>
        <w:t>p = 0.</w:t>
      </w:r>
      <w:r w:rsidR="00516614">
        <w:rPr>
          <w:rFonts w:ascii="Times New Roman" w:hAnsi="Times New Roman" w:cs="Times New Roman"/>
        </w:rPr>
        <w:t>807)</w:t>
      </w:r>
      <w:r w:rsidR="000A2F75">
        <w:rPr>
          <w:rFonts w:ascii="Times New Roman" w:hAnsi="Times New Roman" w:cs="Times New Roman"/>
        </w:rPr>
        <w:t xml:space="preserve"> </w:t>
      </w:r>
      <w:proofErr w:type="spellStart"/>
      <w:r w:rsidR="005631F9">
        <w:rPr>
          <w:rFonts w:ascii="Times New Roman" w:hAnsi="Times New Roman" w:cs="Times New Roman"/>
        </w:rPr>
        <w:t>EccMP</w:t>
      </w:r>
      <w:proofErr w:type="spellEnd"/>
      <w:r w:rsidR="005631F9">
        <w:rPr>
          <w:rFonts w:ascii="Times New Roman" w:hAnsi="Times New Roman" w:cs="Times New Roman"/>
        </w:rPr>
        <w:t xml:space="preserve"> (p = </w:t>
      </w:r>
      <w:r w:rsidR="00A33909">
        <w:rPr>
          <w:rFonts w:ascii="Times New Roman" w:hAnsi="Times New Roman" w:cs="Times New Roman"/>
        </w:rPr>
        <w:t>0.</w:t>
      </w:r>
      <w:r w:rsidR="00EA39AF">
        <w:rPr>
          <w:rFonts w:ascii="Times New Roman" w:hAnsi="Times New Roman" w:cs="Times New Roman"/>
        </w:rPr>
        <w:t>788</w:t>
      </w:r>
      <w:r w:rsidR="00A33909">
        <w:rPr>
          <w:rFonts w:ascii="Times New Roman" w:hAnsi="Times New Roman" w:cs="Times New Roman"/>
        </w:rPr>
        <w:t>)</w:t>
      </w:r>
      <w:r w:rsidR="005631F9">
        <w:rPr>
          <w:rFonts w:ascii="Times New Roman" w:hAnsi="Times New Roman" w:cs="Times New Roman"/>
        </w:rPr>
        <w:t xml:space="preserve">, </w:t>
      </w:r>
      <w:proofErr w:type="spellStart"/>
      <w:r w:rsidR="005631F9">
        <w:rPr>
          <w:rFonts w:ascii="Times New Roman" w:hAnsi="Times New Roman" w:cs="Times New Roman"/>
        </w:rPr>
        <w:t>EccPF</w:t>
      </w:r>
      <w:proofErr w:type="spellEnd"/>
      <w:r w:rsidR="005631F9">
        <w:rPr>
          <w:rFonts w:ascii="Times New Roman" w:hAnsi="Times New Roman" w:cs="Times New Roman"/>
        </w:rPr>
        <w:t xml:space="preserve"> (p =</w:t>
      </w:r>
      <w:r w:rsidR="00A33909">
        <w:rPr>
          <w:rFonts w:ascii="Times New Roman" w:hAnsi="Times New Roman" w:cs="Times New Roman"/>
        </w:rPr>
        <w:t xml:space="preserve"> 0.</w:t>
      </w:r>
      <w:r w:rsidR="00EA39AF">
        <w:rPr>
          <w:rFonts w:ascii="Times New Roman" w:hAnsi="Times New Roman" w:cs="Times New Roman"/>
        </w:rPr>
        <w:t>355</w:t>
      </w:r>
      <w:r w:rsidR="00A33909">
        <w:rPr>
          <w:rFonts w:ascii="Times New Roman" w:hAnsi="Times New Roman" w:cs="Times New Roman"/>
        </w:rPr>
        <w:t>)</w:t>
      </w:r>
      <w:r w:rsidR="005631F9">
        <w:rPr>
          <w:rFonts w:ascii="Times New Roman" w:hAnsi="Times New Roman" w:cs="Times New Roman"/>
        </w:rPr>
        <w:t xml:space="preserve">, </w:t>
      </w:r>
      <w:proofErr w:type="spellStart"/>
      <w:r w:rsidR="005631F9">
        <w:rPr>
          <w:rFonts w:ascii="Times New Roman" w:hAnsi="Times New Roman" w:cs="Times New Roman"/>
        </w:rPr>
        <w:t>EccPP</w:t>
      </w:r>
      <w:proofErr w:type="spellEnd"/>
      <w:r w:rsidR="005631F9">
        <w:rPr>
          <w:rFonts w:ascii="Times New Roman" w:hAnsi="Times New Roman" w:cs="Times New Roman"/>
        </w:rPr>
        <w:t xml:space="preserve"> (p =</w:t>
      </w:r>
      <w:r w:rsidR="00A33909">
        <w:rPr>
          <w:rFonts w:ascii="Times New Roman" w:hAnsi="Times New Roman" w:cs="Times New Roman"/>
        </w:rPr>
        <w:t xml:space="preserve"> 0.</w:t>
      </w:r>
      <w:r w:rsidR="00EA39AF">
        <w:rPr>
          <w:rFonts w:ascii="Times New Roman" w:hAnsi="Times New Roman" w:cs="Times New Roman"/>
        </w:rPr>
        <w:t>929</w:t>
      </w:r>
      <w:r w:rsidR="00A33909">
        <w:rPr>
          <w:rFonts w:ascii="Times New Roman" w:hAnsi="Times New Roman" w:cs="Times New Roman"/>
        </w:rPr>
        <w:t>)</w:t>
      </w:r>
      <w:r w:rsidR="005631F9">
        <w:rPr>
          <w:rFonts w:ascii="Times New Roman" w:hAnsi="Times New Roman" w:cs="Times New Roman"/>
        </w:rPr>
        <w:t>, FT (p =</w:t>
      </w:r>
      <w:r w:rsidR="00A33909">
        <w:rPr>
          <w:rFonts w:ascii="Times New Roman" w:hAnsi="Times New Roman" w:cs="Times New Roman"/>
        </w:rPr>
        <w:t xml:space="preserve"> 0.</w:t>
      </w:r>
      <w:r w:rsidR="00EA39AF">
        <w:rPr>
          <w:rFonts w:ascii="Times New Roman" w:hAnsi="Times New Roman" w:cs="Times New Roman"/>
        </w:rPr>
        <w:t>903</w:t>
      </w:r>
      <w:r w:rsidR="00A33909">
        <w:rPr>
          <w:rFonts w:ascii="Times New Roman" w:hAnsi="Times New Roman" w:cs="Times New Roman"/>
        </w:rPr>
        <w:t>)</w:t>
      </w:r>
      <w:r w:rsidR="005631F9">
        <w:rPr>
          <w:rFonts w:ascii="Times New Roman" w:hAnsi="Times New Roman" w:cs="Times New Roman"/>
        </w:rPr>
        <w:t>, FT:CT (p =</w:t>
      </w:r>
      <w:r w:rsidR="00A33909">
        <w:rPr>
          <w:rFonts w:ascii="Times New Roman" w:hAnsi="Times New Roman" w:cs="Times New Roman"/>
        </w:rPr>
        <w:t xml:space="preserve"> 0.</w:t>
      </w:r>
      <w:r w:rsidR="00EA39AF">
        <w:rPr>
          <w:rFonts w:ascii="Times New Roman" w:hAnsi="Times New Roman" w:cs="Times New Roman"/>
        </w:rPr>
        <w:t>884</w:t>
      </w:r>
      <w:r w:rsidR="00A33909">
        <w:rPr>
          <w:rFonts w:ascii="Times New Roman" w:hAnsi="Times New Roman" w:cs="Times New Roman"/>
        </w:rPr>
        <w:t>)</w:t>
      </w:r>
      <w:r w:rsidR="005631F9">
        <w:rPr>
          <w:rFonts w:ascii="Times New Roman" w:hAnsi="Times New Roman" w:cs="Times New Roman"/>
        </w:rPr>
        <w:t>, F@0V (p =</w:t>
      </w:r>
      <w:r w:rsidR="00A33909">
        <w:rPr>
          <w:rFonts w:ascii="Times New Roman" w:hAnsi="Times New Roman" w:cs="Times New Roman"/>
        </w:rPr>
        <w:t xml:space="preserve"> 0.</w:t>
      </w:r>
      <w:r w:rsidR="00EA39AF">
        <w:rPr>
          <w:rFonts w:ascii="Times New Roman" w:hAnsi="Times New Roman" w:cs="Times New Roman"/>
        </w:rPr>
        <w:t>345</w:t>
      </w:r>
      <w:r w:rsidR="00A33909">
        <w:rPr>
          <w:rFonts w:ascii="Times New Roman" w:hAnsi="Times New Roman" w:cs="Times New Roman"/>
        </w:rPr>
        <w:t>)</w:t>
      </w:r>
      <w:r w:rsidR="005631F9">
        <w:rPr>
          <w:rFonts w:ascii="Times New Roman" w:hAnsi="Times New Roman" w:cs="Times New Roman"/>
        </w:rPr>
        <w:t>, JH (p =</w:t>
      </w:r>
      <w:r w:rsidR="00A33909">
        <w:rPr>
          <w:rFonts w:ascii="Times New Roman" w:hAnsi="Times New Roman" w:cs="Times New Roman"/>
        </w:rPr>
        <w:t xml:space="preserve"> 0.8</w:t>
      </w:r>
      <w:r w:rsidR="00EA39AF">
        <w:rPr>
          <w:rFonts w:ascii="Times New Roman" w:hAnsi="Times New Roman" w:cs="Times New Roman"/>
        </w:rPr>
        <w:t>91</w:t>
      </w:r>
      <w:r w:rsidR="00A33909">
        <w:rPr>
          <w:rFonts w:ascii="Times New Roman" w:hAnsi="Times New Roman" w:cs="Times New Roman"/>
        </w:rPr>
        <w:t>)</w:t>
      </w:r>
      <w:r w:rsidR="005631F9">
        <w:rPr>
          <w:rFonts w:ascii="Times New Roman" w:hAnsi="Times New Roman" w:cs="Times New Roman"/>
        </w:rPr>
        <w:t>, PP (p =</w:t>
      </w:r>
      <w:r w:rsidR="00A33909">
        <w:rPr>
          <w:rFonts w:ascii="Times New Roman" w:hAnsi="Times New Roman" w:cs="Times New Roman"/>
        </w:rPr>
        <w:t xml:space="preserve"> 0.</w:t>
      </w:r>
      <w:r w:rsidR="000A2F75">
        <w:rPr>
          <w:rFonts w:ascii="Times New Roman" w:hAnsi="Times New Roman" w:cs="Times New Roman"/>
        </w:rPr>
        <w:t>790</w:t>
      </w:r>
      <w:r w:rsidR="00A33909">
        <w:rPr>
          <w:rFonts w:ascii="Times New Roman" w:hAnsi="Times New Roman" w:cs="Times New Roman"/>
        </w:rPr>
        <w:t>)</w:t>
      </w:r>
      <w:r w:rsidR="005631F9">
        <w:rPr>
          <w:rFonts w:ascii="Times New Roman" w:hAnsi="Times New Roman" w:cs="Times New Roman"/>
        </w:rPr>
        <w:t xml:space="preserve">, </w:t>
      </w:r>
      <w:proofErr w:type="spellStart"/>
      <w:r w:rsidR="005631F9">
        <w:rPr>
          <w:rFonts w:ascii="Times New Roman" w:hAnsi="Times New Roman" w:cs="Times New Roman"/>
        </w:rPr>
        <w:t>RSI</w:t>
      </w:r>
      <w:r w:rsidR="005631F9">
        <w:rPr>
          <w:rFonts w:ascii="Times New Roman" w:hAnsi="Times New Roman" w:cs="Times New Roman"/>
          <w:vertAlign w:val="subscript"/>
        </w:rPr>
        <w:t>Mod</w:t>
      </w:r>
      <w:proofErr w:type="spellEnd"/>
      <w:r w:rsidR="005631F9">
        <w:rPr>
          <w:rFonts w:ascii="Times New Roman" w:hAnsi="Times New Roman" w:cs="Times New Roman"/>
        </w:rPr>
        <w:t xml:space="preserve"> (p =</w:t>
      </w:r>
      <w:r w:rsidR="00A33909">
        <w:rPr>
          <w:rFonts w:ascii="Times New Roman" w:hAnsi="Times New Roman" w:cs="Times New Roman"/>
        </w:rPr>
        <w:t xml:space="preserve"> 0.</w:t>
      </w:r>
      <w:r w:rsidR="000A2F75">
        <w:rPr>
          <w:rFonts w:ascii="Times New Roman" w:hAnsi="Times New Roman" w:cs="Times New Roman"/>
        </w:rPr>
        <w:t>470</w:t>
      </w:r>
      <w:r w:rsidR="00A33909">
        <w:rPr>
          <w:rFonts w:ascii="Times New Roman" w:hAnsi="Times New Roman" w:cs="Times New Roman"/>
        </w:rPr>
        <w:t>)</w:t>
      </w:r>
      <w:r w:rsidR="003868B1">
        <w:rPr>
          <w:rFonts w:ascii="Times New Roman" w:hAnsi="Times New Roman" w:cs="Times New Roman"/>
        </w:rPr>
        <w:t>, and Body Mass (p = 0.838)</w:t>
      </w:r>
      <w:r w:rsidR="00CC7FA3">
        <w:rPr>
          <w:rFonts w:ascii="Times New Roman" w:hAnsi="Times New Roman" w:cs="Times New Roman"/>
        </w:rPr>
        <w:t>.</w:t>
      </w:r>
    </w:p>
    <w:p w14:paraId="0DD7A6EA" w14:textId="5108E1C8" w:rsidR="00E56CDC" w:rsidRDefault="00FB187F" w:rsidP="00236575">
      <w:pPr>
        <w:spacing w:line="480" w:lineRule="auto"/>
        <w:jc w:val="center"/>
        <w:rPr>
          <w:rFonts w:ascii="Times New Roman" w:hAnsi="Times New Roman" w:cs="Times New Roman"/>
        </w:rPr>
      </w:pPr>
      <w:r>
        <w:rPr>
          <w:noProof/>
        </w:rPr>
        <mc:AlternateContent>
          <mc:Choice Requires="wps">
            <w:drawing>
              <wp:anchor distT="0" distB="0" distL="114300" distR="114300" simplePos="0" relativeHeight="251706368" behindDoc="0" locked="0" layoutInCell="1" allowOverlap="1" wp14:anchorId="2FD6C98A" wp14:editId="2311B899">
                <wp:simplePos x="0" y="0"/>
                <wp:positionH relativeFrom="column">
                  <wp:posOffset>447040</wp:posOffset>
                </wp:positionH>
                <wp:positionV relativeFrom="paragraph">
                  <wp:posOffset>4475480</wp:posOffset>
                </wp:positionV>
                <wp:extent cx="5300980" cy="635"/>
                <wp:effectExtent l="0" t="0" r="0" b="12065"/>
                <wp:wrapTopAndBottom/>
                <wp:docPr id="62" name="Text Box 62"/>
                <wp:cNvGraphicFramePr/>
                <a:graphic xmlns:a="http://schemas.openxmlformats.org/drawingml/2006/main">
                  <a:graphicData uri="http://schemas.microsoft.com/office/word/2010/wordprocessingShape">
                    <wps:wsp>
                      <wps:cNvSpPr txBox="1"/>
                      <wps:spPr>
                        <a:xfrm>
                          <a:off x="0" y="0"/>
                          <a:ext cx="5300980" cy="635"/>
                        </a:xfrm>
                        <a:prstGeom prst="rect">
                          <a:avLst/>
                        </a:prstGeom>
                        <a:solidFill>
                          <a:prstClr val="white"/>
                        </a:solidFill>
                        <a:ln>
                          <a:noFill/>
                        </a:ln>
                      </wps:spPr>
                      <wps:txbx>
                        <w:txbxContent>
                          <w:p w14:paraId="6D14EA8D" w14:textId="110FEB99" w:rsidR="00FB187F" w:rsidRPr="00FB187F" w:rsidRDefault="00FB187F" w:rsidP="00FB187F">
                            <w:pPr>
                              <w:pStyle w:val="Caption"/>
                              <w:jc w:val="center"/>
                              <w:rPr>
                                <w:rFonts w:ascii="Times New Roman" w:hAnsi="Times New Roman"/>
                                <w:sz w:val="20"/>
                                <w:szCs w:val="20"/>
                              </w:rPr>
                            </w:pPr>
                            <w:bookmarkStart w:id="72" w:name="_Toc100670671"/>
                            <w:r w:rsidRPr="00FB187F">
                              <w:rPr>
                                <w:rFonts w:ascii="Times New Roman" w:hAnsi="Times New Roman"/>
                                <w:sz w:val="20"/>
                                <w:szCs w:val="20"/>
                              </w:rPr>
                              <w:t xml:space="preserve">Figure </w:t>
                            </w:r>
                            <w:r w:rsidRPr="00FB187F">
                              <w:rPr>
                                <w:rFonts w:ascii="Times New Roman" w:hAnsi="Times New Roman"/>
                                <w:sz w:val="20"/>
                                <w:szCs w:val="20"/>
                              </w:rPr>
                              <w:fldChar w:fldCharType="begin"/>
                            </w:r>
                            <w:r w:rsidRPr="00FB187F">
                              <w:rPr>
                                <w:rFonts w:ascii="Times New Roman" w:hAnsi="Times New Roman"/>
                                <w:sz w:val="20"/>
                                <w:szCs w:val="20"/>
                              </w:rPr>
                              <w:instrText xml:space="preserve"> SEQ Figure \* ARABIC </w:instrText>
                            </w:r>
                            <w:r w:rsidRPr="00FB187F">
                              <w:rPr>
                                <w:rFonts w:ascii="Times New Roman" w:hAnsi="Times New Roman"/>
                                <w:sz w:val="20"/>
                                <w:szCs w:val="20"/>
                              </w:rPr>
                              <w:fldChar w:fldCharType="separate"/>
                            </w:r>
                            <w:r w:rsidR="002101E0">
                              <w:rPr>
                                <w:rFonts w:ascii="Times New Roman" w:hAnsi="Times New Roman"/>
                                <w:noProof/>
                                <w:sz w:val="20"/>
                                <w:szCs w:val="20"/>
                              </w:rPr>
                              <w:t>7</w:t>
                            </w:r>
                            <w:r w:rsidRPr="00FB187F">
                              <w:rPr>
                                <w:rFonts w:ascii="Times New Roman" w:hAnsi="Times New Roman"/>
                                <w:sz w:val="20"/>
                                <w:szCs w:val="20"/>
                              </w:rPr>
                              <w:fldChar w:fldCharType="end"/>
                            </w:r>
                            <w:r w:rsidRPr="00FB187F">
                              <w:rPr>
                                <w:rFonts w:ascii="Times New Roman" w:hAnsi="Times New Roman"/>
                                <w:sz w:val="20"/>
                                <w:szCs w:val="20"/>
                              </w:rPr>
                              <w:t>. Differences in Countermovement Jump Performance Between Weeks</w:t>
                            </w:r>
                            <w:bookmarkEnd w:id="72"/>
                          </w:p>
                          <w:p w14:paraId="1F40DA71" w14:textId="1608EAEF" w:rsidR="00FB187F" w:rsidRPr="00FB187F" w:rsidRDefault="00FB187F" w:rsidP="00FB187F">
                            <w:pPr>
                              <w:rPr>
                                <w:rFonts w:ascii="Times New Roman" w:hAnsi="Times New Roman" w:cs="Times New Roman"/>
                                <w:sz w:val="20"/>
                                <w:szCs w:val="20"/>
                                <w:lang w:bidi="en-US"/>
                              </w:rPr>
                            </w:pPr>
                          </w:p>
                          <w:p w14:paraId="6F298A0B" w14:textId="38B3491E" w:rsidR="00FB187F" w:rsidRPr="00FB187F" w:rsidRDefault="00FB187F" w:rsidP="00FB187F">
                            <w:pPr>
                              <w:jc w:val="center"/>
                              <w:rPr>
                                <w:rFonts w:ascii="Times New Roman" w:hAnsi="Times New Roman" w:cs="Times New Roman"/>
                                <w:sz w:val="20"/>
                                <w:szCs w:val="20"/>
                                <w:lang w:bidi="en-US"/>
                              </w:rPr>
                            </w:pPr>
                            <w:r>
                              <w:rPr>
                                <w:rFonts w:ascii="Times New Roman" w:hAnsi="Times New Roman" w:cs="Times New Roman"/>
                                <w:sz w:val="20"/>
                                <w:szCs w:val="20"/>
                                <w:lang w:bidi="en-US"/>
                              </w:rPr>
                              <w:t>Note: Data presented as Mean ± Standard Deviation; Pre = Pre-Practice; Post = Post-Practice; * = Significant difference between weeks, set at p ≤ 0.05.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D6C98A" id="Text Box 62" o:spid="_x0000_s1032" type="#_x0000_t202" style="position:absolute;left:0;text-align:left;margin-left:35.2pt;margin-top:352.4pt;width:417.4pt;height:.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" stroked="f">
                <v:textbox style="mso-fit-shape-to-text:t" inset="0,0,0,0">
                  <w:txbxContent>
                    <w:p w14:paraId="6D14EA8D" w14:textId="110FEB99" w:rsidR="00FB187F" w:rsidRPr="00FB187F" w:rsidRDefault="00FB187F" w:rsidP="00FB187F">
                      <w:pPr>
                        <w:pStyle w:val="Caption"/>
                        <w:jc w:val="center"/>
                        <w:rPr>
                          <w:rFonts w:ascii="Times New Roman" w:hAnsi="Times New Roman"/>
                          <w:sz w:val="20"/>
                          <w:szCs w:val="20"/>
                        </w:rPr>
                      </w:pPr>
                      <w:bookmarkStart w:id="79" w:name="_Toc100670671"/>
                      <w:r w:rsidRPr="00FB187F">
                        <w:rPr>
                          <w:rFonts w:ascii="Times New Roman" w:hAnsi="Times New Roman"/>
                          <w:sz w:val="20"/>
                          <w:szCs w:val="20"/>
                        </w:rPr>
                        <w:t xml:space="preserve">Figure </w:t>
                      </w:r>
                      <w:r w:rsidRPr="00FB187F">
                        <w:rPr>
                          <w:rFonts w:ascii="Times New Roman" w:hAnsi="Times New Roman"/>
                          <w:sz w:val="20"/>
                          <w:szCs w:val="20"/>
                        </w:rPr>
                        <w:fldChar w:fldCharType="begin"/>
                      </w:r>
                      <w:r w:rsidRPr="00FB187F">
                        <w:rPr>
                          <w:rFonts w:ascii="Times New Roman" w:hAnsi="Times New Roman"/>
                          <w:sz w:val="20"/>
                          <w:szCs w:val="20"/>
                        </w:rPr>
                        <w:instrText xml:space="preserve"> SEQ Figure \* ARABIC </w:instrText>
                      </w:r>
                      <w:r w:rsidRPr="00FB187F">
                        <w:rPr>
                          <w:rFonts w:ascii="Times New Roman" w:hAnsi="Times New Roman"/>
                          <w:sz w:val="20"/>
                          <w:szCs w:val="20"/>
                        </w:rPr>
                        <w:fldChar w:fldCharType="separate"/>
                      </w:r>
                      <w:r w:rsidR="002101E0">
                        <w:rPr>
                          <w:rFonts w:ascii="Times New Roman" w:hAnsi="Times New Roman"/>
                          <w:noProof/>
                          <w:sz w:val="20"/>
                          <w:szCs w:val="20"/>
                        </w:rPr>
                        <w:t>7</w:t>
                      </w:r>
                      <w:r w:rsidRPr="00FB187F">
                        <w:rPr>
                          <w:rFonts w:ascii="Times New Roman" w:hAnsi="Times New Roman"/>
                          <w:sz w:val="20"/>
                          <w:szCs w:val="20"/>
                        </w:rPr>
                        <w:fldChar w:fldCharType="end"/>
                      </w:r>
                      <w:r w:rsidRPr="00FB187F">
                        <w:rPr>
                          <w:rFonts w:ascii="Times New Roman" w:hAnsi="Times New Roman"/>
                          <w:sz w:val="20"/>
                          <w:szCs w:val="20"/>
                        </w:rPr>
                        <w:t>. Differences in Countermovement Jump Performance Between Weeks</w:t>
                      </w:r>
                      <w:bookmarkEnd w:id="79"/>
                    </w:p>
                    <w:p w14:paraId="1F40DA71" w14:textId="1608EAEF" w:rsidR="00FB187F" w:rsidRPr="00FB187F" w:rsidRDefault="00FB187F" w:rsidP="00FB187F">
                      <w:pPr>
                        <w:rPr>
                          <w:rFonts w:ascii="Times New Roman" w:hAnsi="Times New Roman" w:cs="Times New Roman"/>
                          <w:sz w:val="20"/>
                          <w:szCs w:val="20"/>
                          <w:lang w:bidi="en-US"/>
                        </w:rPr>
                      </w:pPr>
                    </w:p>
                    <w:p w14:paraId="6F298A0B" w14:textId="38B3491E" w:rsidR="00FB187F" w:rsidRPr="00FB187F" w:rsidRDefault="00FB187F" w:rsidP="00FB187F">
                      <w:pPr>
                        <w:jc w:val="center"/>
                        <w:rPr>
                          <w:rFonts w:ascii="Times New Roman" w:hAnsi="Times New Roman" w:cs="Times New Roman"/>
                          <w:sz w:val="20"/>
                          <w:szCs w:val="20"/>
                          <w:lang w:bidi="en-US"/>
                        </w:rPr>
                      </w:pPr>
                      <w:r>
                        <w:rPr>
                          <w:rFonts w:ascii="Times New Roman" w:hAnsi="Times New Roman" w:cs="Times New Roman"/>
                          <w:sz w:val="20"/>
                          <w:szCs w:val="20"/>
                          <w:lang w:bidi="en-US"/>
                        </w:rPr>
                        <w:t>Note: Data presented as Mean ± Standard Deviation; Pre = Pre-Practice; Post = Post-Practice; * = Significant difference between weeks, set at p ≤ 0.05.</w:t>
                      </w:r>
                    </w:p>
                  </w:txbxContent>
                </v:textbox>
                <w10:wrap type="topAndBottom"/>
              </v:shape>
            </w:pict>
          </mc:Fallback>
        </mc:AlternateContent>
      </w:r>
      <w:r w:rsidR="003D40E1">
        <w:rPr>
          <w:noProof/>
        </w:rPr>
        <w:drawing>
          <wp:inline distT="0" distB="0" distL="0" distR="0" wp14:anchorId="08D1FFAD" wp14:editId="5CCAA659">
            <wp:extent cx="3531140" cy="4113626"/>
            <wp:effectExtent l="0" t="0" r="0" b="1270"/>
            <wp:docPr id="36" name="Picture 36"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engineering drawing&#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574586" cy="4164238"/>
                    </a:xfrm>
                    <a:prstGeom prst="rect">
                      <a:avLst/>
                    </a:prstGeom>
                  </pic:spPr>
                </pic:pic>
              </a:graphicData>
            </a:graphic>
          </wp:inline>
        </w:drawing>
      </w:r>
    </w:p>
    <w:p w14:paraId="0A34A082" w14:textId="392F7999" w:rsidR="003832A2" w:rsidRPr="00B534D4" w:rsidRDefault="00CC7FA3" w:rsidP="00F829B9">
      <w:pPr>
        <w:spacing w:line="480" w:lineRule="auto"/>
        <w:ind w:firstLine="720"/>
        <w:jc w:val="both"/>
        <w:rPr>
          <w:rFonts w:ascii="Times New Roman" w:hAnsi="Times New Roman" w:cs="Times New Roman"/>
        </w:rPr>
      </w:pPr>
      <w:r>
        <w:rPr>
          <w:rFonts w:ascii="Times New Roman" w:hAnsi="Times New Roman" w:cs="Times New Roman"/>
        </w:rPr>
        <w:lastRenderedPageBreak/>
        <w:t xml:space="preserve">However, there were </w:t>
      </w:r>
      <w:r w:rsidR="00BC45AD">
        <w:rPr>
          <w:rFonts w:ascii="Times New Roman" w:hAnsi="Times New Roman" w:cs="Times New Roman"/>
        </w:rPr>
        <w:t xml:space="preserve">significant </w:t>
      </w:r>
      <w:r>
        <w:rPr>
          <w:rFonts w:ascii="Times New Roman" w:hAnsi="Times New Roman" w:cs="Times New Roman"/>
        </w:rPr>
        <w:t xml:space="preserve">Time main effects for </w:t>
      </w:r>
      <w:proofErr w:type="spellStart"/>
      <w:r w:rsidR="00A14CB9">
        <w:rPr>
          <w:rFonts w:ascii="Times New Roman" w:hAnsi="Times New Roman" w:cs="Times New Roman"/>
        </w:rPr>
        <w:t>EccMF</w:t>
      </w:r>
      <w:proofErr w:type="spellEnd"/>
      <w:r w:rsidR="00A14CB9">
        <w:rPr>
          <w:rFonts w:ascii="Times New Roman" w:hAnsi="Times New Roman" w:cs="Times New Roman"/>
        </w:rPr>
        <w:t xml:space="preserve"> </w:t>
      </w:r>
      <w:r w:rsidR="00A65464">
        <w:rPr>
          <w:rFonts w:ascii="Times New Roman" w:hAnsi="Times New Roman" w:cs="Times New Roman"/>
        </w:rPr>
        <w:t>(</w:t>
      </w:r>
      <w:r w:rsidR="006225DB">
        <w:rPr>
          <w:rFonts w:ascii="Times New Roman" w:hAnsi="Times New Roman" w:cs="Times New Roman"/>
        </w:rPr>
        <w:t xml:space="preserve">p = </w:t>
      </w:r>
      <w:r w:rsidR="00A65464">
        <w:rPr>
          <w:rFonts w:ascii="Times New Roman" w:hAnsi="Times New Roman" w:cs="Times New Roman"/>
        </w:rPr>
        <w:t xml:space="preserve">0.025) </w:t>
      </w:r>
      <w:r w:rsidR="00A14CB9">
        <w:rPr>
          <w:rFonts w:ascii="Times New Roman" w:hAnsi="Times New Roman" w:cs="Times New Roman"/>
        </w:rPr>
        <w:t>and Body Mass</w:t>
      </w:r>
      <w:r w:rsidR="0071196B">
        <w:rPr>
          <w:rFonts w:ascii="Times New Roman" w:hAnsi="Times New Roman" w:cs="Times New Roman"/>
        </w:rPr>
        <w:t xml:space="preserve"> </w:t>
      </w:r>
      <w:r w:rsidR="00A65464">
        <w:rPr>
          <w:rFonts w:ascii="Times New Roman" w:hAnsi="Times New Roman" w:cs="Times New Roman"/>
        </w:rPr>
        <w:t>(</w:t>
      </w:r>
      <w:r w:rsidR="006225DB">
        <w:rPr>
          <w:rFonts w:ascii="Times New Roman" w:hAnsi="Times New Roman" w:cs="Times New Roman"/>
        </w:rPr>
        <w:t xml:space="preserve">p = </w:t>
      </w:r>
      <w:r w:rsidR="00A65464">
        <w:rPr>
          <w:rFonts w:ascii="Times New Roman" w:hAnsi="Times New Roman" w:cs="Times New Roman"/>
        </w:rPr>
        <w:t xml:space="preserve">0.020) </w:t>
      </w:r>
      <w:r w:rsidR="0071196B">
        <w:rPr>
          <w:rFonts w:ascii="Times New Roman" w:hAnsi="Times New Roman" w:cs="Times New Roman"/>
        </w:rPr>
        <w:t>revealing significant differences between the average of Pre values from Week 1 and Week 4 and the average of Post values from Week 1 and Week 4</w:t>
      </w:r>
      <w:r w:rsidR="001003DA">
        <w:rPr>
          <w:rFonts w:ascii="Times New Roman" w:hAnsi="Times New Roman" w:cs="Times New Roman"/>
        </w:rPr>
        <w:t xml:space="preserve">. </w:t>
      </w:r>
      <w:r w:rsidR="001003DA">
        <w:rPr>
          <w:rFonts w:ascii="Times New Roman" w:eastAsia="Calibri" w:hAnsi="Times New Roman" w:cs="Times New Roman"/>
        </w:rPr>
        <w:t xml:space="preserve">Post hoc pairwise comparisons revealed significant differences </w:t>
      </w:r>
      <w:r w:rsidR="00F47422">
        <w:rPr>
          <w:rFonts w:ascii="Times New Roman" w:eastAsia="Calibri" w:hAnsi="Times New Roman" w:cs="Times New Roman"/>
        </w:rPr>
        <w:t xml:space="preserve">in </w:t>
      </w:r>
      <w:proofErr w:type="spellStart"/>
      <w:r w:rsidR="00F47422">
        <w:rPr>
          <w:rFonts w:ascii="Times New Roman" w:eastAsia="Calibri" w:hAnsi="Times New Roman" w:cs="Times New Roman"/>
        </w:rPr>
        <w:t>EccMF</w:t>
      </w:r>
      <w:proofErr w:type="spellEnd"/>
      <w:r w:rsidR="00FF2C56">
        <w:rPr>
          <w:rFonts w:ascii="Times New Roman" w:eastAsia="Calibri" w:hAnsi="Times New Roman" w:cs="Times New Roman"/>
        </w:rPr>
        <w:t xml:space="preserve"> </w:t>
      </w:r>
      <w:r w:rsidR="003B1FAA">
        <w:rPr>
          <w:rFonts w:ascii="Times New Roman" w:hAnsi="Times New Roman" w:cs="Times New Roman"/>
        </w:rPr>
        <w:t xml:space="preserve">(p = 0.025) </w:t>
      </w:r>
      <w:r w:rsidR="001003DA">
        <w:rPr>
          <w:rFonts w:ascii="Times New Roman" w:eastAsia="Calibri" w:hAnsi="Times New Roman" w:cs="Times New Roman"/>
        </w:rPr>
        <w:t xml:space="preserve">between </w:t>
      </w:r>
      <w:r w:rsidR="003B1FAA">
        <w:rPr>
          <w:rFonts w:ascii="Times New Roman" w:eastAsia="Calibri" w:hAnsi="Times New Roman" w:cs="Times New Roman"/>
        </w:rPr>
        <w:t xml:space="preserve">the average of Week 1 and Week 4 </w:t>
      </w:r>
      <w:r w:rsidR="00FF2C56">
        <w:rPr>
          <w:rFonts w:ascii="Times New Roman" w:eastAsia="Calibri" w:hAnsi="Times New Roman" w:cs="Times New Roman"/>
        </w:rPr>
        <w:t xml:space="preserve">Pre </w:t>
      </w:r>
      <w:r w:rsidR="0071196B">
        <w:rPr>
          <w:rFonts w:ascii="Times New Roman" w:eastAsia="Calibri" w:hAnsi="Times New Roman" w:cs="Times New Roman"/>
        </w:rPr>
        <w:t>(906.3 (29.0)</w:t>
      </w:r>
      <w:r w:rsidR="007C29A1">
        <w:rPr>
          <w:rFonts w:ascii="Times New Roman" w:eastAsia="Calibri" w:hAnsi="Times New Roman" w:cs="Times New Roman"/>
        </w:rPr>
        <w:t xml:space="preserve">, </w:t>
      </w:r>
      <w:r w:rsidR="007C29A1">
        <w:rPr>
          <w:rFonts w:ascii="Times New Roman" w:eastAsia="Calibri" w:hAnsi="Times New Roman" w:cs="Times New Roman"/>
          <w:i/>
          <w:iCs/>
        </w:rPr>
        <w:t>d</w:t>
      </w:r>
      <w:r w:rsidR="007C29A1">
        <w:rPr>
          <w:rFonts w:ascii="Times New Roman" w:eastAsia="Calibri" w:hAnsi="Times New Roman" w:cs="Times New Roman"/>
        </w:rPr>
        <w:t xml:space="preserve"> = 0.06</w:t>
      </w:r>
      <w:r w:rsidR="0071196B">
        <w:rPr>
          <w:rFonts w:ascii="Times New Roman" w:eastAsia="Calibri" w:hAnsi="Times New Roman" w:cs="Times New Roman"/>
        </w:rPr>
        <w:t xml:space="preserve">) </w:t>
      </w:r>
      <w:r w:rsidR="003B1FAA">
        <w:rPr>
          <w:rFonts w:ascii="Times New Roman" w:eastAsia="Calibri" w:hAnsi="Times New Roman" w:cs="Times New Roman"/>
        </w:rPr>
        <w:t xml:space="preserve">values </w:t>
      </w:r>
      <w:r w:rsidR="00FF2C56">
        <w:rPr>
          <w:rFonts w:ascii="Times New Roman" w:eastAsia="Calibri" w:hAnsi="Times New Roman" w:cs="Times New Roman"/>
        </w:rPr>
        <w:t xml:space="preserve">and </w:t>
      </w:r>
      <w:r w:rsidR="003B1FAA">
        <w:rPr>
          <w:rFonts w:ascii="Times New Roman" w:eastAsia="Calibri" w:hAnsi="Times New Roman" w:cs="Times New Roman"/>
        </w:rPr>
        <w:t xml:space="preserve">the average of Week 1 and Week 4 </w:t>
      </w:r>
      <w:r w:rsidR="00FF2C56">
        <w:rPr>
          <w:rFonts w:ascii="Times New Roman" w:eastAsia="Calibri" w:hAnsi="Times New Roman" w:cs="Times New Roman"/>
        </w:rPr>
        <w:t xml:space="preserve">Post </w:t>
      </w:r>
      <w:r w:rsidR="0071196B">
        <w:rPr>
          <w:rFonts w:ascii="Times New Roman" w:eastAsia="Calibri" w:hAnsi="Times New Roman" w:cs="Times New Roman"/>
        </w:rPr>
        <w:t>(905.4 (27.1)</w:t>
      </w:r>
      <w:r w:rsidR="007C29A1">
        <w:rPr>
          <w:rFonts w:ascii="Times New Roman" w:eastAsia="Calibri" w:hAnsi="Times New Roman" w:cs="Times New Roman"/>
        </w:rPr>
        <w:t xml:space="preserve">, </w:t>
      </w:r>
      <w:r w:rsidR="007C29A1">
        <w:rPr>
          <w:rFonts w:ascii="Times New Roman" w:eastAsia="Calibri" w:hAnsi="Times New Roman" w:cs="Times New Roman"/>
          <w:i/>
          <w:iCs/>
        </w:rPr>
        <w:t>d</w:t>
      </w:r>
      <w:r w:rsidR="007C29A1">
        <w:rPr>
          <w:rFonts w:ascii="Times New Roman" w:eastAsia="Calibri" w:hAnsi="Times New Roman" w:cs="Times New Roman"/>
        </w:rPr>
        <w:t xml:space="preserve"> = 0.08</w:t>
      </w:r>
      <w:r w:rsidR="0071196B">
        <w:rPr>
          <w:rFonts w:ascii="Times New Roman" w:eastAsia="Calibri" w:hAnsi="Times New Roman" w:cs="Times New Roman"/>
        </w:rPr>
        <w:t xml:space="preserve">) </w:t>
      </w:r>
      <w:r w:rsidR="00FF2C56">
        <w:rPr>
          <w:rFonts w:ascii="Times New Roman" w:eastAsia="Calibri" w:hAnsi="Times New Roman" w:cs="Times New Roman"/>
        </w:rPr>
        <w:t>values</w:t>
      </w:r>
      <w:r w:rsidR="003B1FAA">
        <w:rPr>
          <w:rFonts w:ascii="Times New Roman" w:eastAsia="Calibri" w:hAnsi="Times New Roman" w:cs="Times New Roman"/>
        </w:rPr>
        <w:t xml:space="preserve">, as well as in Body Mass </w:t>
      </w:r>
      <w:r w:rsidR="003B1FAA">
        <w:rPr>
          <w:rFonts w:ascii="Times New Roman" w:hAnsi="Times New Roman" w:cs="Times New Roman"/>
        </w:rPr>
        <w:t xml:space="preserve">(p = 0.020) </w:t>
      </w:r>
      <w:r w:rsidR="003B1FAA">
        <w:rPr>
          <w:rFonts w:ascii="Times New Roman" w:eastAsia="Calibri" w:hAnsi="Times New Roman" w:cs="Times New Roman"/>
        </w:rPr>
        <w:t xml:space="preserve">between the average of Week 1 and Week 4 Pre </w:t>
      </w:r>
      <w:r w:rsidR="0071196B">
        <w:rPr>
          <w:rFonts w:ascii="Times New Roman" w:eastAsia="Calibri" w:hAnsi="Times New Roman" w:cs="Times New Roman"/>
        </w:rPr>
        <w:t>(92.27 (2.95)</w:t>
      </w:r>
      <w:r w:rsidR="007C29A1">
        <w:rPr>
          <w:rFonts w:ascii="Times New Roman" w:eastAsia="Calibri" w:hAnsi="Times New Roman" w:cs="Times New Roman"/>
        </w:rPr>
        <w:t xml:space="preserve">, </w:t>
      </w:r>
      <w:r w:rsidR="007C29A1">
        <w:rPr>
          <w:rFonts w:ascii="Times New Roman" w:eastAsia="Calibri" w:hAnsi="Times New Roman" w:cs="Times New Roman"/>
          <w:i/>
          <w:iCs/>
        </w:rPr>
        <w:t>d</w:t>
      </w:r>
      <w:r w:rsidR="007C29A1">
        <w:rPr>
          <w:rFonts w:ascii="Times New Roman" w:eastAsia="Calibri" w:hAnsi="Times New Roman" w:cs="Times New Roman"/>
        </w:rPr>
        <w:t xml:space="preserve"> = 0.06</w:t>
      </w:r>
      <w:r w:rsidR="0071196B">
        <w:rPr>
          <w:rFonts w:ascii="Times New Roman" w:eastAsia="Calibri" w:hAnsi="Times New Roman" w:cs="Times New Roman"/>
        </w:rPr>
        <w:t xml:space="preserve">) </w:t>
      </w:r>
      <w:r w:rsidR="003B1FAA">
        <w:rPr>
          <w:rFonts w:ascii="Times New Roman" w:eastAsia="Calibri" w:hAnsi="Times New Roman" w:cs="Times New Roman"/>
        </w:rPr>
        <w:t xml:space="preserve">values and the average of Week 1 and Week 4 Post </w:t>
      </w:r>
      <w:r w:rsidR="0071196B">
        <w:rPr>
          <w:rFonts w:ascii="Times New Roman" w:eastAsia="Calibri" w:hAnsi="Times New Roman" w:cs="Times New Roman"/>
        </w:rPr>
        <w:t>(92.19 (2.77)</w:t>
      </w:r>
      <w:r w:rsidR="007C29A1">
        <w:rPr>
          <w:rFonts w:ascii="Times New Roman" w:eastAsia="Calibri" w:hAnsi="Times New Roman" w:cs="Times New Roman"/>
        </w:rPr>
        <w:t xml:space="preserve">, </w:t>
      </w:r>
      <w:r w:rsidR="007C29A1">
        <w:rPr>
          <w:rFonts w:ascii="Times New Roman" w:eastAsia="Calibri" w:hAnsi="Times New Roman" w:cs="Times New Roman"/>
          <w:i/>
          <w:iCs/>
        </w:rPr>
        <w:t>d</w:t>
      </w:r>
      <w:r w:rsidR="007C29A1">
        <w:rPr>
          <w:rFonts w:ascii="Times New Roman" w:eastAsia="Calibri" w:hAnsi="Times New Roman" w:cs="Times New Roman"/>
        </w:rPr>
        <w:t xml:space="preserve"> = 0.08</w:t>
      </w:r>
      <w:r w:rsidR="0071196B">
        <w:rPr>
          <w:rFonts w:ascii="Times New Roman" w:eastAsia="Calibri" w:hAnsi="Times New Roman" w:cs="Times New Roman"/>
        </w:rPr>
        <w:t xml:space="preserve">) </w:t>
      </w:r>
      <w:r w:rsidR="003B1FAA">
        <w:rPr>
          <w:rFonts w:ascii="Times New Roman" w:eastAsia="Calibri" w:hAnsi="Times New Roman" w:cs="Times New Roman"/>
        </w:rPr>
        <w:t>values.</w:t>
      </w:r>
      <w:r w:rsidR="00FF2C56">
        <w:rPr>
          <w:rFonts w:ascii="Times New Roman" w:eastAsia="Calibri" w:hAnsi="Times New Roman" w:cs="Times New Roman"/>
        </w:rPr>
        <w:t xml:space="preserve"> </w:t>
      </w:r>
      <w:r w:rsidR="00FF2C56">
        <w:rPr>
          <w:rFonts w:ascii="Times New Roman" w:hAnsi="Times New Roman" w:cs="Times New Roman"/>
        </w:rPr>
        <w:t>N</w:t>
      </w:r>
      <w:r w:rsidR="00BC45AD">
        <w:rPr>
          <w:rFonts w:ascii="Times New Roman" w:hAnsi="Times New Roman" w:cs="Times New Roman"/>
        </w:rPr>
        <w:t>o other variables expressed a main effect for Time</w:t>
      </w:r>
      <w:r w:rsidR="001003DA">
        <w:rPr>
          <w:rFonts w:ascii="Times New Roman" w:hAnsi="Times New Roman" w:cs="Times New Roman"/>
        </w:rPr>
        <w:t xml:space="preserve">, including </w:t>
      </w:r>
      <w:proofErr w:type="spellStart"/>
      <w:r w:rsidR="00FC0EFF">
        <w:rPr>
          <w:rFonts w:ascii="Times New Roman" w:hAnsi="Times New Roman" w:cs="Times New Roman"/>
        </w:rPr>
        <w:t>ConcMF</w:t>
      </w:r>
      <w:proofErr w:type="spellEnd"/>
      <w:r w:rsidR="00D27ACB">
        <w:rPr>
          <w:rFonts w:ascii="Times New Roman" w:hAnsi="Times New Roman" w:cs="Times New Roman"/>
        </w:rPr>
        <w:t xml:space="preserve"> (p = 0.561)</w:t>
      </w:r>
      <w:r w:rsidR="00FC0EFF" w:rsidRPr="00DF5A55">
        <w:rPr>
          <w:rFonts w:ascii="Times New Roman" w:hAnsi="Times New Roman" w:cs="Times New Roman"/>
        </w:rPr>
        <w:t>,</w:t>
      </w:r>
      <w:r w:rsidR="00FC0EFF">
        <w:rPr>
          <w:rFonts w:ascii="Times New Roman" w:hAnsi="Times New Roman" w:cs="Times New Roman"/>
        </w:rPr>
        <w:t xml:space="preserve"> </w:t>
      </w:r>
      <w:proofErr w:type="spellStart"/>
      <w:r w:rsidR="00FC0EFF">
        <w:rPr>
          <w:rFonts w:ascii="Times New Roman" w:hAnsi="Times New Roman" w:cs="Times New Roman"/>
        </w:rPr>
        <w:t>ConcMP</w:t>
      </w:r>
      <w:proofErr w:type="spellEnd"/>
      <w:r w:rsidR="00D27ACB">
        <w:rPr>
          <w:rFonts w:ascii="Times New Roman" w:hAnsi="Times New Roman" w:cs="Times New Roman"/>
        </w:rPr>
        <w:t xml:space="preserve"> (p = 0.704),</w:t>
      </w:r>
      <w:r w:rsidR="00FC0EFF">
        <w:rPr>
          <w:rFonts w:ascii="Times New Roman" w:hAnsi="Times New Roman" w:cs="Times New Roman"/>
        </w:rPr>
        <w:t xml:space="preserve"> </w:t>
      </w:r>
      <w:proofErr w:type="spellStart"/>
      <w:r w:rsidR="00FC0EFF">
        <w:rPr>
          <w:rFonts w:ascii="Times New Roman" w:hAnsi="Times New Roman" w:cs="Times New Roman"/>
        </w:rPr>
        <w:t>ConcPF</w:t>
      </w:r>
      <w:proofErr w:type="spellEnd"/>
      <w:r w:rsidR="00D27ACB">
        <w:rPr>
          <w:rFonts w:ascii="Times New Roman" w:hAnsi="Times New Roman" w:cs="Times New Roman"/>
        </w:rPr>
        <w:t xml:space="preserve"> (p = 168)</w:t>
      </w:r>
      <w:r w:rsidR="00FC0EFF">
        <w:rPr>
          <w:rFonts w:ascii="Times New Roman" w:hAnsi="Times New Roman" w:cs="Times New Roman"/>
        </w:rPr>
        <w:t xml:space="preserve">, CT (p = </w:t>
      </w:r>
      <w:r w:rsidR="00D27ACB">
        <w:rPr>
          <w:rFonts w:ascii="Times New Roman" w:hAnsi="Times New Roman" w:cs="Times New Roman"/>
        </w:rPr>
        <w:t>0.200</w:t>
      </w:r>
      <w:r w:rsidR="00FC0EFF">
        <w:rPr>
          <w:rFonts w:ascii="Times New Roman" w:hAnsi="Times New Roman" w:cs="Times New Roman"/>
        </w:rPr>
        <w:t xml:space="preserve">), </w:t>
      </w:r>
      <w:proofErr w:type="spellStart"/>
      <w:r w:rsidR="00FC0EFF">
        <w:rPr>
          <w:rFonts w:ascii="Times New Roman" w:hAnsi="Times New Roman" w:cs="Times New Roman"/>
        </w:rPr>
        <w:t>EccMBF</w:t>
      </w:r>
      <w:proofErr w:type="spellEnd"/>
      <w:r w:rsidR="00FC0EFF">
        <w:rPr>
          <w:rFonts w:ascii="Times New Roman" w:hAnsi="Times New Roman" w:cs="Times New Roman"/>
        </w:rPr>
        <w:t xml:space="preserve"> (p = </w:t>
      </w:r>
      <w:r w:rsidR="00D27ACB">
        <w:rPr>
          <w:rFonts w:ascii="Times New Roman" w:hAnsi="Times New Roman" w:cs="Times New Roman"/>
        </w:rPr>
        <w:t>0.457</w:t>
      </w:r>
      <w:r w:rsidR="00FC0EFF">
        <w:rPr>
          <w:rFonts w:ascii="Times New Roman" w:hAnsi="Times New Roman" w:cs="Times New Roman"/>
        </w:rPr>
        <w:t xml:space="preserve">), </w:t>
      </w:r>
      <w:proofErr w:type="spellStart"/>
      <w:r w:rsidR="00FC0EFF">
        <w:rPr>
          <w:rFonts w:ascii="Times New Roman" w:hAnsi="Times New Roman" w:cs="Times New Roman"/>
        </w:rPr>
        <w:t>EccMDecF</w:t>
      </w:r>
      <w:proofErr w:type="spellEnd"/>
      <w:r w:rsidR="00FC0EFF">
        <w:rPr>
          <w:rFonts w:ascii="Times New Roman" w:hAnsi="Times New Roman" w:cs="Times New Roman"/>
        </w:rPr>
        <w:t xml:space="preserve"> (p = </w:t>
      </w:r>
      <w:r w:rsidR="00D27ACB">
        <w:rPr>
          <w:rFonts w:ascii="Times New Roman" w:hAnsi="Times New Roman" w:cs="Times New Roman"/>
        </w:rPr>
        <w:t>0.653</w:t>
      </w:r>
      <w:r w:rsidR="00FC0EFF">
        <w:rPr>
          <w:rFonts w:ascii="Times New Roman" w:hAnsi="Times New Roman" w:cs="Times New Roman"/>
        </w:rPr>
        <w:t xml:space="preserve">), </w:t>
      </w:r>
      <w:proofErr w:type="spellStart"/>
      <w:r w:rsidR="00FC0EFF">
        <w:rPr>
          <w:rFonts w:ascii="Times New Roman" w:hAnsi="Times New Roman" w:cs="Times New Roman"/>
        </w:rPr>
        <w:t>EccMP</w:t>
      </w:r>
      <w:proofErr w:type="spellEnd"/>
      <w:r w:rsidR="00FC0EFF">
        <w:rPr>
          <w:rFonts w:ascii="Times New Roman" w:hAnsi="Times New Roman" w:cs="Times New Roman"/>
        </w:rPr>
        <w:t xml:space="preserve"> (p =</w:t>
      </w:r>
      <w:r w:rsidR="001054F7">
        <w:rPr>
          <w:rFonts w:ascii="Times New Roman" w:hAnsi="Times New Roman" w:cs="Times New Roman"/>
        </w:rPr>
        <w:t xml:space="preserve"> </w:t>
      </w:r>
      <w:r w:rsidR="00D27ACB">
        <w:rPr>
          <w:rFonts w:ascii="Times New Roman" w:hAnsi="Times New Roman" w:cs="Times New Roman"/>
        </w:rPr>
        <w:t>0.061</w:t>
      </w:r>
      <w:r w:rsidR="00FC0EFF">
        <w:rPr>
          <w:rFonts w:ascii="Times New Roman" w:hAnsi="Times New Roman" w:cs="Times New Roman"/>
        </w:rPr>
        <w:t xml:space="preserve">), </w:t>
      </w:r>
      <w:proofErr w:type="spellStart"/>
      <w:r w:rsidR="00FC0EFF">
        <w:rPr>
          <w:rFonts w:ascii="Times New Roman" w:hAnsi="Times New Roman" w:cs="Times New Roman"/>
        </w:rPr>
        <w:t>EccPF</w:t>
      </w:r>
      <w:proofErr w:type="spellEnd"/>
      <w:r w:rsidR="00FC0EFF">
        <w:rPr>
          <w:rFonts w:ascii="Times New Roman" w:hAnsi="Times New Roman" w:cs="Times New Roman"/>
        </w:rPr>
        <w:t xml:space="preserve"> (p =</w:t>
      </w:r>
      <w:r w:rsidR="001054F7">
        <w:rPr>
          <w:rFonts w:ascii="Times New Roman" w:hAnsi="Times New Roman" w:cs="Times New Roman"/>
        </w:rPr>
        <w:t xml:space="preserve"> </w:t>
      </w:r>
      <w:r w:rsidR="009967C9">
        <w:rPr>
          <w:rFonts w:ascii="Times New Roman" w:hAnsi="Times New Roman" w:cs="Times New Roman"/>
        </w:rPr>
        <w:t>0.250</w:t>
      </w:r>
      <w:r w:rsidR="00FC0EFF">
        <w:rPr>
          <w:rFonts w:ascii="Times New Roman" w:hAnsi="Times New Roman" w:cs="Times New Roman"/>
        </w:rPr>
        <w:t xml:space="preserve">), </w:t>
      </w:r>
      <w:proofErr w:type="spellStart"/>
      <w:r w:rsidR="00FC0EFF">
        <w:rPr>
          <w:rFonts w:ascii="Times New Roman" w:hAnsi="Times New Roman" w:cs="Times New Roman"/>
        </w:rPr>
        <w:t>EccPP</w:t>
      </w:r>
      <w:proofErr w:type="spellEnd"/>
      <w:r w:rsidR="00FC0EFF">
        <w:rPr>
          <w:rFonts w:ascii="Times New Roman" w:hAnsi="Times New Roman" w:cs="Times New Roman"/>
        </w:rPr>
        <w:t xml:space="preserve"> (p =</w:t>
      </w:r>
      <w:r w:rsidR="001054F7">
        <w:rPr>
          <w:rFonts w:ascii="Times New Roman" w:hAnsi="Times New Roman" w:cs="Times New Roman"/>
        </w:rPr>
        <w:t xml:space="preserve"> </w:t>
      </w:r>
      <w:r w:rsidR="009967C9">
        <w:rPr>
          <w:rFonts w:ascii="Times New Roman" w:hAnsi="Times New Roman" w:cs="Times New Roman"/>
        </w:rPr>
        <w:t>0.389</w:t>
      </w:r>
      <w:r w:rsidR="00FC0EFF">
        <w:rPr>
          <w:rFonts w:ascii="Times New Roman" w:hAnsi="Times New Roman" w:cs="Times New Roman"/>
        </w:rPr>
        <w:t>), FT (p =</w:t>
      </w:r>
      <w:r w:rsidR="001054F7">
        <w:rPr>
          <w:rFonts w:ascii="Times New Roman" w:hAnsi="Times New Roman" w:cs="Times New Roman"/>
        </w:rPr>
        <w:t xml:space="preserve"> </w:t>
      </w:r>
      <w:r w:rsidR="009967C9">
        <w:rPr>
          <w:rFonts w:ascii="Times New Roman" w:hAnsi="Times New Roman" w:cs="Times New Roman"/>
        </w:rPr>
        <w:t>0.952</w:t>
      </w:r>
      <w:r w:rsidR="00FC0EFF">
        <w:rPr>
          <w:rFonts w:ascii="Times New Roman" w:hAnsi="Times New Roman" w:cs="Times New Roman"/>
        </w:rPr>
        <w:t>), FT:CT (p =</w:t>
      </w:r>
      <w:r w:rsidR="001054F7">
        <w:rPr>
          <w:rFonts w:ascii="Times New Roman" w:hAnsi="Times New Roman" w:cs="Times New Roman"/>
        </w:rPr>
        <w:t xml:space="preserve"> </w:t>
      </w:r>
      <w:r w:rsidR="009967C9">
        <w:rPr>
          <w:rFonts w:ascii="Times New Roman" w:hAnsi="Times New Roman" w:cs="Times New Roman"/>
        </w:rPr>
        <w:t>0.098</w:t>
      </w:r>
      <w:r w:rsidR="00FC0EFF">
        <w:rPr>
          <w:rFonts w:ascii="Times New Roman" w:hAnsi="Times New Roman" w:cs="Times New Roman"/>
        </w:rPr>
        <w:t>), F@0V (p =</w:t>
      </w:r>
      <w:r w:rsidR="001054F7">
        <w:rPr>
          <w:rFonts w:ascii="Times New Roman" w:hAnsi="Times New Roman" w:cs="Times New Roman"/>
        </w:rPr>
        <w:t xml:space="preserve"> </w:t>
      </w:r>
      <w:r w:rsidR="009967C9">
        <w:rPr>
          <w:rFonts w:ascii="Times New Roman" w:hAnsi="Times New Roman" w:cs="Times New Roman"/>
        </w:rPr>
        <w:t>0.266</w:t>
      </w:r>
      <w:r w:rsidR="00FC0EFF">
        <w:rPr>
          <w:rFonts w:ascii="Times New Roman" w:hAnsi="Times New Roman" w:cs="Times New Roman"/>
        </w:rPr>
        <w:t>), JH (p =</w:t>
      </w:r>
      <w:r w:rsidR="001054F7">
        <w:rPr>
          <w:rFonts w:ascii="Times New Roman" w:hAnsi="Times New Roman" w:cs="Times New Roman"/>
        </w:rPr>
        <w:t xml:space="preserve"> </w:t>
      </w:r>
      <w:r w:rsidR="009967C9">
        <w:rPr>
          <w:rFonts w:ascii="Times New Roman" w:hAnsi="Times New Roman" w:cs="Times New Roman"/>
        </w:rPr>
        <w:t>0.947</w:t>
      </w:r>
      <w:r w:rsidR="00FC0EFF">
        <w:rPr>
          <w:rFonts w:ascii="Times New Roman" w:hAnsi="Times New Roman" w:cs="Times New Roman"/>
        </w:rPr>
        <w:t>), PP (p =</w:t>
      </w:r>
      <w:r w:rsidR="001054F7">
        <w:rPr>
          <w:rFonts w:ascii="Times New Roman" w:hAnsi="Times New Roman" w:cs="Times New Roman"/>
        </w:rPr>
        <w:t xml:space="preserve"> </w:t>
      </w:r>
      <w:r w:rsidR="009967C9">
        <w:rPr>
          <w:rFonts w:ascii="Times New Roman" w:hAnsi="Times New Roman" w:cs="Times New Roman"/>
        </w:rPr>
        <w:t>0.128</w:t>
      </w:r>
      <w:r w:rsidR="00FC0EFF">
        <w:rPr>
          <w:rFonts w:ascii="Times New Roman" w:hAnsi="Times New Roman" w:cs="Times New Roman"/>
        </w:rPr>
        <w:t xml:space="preserve">), </w:t>
      </w:r>
      <w:proofErr w:type="spellStart"/>
      <w:r w:rsidR="00FC0EFF">
        <w:rPr>
          <w:rFonts w:ascii="Times New Roman" w:hAnsi="Times New Roman" w:cs="Times New Roman"/>
        </w:rPr>
        <w:t>RSI</w:t>
      </w:r>
      <w:r w:rsidR="00FC0EFF">
        <w:rPr>
          <w:rFonts w:ascii="Times New Roman" w:hAnsi="Times New Roman" w:cs="Times New Roman"/>
          <w:vertAlign w:val="subscript"/>
        </w:rPr>
        <w:t>Mod</w:t>
      </w:r>
      <w:proofErr w:type="spellEnd"/>
      <w:r w:rsidR="00FC0EFF">
        <w:rPr>
          <w:rFonts w:ascii="Times New Roman" w:hAnsi="Times New Roman" w:cs="Times New Roman"/>
        </w:rPr>
        <w:t xml:space="preserve"> (p =</w:t>
      </w:r>
      <w:r w:rsidR="001054F7">
        <w:rPr>
          <w:rFonts w:ascii="Times New Roman" w:hAnsi="Times New Roman" w:cs="Times New Roman"/>
        </w:rPr>
        <w:t xml:space="preserve"> </w:t>
      </w:r>
      <w:r w:rsidR="009967C9">
        <w:rPr>
          <w:rFonts w:ascii="Times New Roman" w:hAnsi="Times New Roman" w:cs="Times New Roman"/>
        </w:rPr>
        <w:t>0.192</w:t>
      </w:r>
      <w:r w:rsidR="00FC0EFF">
        <w:rPr>
          <w:rFonts w:ascii="Times New Roman" w:hAnsi="Times New Roman" w:cs="Times New Roman"/>
        </w:rPr>
        <w:t>)</w:t>
      </w:r>
      <w:r w:rsidR="001054F7">
        <w:rPr>
          <w:rFonts w:ascii="Times New Roman" w:hAnsi="Times New Roman" w:cs="Times New Roman"/>
        </w:rPr>
        <w:t>.</w:t>
      </w:r>
    </w:p>
    <w:p w14:paraId="4F1A7B55" w14:textId="52021B69" w:rsidR="003832A2" w:rsidRPr="00DF0CA0" w:rsidRDefault="00CA0D30" w:rsidP="00371B1E">
      <w:pPr>
        <w:spacing w:line="480" w:lineRule="auto"/>
        <w:jc w:val="center"/>
        <w:rPr>
          <w:rFonts w:ascii="Times New Roman" w:eastAsia="Calibri" w:hAnsi="Times New Roman" w:cs="Times New Roman"/>
        </w:rPr>
      </w:pPr>
      <w:r>
        <w:rPr>
          <w:noProof/>
        </w:rPr>
        <mc:AlternateContent>
          <mc:Choice Requires="wps">
            <w:drawing>
              <wp:anchor distT="0" distB="0" distL="114300" distR="114300" simplePos="0" relativeHeight="251708416" behindDoc="0" locked="0" layoutInCell="1" allowOverlap="1" wp14:anchorId="363B42FB" wp14:editId="1D51F588">
                <wp:simplePos x="0" y="0"/>
                <wp:positionH relativeFrom="column">
                  <wp:posOffset>320148</wp:posOffset>
                </wp:positionH>
                <wp:positionV relativeFrom="paragraph">
                  <wp:posOffset>3775412</wp:posOffset>
                </wp:positionV>
                <wp:extent cx="5300980" cy="635"/>
                <wp:effectExtent l="0" t="0" r="0" b="12065"/>
                <wp:wrapTopAndBottom/>
                <wp:docPr id="63" name="Text Box 63"/>
                <wp:cNvGraphicFramePr/>
                <a:graphic xmlns:a="http://schemas.openxmlformats.org/drawingml/2006/main">
                  <a:graphicData uri="http://schemas.microsoft.com/office/word/2010/wordprocessingShape">
                    <wps:wsp>
                      <wps:cNvSpPr txBox="1"/>
                      <wps:spPr>
                        <a:xfrm>
                          <a:off x="0" y="0"/>
                          <a:ext cx="5300980" cy="635"/>
                        </a:xfrm>
                        <a:prstGeom prst="rect">
                          <a:avLst/>
                        </a:prstGeom>
                        <a:solidFill>
                          <a:prstClr val="white"/>
                        </a:solidFill>
                        <a:ln>
                          <a:noFill/>
                        </a:ln>
                      </wps:spPr>
                      <wps:txbx>
                        <w:txbxContent>
                          <w:p w14:paraId="1E99DF54" w14:textId="1A7A772D" w:rsidR="00CA0D30" w:rsidRPr="00CA0D30" w:rsidRDefault="00CA0D30" w:rsidP="00CA0D30">
                            <w:pPr>
                              <w:pStyle w:val="Caption"/>
                              <w:jc w:val="center"/>
                              <w:rPr>
                                <w:rFonts w:ascii="Times New Roman" w:hAnsi="Times New Roman"/>
                                <w:sz w:val="20"/>
                                <w:szCs w:val="20"/>
                              </w:rPr>
                            </w:pPr>
                            <w:bookmarkStart w:id="73" w:name="_Toc100670672"/>
                            <w:r w:rsidRPr="00CA0D30">
                              <w:rPr>
                                <w:rFonts w:ascii="Times New Roman" w:hAnsi="Times New Roman"/>
                                <w:sz w:val="20"/>
                                <w:szCs w:val="20"/>
                              </w:rPr>
                              <w:t xml:space="preserve">Figure </w:t>
                            </w:r>
                            <w:r w:rsidRPr="00CA0D30">
                              <w:rPr>
                                <w:rFonts w:ascii="Times New Roman" w:hAnsi="Times New Roman"/>
                                <w:sz w:val="20"/>
                                <w:szCs w:val="20"/>
                              </w:rPr>
                              <w:fldChar w:fldCharType="begin"/>
                            </w:r>
                            <w:r w:rsidRPr="00CA0D30">
                              <w:rPr>
                                <w:rFonts w:ascii="Times New Roman" w:hAnsi="Times New Roman"/>
                                <w:sz w:val="20"/>
                                <w:szCs w:val="20"/>
                              </w:rPr>
                              <w:instrText xml:space="preserve"> SEQ Figure \* ARABIC </w:instrText>
                            </w:r>
                            <w:r w:rsidRPr="00CA0D30">
                              <w:rPr>
                                <w:rFonts w:ascii="Times New Roman" w:hAnsi="Times New Roman"/>
                                <w:sz w:val="20"/>
                                <w:szCs w:val="20"/>
                              </w:rPr>
                              <w:fldChar w:fldCharType="separate"/>
                            </w:r>
                            <w:r w:rsidR="002101E0">
                              <w:rPr>
                                <w:rFonts w:ascii="Times New Roman" w:hAnsi="Times New Roman"/>
                                <w:noProof/>
                                <w:sz w:val="20"/>
                                <w:szCs w:val="20"/>
                              </w:rPr>
                              <w:t>8</w:t>
                            </w:r>
                            <w:r w:rsidRPr="00CA0D30">
                              <w:rPr>
                                <w:rFonts w:ascii="Times New Roman" w:hAnsi="Times New Roman"/>
                                <w:sz w:val="20"/>
                                <w:szCs w:val="20"/>
                              </w:rPr>
                              <w:fldChar w:fldCharType="end"/>
                            </w:r>
                            <w:r w:rsidRPr="00CA0D30">
                              <w:rPr>
                                <w:rFonts w:ascii="Times New Roman" w:hAnsi="Times New Roman"/>
                                <w:sz w:val="20"/>
                                <w:szCs w:val="20"/>
                              </w:rPr>
                              <w:t>. Differences in Countermovement Jump Performance Between Weeks</w:t>
                            </w:r>
                            <w:bookmarkEnd w:id="73"/>
                          </w:p>
                          <w:p w14:paraId="6DB61E5E" w14:textId="7EB7E1AC" w:rsidR="00CA0D30" w:rsidRPr="00CA0D30" w:rsidRDefault="00CA0D30" w:rsidP="00CA0D30">
                            <w:pPr>
                              <w:jc w:val="center"/>
                              <w:rPr>
                                <w:rFonts w:ascii="Times New Roman" w:hAnsi="Times New Roman" w:cs="Times New Roman"/>
                                <w:sz w:val="20"/>
                                <w:szCs w:val="20"/>
                                <w:lang w:bidi="en-US"/>
                              </w:rPr>
                            </w:pPr>
                          </w:p>
                          <w:p w14:paraId="6F59887B" w14:textId="20682908" w:rsidR="00CA0D30" w:rsidRPr="00CA0D30" w:rsidRDefault="00CA0D30" w:rsidP="00CA0D30">
                            <w:pPr>
                              <w:jc w:val="center"/>
                              <w:rPr>
                                <w:rFonts w:ascii="Times New Roman" w:hAnsi="Times New Roman" w:cs="Times New Roman"/>
                                <w:sz w:val="20"/>
                                <w:szCs w:val="20"/>
                                <w:lang w:bidi="en-US"/>
                              </w:rPr>
                            </w:pPr>
                            <w:r>
                              <w:rPr>
                                <w:rFonts w:ascii="Times New Roman" w:hAnsi="Times New Roman" w:cs="Times New Roman"/>
                                <w:sz w:val="20"/>
                                <w:szCs w:val="20"/>
                                <w:lang w:bidi="en-US"/>
                              </w:rPr>
                              <w:t>Note: Data presented as Mean ± Standard Deviation; Pre = Pre-Practice; Post = Post-Practice; * = Significant difference between weeks, set at p ≤ 0.05</w:t>
                            </w:r>
                            <w:r w:rsidR="00A15634">
                              <w:rPr>
                                <w:rFonts w:ascii="Times New Roman" w:hAnsi="Times New Roman" w:cs="Times New Roman"/>
                                <w:sz w:val="20"/>
                                <w:szCs w:val="20"/>
                                <w:lang w:bidi="en-US"/>
                              </w:rPr>
                              <w:t>; † = Average of Week 1 and Week 4 Pre significantly different than average of Week 1 and Week 4 Post</w:t>
                            </w:r>
                            <w:r>
                              <w:rPr>
                                <w:rFonts w:ascii="Times New Roman" w:hAnsi="Times New Roman" w:cs="Times New Roman"/>
                                <w:sz w:val="20"/>
                                <w:szCs w:val="20"/>
                                <w:lang w:bidi="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3B42FB" id="Text Box 63" o:spid="_x0000_s1033" type="#_x0000_t202" style="position:absolute;left:0;text-align:left;margin-left:25.2pt;margin-top:297.3pt;width:417.4pt;height:.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" stroked="f">
                <v:textbox style="mso-fit-shape-to-text:t" inset="0,0,0,0">
                  <w:txbxContent>
                    <w:p w14:paraId="1E99DF54" w14:textId="1A7A772D" w:rsidR="00CA0D30" w:rsidRPr="00CA0D30" w:rsidRDefault="00CA0D30" w:rsidP="00CA0D30">
                      <w:pPr>
                        <w:pStyle w:val="Caption"/>
                        <w:jc w:val="center"/>
                        <w:rPr>
                          <w:rFonts w:ascii="Times New Roman" w:hAnsi="Times New Roman"/>
                          <w:sz w:val="20"/>
                          <w:szCs w:val="20"/>
                        </w:rPr>
                      </w:pPr>
                      <w:bookmarkStart w:id="81" w:name="_Toc100670672"/>
                      <w:r w:rsidRPr="00CA0D30">
                        <w:rPr>
                          <w:rFonts w:ascii="Times New Roman" w:hAnsi="Times New Roman"/>
                          <w:sz w:val="20"/>
                          <w:szCs w:val="20"/>
                        </w:rPr>
                        <w:t xml:space="preserve">Figure </w:t>
                      </w:r>
                      <w:r w:rsidRPr="00CA0D30">
                        <w:rPr>
                          <w:rFonts w:ascii="Times New Roman" w:hAnsi="Times New Roman"/>
                          <w:sz w:val="20"/>
                          <w:szCs w:val="20"/>
                        </w:rPr>
                        <w:fldChar w:fldCharType="begin"/>
                      </w:r>
                      <w:r w:rsidRPr="00CA0D30">
                        <w:rPr>
                          <w:rFonts w:ascii="Times New Roman" w:hAnsi="Times New Roman"/>
                          <w:sz w:val="20"/>
                          <w:szCs w:val="20"/>
                        </w:rPr>
                        <w:instrText xml:space="preserve"> SEQ Figure \* ARABIC </w:instrText>
                      </w:r>
                      <w:r w:rsidRPr="00CA0D30">
                        <w:rPr>
                          <w:rFonts w:ascii="Times New Roman" w:hAnsi="Times New Roman"/>
                          <w:sz w:val="20"/>
                          <w:szCs w:val="20"/>
                        </w:rPr>
                        <w:fldChar w:fldCharType="separate"/>
                      </w:r>
                      <w:r w:rsidR="002101E0">
                        <w:rPr>
                          <w:rFonts w:ascii="Times New Roman" w:hAnsi="Times New Roman"/>
                          <w:noProof/>
                          <w:sz w:val="20"/>
                          <w:szCs w:val="20"/>
                        </w:rPr>
                        <w:t>8</w:t>
                      </w:r>
                      <w:r w:rsidRPr="00CA0D30">
                        <w:rPr>
                          <w:rFonts w:ascii="Times New Roman" w:hAnsi="Times New Roman"/>
                          <w:sz w:val="20"/>
                          <w:szCs w:val="20"/>
                        </w:rPr>
                        <w:fldChar w:fldCharType="end"/>
                      </w:r>
                      <w:r w:rsidRPr="00CA0D30">
                        <w:rPr>
                          <w:rFonts w:ascii="Times New Roman" w:hAnsi="Times New Roman"/>
                          <w:sz w:val="20"/>
                          <w:szCs w:val="20"/>
                        </w:rPr>
                        <w:t>. Differences in Countermovement Jump Performance Between Weeks</w:t>
                      </w:r>
                      <w:bookmarkEnd w:id="81"/>
                    </w:p>
                    <w:p w14:paraId="6DB61E5E" w14:textId="7EB7E1AC" w:rsidR="00CA0D30" w:rsidRPr="00CA0D30" w:rsidRDefault="00CA0D30" w:rsidP="00CA0D30">
                      <w:pPr>
                        <w:jc w:val="center"/>
                        <w:rPr>
                          <w:rFonts w:ascii="Times New Roman" w:hAnsi="Times New Roman" w:cs="Times New Roman"/>
                          <w:sz w:val="20"/>
                          <w:szCs w:val="20"/>
                          <w:lang w:bidi="en-US"/>
                        </w:rPr>
                      </w:pPr>
                    </w:p>
                    <w:p w14:paraId="6F59887B" w14:textId="20682908" w:rsidR="00CA0D30" w:rsidRPr="00CA0D30" w:rsidRDefault="00CA0D30" w:rsidP="00CA0D30">
                      <w:pPr>
                        <w:jc w:val="center"/>
                        <w:rPr>
                          <w:rFonts w:ascii="Times New Roman" w:hAnsi="Times New Roman" w:cs="Times New Roman"/>
                          <w:sz w:val="20"/>
                          <w:szCs w:val="20"/>
                          <w:lang w:bidi="en-US"/>
                        </w:rPr>
                      </w:pPr>
                      <w:r>
                        <w:rPr>
                          <w:rFonts w:ascii="Times New Roman" w:hAnsi="Times New Roman" w:cs="Times New Roman"/>
                          <w:sz w:val="20"/>
                          <w:szCs w:val="20"/>
                          <w:lang w:bidi="en-US"/>
                        </w:rPr>
                        <w:t>Note: Data presented as Mean ± Standard Deviation; Pre = Pre-Practice; Post = Post-Practice; * = Significant difference between weeks, set at p ≤ 0.05</w:t>
                      </w:r>
                      <w:r w:rsidR="00A15634">
                        <w:rPr>
                          <w:rFonts w:ascii="Times New Roman" w:hAnsi="Times New Roman" w:cs="Times New Roman"/>
                          <w:sz w:val="20"/>
                          <w:szCs w:val="20"/>
                          <w:lang w:bidi="en-US"/>
                        </w:rPr>
                        <w:t>; † = Average of Week 1 and Week 4 Pre significantly different than average of Week 1 and Week 4 Post</w:t>
                      </w:r>
                      <w:r>
                        <w:rPr>
                          <w:rFonts w:ascii="Times New Roman" w:hAnsi="Times New Roman" w:cs="Times New Roman"/>
                          <w:sz w:val="20"/>
                          <w:szCs w:val="20"/>
                          <w:lang w:bidi="en-US"/>
                        </w:rPr>
                        <w:t>.</w:t>
                      </w:r>
                    </w:p>
                  </w:txbxContent>
                </v:textbox>
                <w10:wrap type="topAndBottom"/>
              </v:shape>
            </w:pict>
          </mc:Fallback>
        </mc:AlternateContent>
      </w:r>
      <w:r w:rsidR="00B534D4">
        <w:rPr>
          <w:rFonts w:ascii="Times New Roman" w:eastAsia="Calibri" w:hAnsi="Times New Roman" w:cs="Times New Roman"/>
          <w:noProof/>
        </w:rPr>
        <w:drawing>
          <wp:inline distT="0" distB="0" distL="0" distR="0" wp14:anchorId="3DE24F2D" wp14:editId="35E25C98">
            <wp:extent cx="4723449" cy="3414409"/>
            <wp:effectExtent l="0" t="0" r="1270" b="1905"/>
            <wp:docPr id="35" name="Picture 3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diagram&#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30764" cy="3491983"/>
                    </a:xfrm>
                    <a:prstGeom prst="rect">
                      <a:avLst/>
                    </a:prstGeom>
                  </pic:spPr>
                </pic:pic>
              </a:graphicData>
            </a:graphic>
          </wp:inline>
        </w:drawing>
      </w:r>
    </w:p>
    <w:p w14:paraId="15EE5036" w14:textId="287C94D6" w:rsidR="00E56CDC" w:rsidRDefault="00BC45AD" w:rsidP="00F829B9">
      <w:pPr>
        <w:spacing w:line="480" w:lineRule="auto"/>
        <w:ind w:firstLine="720"/>
        <w:jc w:val="both"/>
        <w:rPr>
          <w:rFonts w:ascii="Times New Roman" w:eastAsia="Calibri" w:hAnsi="Times New Roman" w:cs="Times New Roman"/>
        </w:rPr>
      </w:pPr>
      <w:r>
        <w:rPr>
          <w:rFonts w:ascii="Times New Roman" w:hAnsi="Times New Roman" w:cs="Times New Roman"/>
        </w:rPr>
        <w:lastRenderedPageBreak/>
        <w:t>Moreover, there w</w:t>
      </w:r>
      <w:r w:rsidR="001C507F">
        <w:rPr>
          <w:rFonts w:ascii="Times New Roman" w:hAnsi="Times New Roman" w:cs="Times New Roman"/>
        </w:rPr>
        <w:t>as a</w:t>
      </w:r>
      <w:r>
        <w:rPr>
          <w:rFonts w:ascii="Times New Roman" w:hAnsi="Times New Roman" w:cs="Times New Roman"/>
        </w:rPr>
        <w:t xml:space="preserve"> significant Week </w:t>
      </w:r>
      <w:r w:rsidRPr="008F5D8D">
        <w:rPr>
          <w:rFonts w:ascii="Times New Roman" w:eastAsia="Calibri" w:hAnsi="Times New Roman" w:cs="Times New Roman"/>
        </w:rPr>
        <w:t>×</w:t>
      </w:r>
      <w:r>
        <w:rPr>
          <w:rFonts w:ascii="Times New Roman" w:eastAsia="Calibri" w:hAnsi="Times New Roman" w:cs="Times New Roman"/>
        </w:rPr>
        <w:t xml:space="preserve"> Time interactions in </w:t>
      </w:r>
      <w:proofErr w:type="spellStart"/>
      <w:r>
        <w:rPr>
          <w:rFonts w:ascii="Times New Roman" w:eastAsia="Calibri" w:hAnsi="Times New Roman" w:cs="Times New Roman"/>
        </w:rPr>
        <w:t>ConcPF</w:t>
      </w:r>
      <w:proofErr w:type="spellEnd"/>
      <w:r>
        <w:rPr>
          <w:rFonts w:ascii="Times New Roman" w:eastAsia="Calibri" w:hAnsi="Times New Roman" w:cs="Times New Roman"/>
        </w:rPr>
        <w:t xml:space="preserve"> (p = 0.039)</w:t>
      </w:r>
      <w:r w:rsidR="007D23E6">
        <w:rPr>
          <w:rFonts w:ascii="Times New Roman" w:eastAsia="Calibri" w:hAnsi="Times New Roman" w:cs="Times New Roman"/>
        </w:rPr>
        <w:t>. Post hoc pairwise comparisons revealed significant differences</w:t>
      </w:r>
      <w:r w:rsidR="004065D2">
        <w:rPr>
          <w:rFonts w:ascii="Times New Roman" w:eastAsia="Calibri" w:hAnsi="Times New Roman" w:cs="Times New Roman"/>
        </w:rPr>
        <w:t xml:space="preserve"> (p = 0.042</w:t>
      </w:r>
      <w:r w:rsidR="00931C70">
        <w:rPr>
          <w:rFonts w:ascii="Times New Roman" w:eastAsia="Calibri" w:hAnsi="Times New Roman" w:cs="Times New Roman"/>
        </w:rPr>
        <w:t xml:space="preserve">, </w:t>
      </w:r>
      <w:r w:rsidR="00931C70">
        <w:rPr>
          <w:rFonts w:ascii="Times New Roman" w:eastAsia="Calibri" w:hAnsi="Times New Roman" w:cs="Times New Roman"/>
          <w:i/>
          <w:iCs/>
        </w:rPr>
        <w:t>d</w:t>
      </w:r>
      <w:r w:rsidR="00931C70">
        <w:rPr>
          <w:rFonts w:ascii="Times New Roman" w:eastAsia="Calibri" w:hAnsi="Times New Roman" w:cs="Times New Roman"/>
        </w:rPr>
        <w:t xml:space="preserve"> = 0.27</w:t>
      </w:r>
      <w:r w:rsidR="004065D2">
        <w:rPr>
          <w:rFonts w:ascii="Times New Roman" w:eastAsia="Calibri" w:hAnsi="Times New Roman" w:cs="Times New Roman"/>
        </w:rPr>
        <w:t>)</w:t>
      </w:r>
      <w:r w:rsidR="007D23E6">
        <w:rPr>
          <w:rFonts w:ascii="Times New Roman" w:eastAsia="Calibri" w:hAnsi="Times New Roman" w:cs="Times New Roman"/>
        </w:rPr>
        <w:t xml:space="preserve"> between Pre</w:t>
      </w:r>
      <w:r w:rsidR="004065D2">
        <w:rPr>
          <w:rFonts w:ascii="Times New Roman" w:eastAsia="Calibri" w:hAnsi="Times New Roman" w:cs="Times New Roman"/>
        </w:rPr>
        <w:t xml:space="preserve"> (2398.4 ± 420.7))</w:t>
      </w:r>
      <w:r w:rsidR="007D23E6">
        <w:rPr>
          <w:rFonts w:ascii="Times New Roman" w:eastAsia="Calibri" w:hAnsi="Times New Roman" w:cs="Times New Roman"/>
        </w:rPr>
        <w:t xml:space="preserve"> and Post</w:t>
      </w:r>
      <w:r w:rsidR="004065D2">
        <w:rPr>
          <w:rFonts w:ascii="Times New Roman" w:eastAsia="Calibri" w:hAnsi="Times New Roman" w:cs="Times New Roman"/>
        </w:rPr>
        <w:t xml:space="preserve"> (</w:t>
      </w:r>
      <w:r w:rsidR="004065D2" w:rsidRPr="004065D2">
        <w:rPr>
          <w:rFonts w:ascii="Times New Roman" w:eastAsia="Calibri" w:hAnsi="Times New Roman" w:cs="Times New Roman"/>
        </w:rPr>
        <w:t>2519.9 ± 480.2</w:t>
      </w:r>
      <w:r w:rsidR="004065D2">
        <w:rPr>
          <w:rFonts w:ascii="Times New Roman" w:eastAsia="Calibri" w:hAnsi="Times New Roman" w:cs="Times New Roman"/>
        </w:rPr>
        <w:t>)</w:t>
      </w:r>
      <w:r w:rsidR="007D23E6">
        <w:rPr>
          <w:rFonts w:ascii="Times New Roman" w:eastAsia="Calibri" w:hAnsi="Times New Roman" w:cs="Times New Roman"/>
        </w:rPr>
        <w:t xml:space="preserve"> in Week 1 but not in Week 4</w:t>
      </w:r>
      <w:r w:rsidR="004065D2">
        <w:rPr>
          <w:rFonts w:ascii="Times New Roman" w:eastAsia="Calibri" w:hAnsi="Times New Roman" w:cs="Times New Roman"/>
        </w:rPr>
        <w:t xml:space="preserve"> (Pre = </w:t>
      </w:r>
      <w:r w:rsidR="004065D2" w:rsidRPr="004065D2">
        <w:rPr>
          <w:rFonts w:ascii="Times New Roman" w:eastAsia="Calibri" w:hAnsi="Times New Roman" w:cs="Times New Roman"/>
        </w:rPr>
        <w:t>2459.8 ± 420.2</w:t>
      </w:r>
      <w:r w:rsidR="004065D2">
        <w:rPr>
          <w:rFonts w:ascii="Times New Roman" w:eastAsia="Calibri" w:hAnsi="Times New Roman" w:cs="Times New Roman"/>
        </w:rPr>
        <w:t xml:space="preserve">; Post = </w:t>
      </w:r>
      <w:r w:rsidR="004065D2" w:rsidRPr="004065D2">
        <w:rPr>
          <w:rFonts w:ascii="Times New Roman" w:eastAsia="Calibri" w:hAnsi="Times New Roman" w:cs="Times New Roman"/>
        </w:rPr>
        <w:t>2487.8 ± 505.4</w:t>
      </w:r>
      <w:r w:rsidR="004065D2">
        <w:rPr>
          <w:rFonts w:ascii="Times New Roman" w:eastAsia="Calibri" w:hAnsi="Times New Roman" w:cs="Times New Roman"/>
        </w:rPr>
        <w:t>, p = 0.627</w:t>
      </w:r>
      <w:r w:rsidR="00931C70">
        <w:rPr>
          <w:rFonts w:ascii="Times New Roman" w:eastAsia="Calibri" w:hAnsi="Times New Roman" w:cs="Times New Roman"/>
        </w:rPr>
        <w:t xml:space="preserve">, </w:t>
      </w:r>
      <w:r w:rsidR="00931C70">
        <w:rPr>
          <w:rFonts w:ascii="Times New Roman" w:eastAsia="Calibri" w:hAnsi="Times New Roman" w:cs="Times New Roman"/>
          <w:i/>
          <w:iCs/>
        </w:rPr>
        <w:t>d</w:t>
      </w:r>
      <w:r w:rsidR="00931C70">
        <w:rPr>
          <w:rFonts w:ascii="Times New Roman" w:eastAsia="Calibri" w:hAnsi="Times New Roman" w:cs="Times New Roman"/>
        </w:rPr>
        <w:t xml:space="preserve"> = 0.06</w:t>
      </w:r>
      <w:r w:rsidR="004065D2">
        <w:rPr>
          <w:rFonts w:ascii="Times New Roman" w:eastAsia="Calibri" w:hAnsi="Times New Roman" w:cs="Times New Roman"/>
        </w:rPr>
        <w:t>)</w:t>
      </w:r>
      <w:r w:rsidR="007D23E6">
        <w:rPr>
          <w:rFonts w:ascii="Times New Roman" w:eastAsia="Calibri" w:hAnsi="Times New Roman" w:cs="Times New Roman"/>
        </w:rPr>
        <w:t>. H</w:t>
      </w:r>
      <w:r w:rsidR="00E8245B">
        <w:rPr>
          <w:rFonts w:ascii="Times New Roman" w:eastAsia="Calibri" w:hAnsi="Times New Roman" w:cs="Times New Roman"/>
        </w:rPr>
        <w:t>owever</w:t>
      </w:r>
      <w:r w:rsidR="00931C70">
        <w:rPr>
          <w:rFonts w:ascii="Times New Roman" w:eastAsia="Calibri" w:hAnsi="Times New Roman" w:cs="Times New Roman"/>
        </w:rPr>
        <w:t>,</w:t>
      </w:r>
      <w:r w:rsidR="00E8245B">
        <w:rPr>
          <w:rFonts w:ascii="Times New Roman" w:eastAsia="Calibri" w:hAnsi="Times New Roman" w:cs="Times New Roman"/>
        </w:rPr>
        <w:t xml:space="preserve"> no other CMJ variables displayed a significant </w:t>
      </w:r>
      <w:r w:rsidR="00E8245B">
        <w:rPr>
          <w:rFonts w:ascii="Times New Roman" w:hAnsi="Times New Roman" w:cs="Times New Roman"/>
        </w:rPr>
        <w:t xml:space="preserve">Week </w:t>
      </w:r>
      <w:r w:rsidR="00E8245B" w:rsidRPr="008F5D8D">
        <w:rPr>
          <w:rFonts w:ascii="Times New Roman" w:eastAsia="Calibri" w:hAnsi="Times New Roman" w:cs="Times New Roman"/>
        </w:rPr>
        <w:t>×</w:t>
      </w:r>
      <w:r w:rsidR="00E8245B">
        <w:rPr>
          <w:rFonts w:ascii="Times New Roman" w:eastAsia="Calibri" w:hAnsi="Times New Roman" w:cs="Times New Roman"/>
        </w:rPr>
        <w:t xml:space="preserve"> Time interaction, including </w:t>
      </w:r>
      <w:proofErr w:type="spellStart"/>
      <w:r w:rsidR="00E8245B">
        <w:rPr>
          <w:rFonts w:ascii="Times New Roman" w:hAnsi="Times New Roman" w:cs="Times New Roman"/>
        </w:rPr>
        <w:t>ConcMF</w:t>
      </w:r>
      <w:proofErr w:type="spellEnd"/>
      <w:r w:rsidR="00DF0CA0">
        <w:rPr>
          <w:rFonts w:ascii="Times New Roman" w:hAnsi="Times New Roman" w:cs="Times New Roman"/>
        </w:rPr>
        <w:t xml:space="preserve"> (p = </w:t>
      </w:r>
      <w:r w:rsidR="00221ECA">
        <w:rPr>
          <w:rFonts w:ascii="Times New Roman" w:hAnsi="Times New Roman" w:cs="Times New Roman"/>
        </w:rPr>
        <w:t>0.070</w:t>
      </w:r>
      <w:r w:rsidR="00DF0CA0">
        <w:rPr>
          <w:rFonts w:ascii="Times New Roman" w:hAnsi="Times New Roman" w:cs="Times New Roman"/>
        </w:rPr>
        <w:t>)</w:t>
      </w:r>
      <w:r w:rsidR="00E8245B">
        <w:rPr>
          <w:rFonts w:ascii="Times New Roman" w:hAnsi="Times New Roman" w:cs="Times New Roman"/>
        </w:rPr>
        <w:t xml:space="preserve">, </w:t>
      </w:r>
      <w:proofErr w:type="spellStart"/>
      <w:r w:rsidR="00E8245B">
        <w:rPr>
          <w:rFonts w:ascii="Times New Roman" w:hAnsi="Times New Roman" w:cs="Times New Roman"/>
        </w:rPr>
        <w:t>ConcMP</w:t>
      </w:r>
      <w:proofErr w:type="spellEnd"/>
      <w:r w:rsidR="00DF0CA0">
        <w:rPr>
          <w:rFonts w:ascii="Times New Roman" w:hAnsi="Times New Roman" w:cs="Times New Roman"/>
        </w:rPr>
        <w:t xml:space="preserve"> (p = </w:t>
      </w:r>
      <w:r w:rsidR="00221ECA">
        <w:rPr>
          <w:rFonts w:ascii="Times New Roman" w:hAnsi="Times New Roman" w:cs="Times New Roman"/>
        </w:rPr>
        <w:t>0.057</w:t>
      </w:r>
      <w:r w:rsidR="00DF0CA0">
        <w:rPr>
          <w:rFonts w:ascii="Times New Roman" w:hAnsi="Times New Roman" w:cs="Times New Roman"/>
        </w:rPr>
        <w:t>)</w:t>
      </w:r>
      <w:r w:rsidR="00E8245B">
        <w:rPr>
          <w:rFonts w:ascii="Times New Roman" w:hAnsi="Times New Roman" w:cs="Times New Roman"/>
        </w:rPr>
        <w:t>, CT</w:t>
      </w:r>
      <w:r w:rsidR="00DF0CA0">
        <w:rPr>
          <w:rFonts w:ascii="Times New Roman" w:hAnsi="Times New Roman" w:cs="Times New Roman"/>
        </w:rPr>
        <w:t xml:space="preserve"> (p = </w:t>
      </w:r>
      <w:r w:rsidR="00221ECA">
        <w:rPr>
          <w:rFonts w:ascii="Times New Roman" w:hAnsi="Times New Roman" w:cs="Times New Roman"/>
        </w:rPr>
        <w:t>0.658</w:t>
      </w:r>
      <w:r w:rsidR="00DF0CA0">
        <w:rPr>
          <w:rFonts w:ascii="Times New Roman" w:hAnsi="Times New Roman" w:cs="Times New Roman"/>
        </w:rPr>
        <w:t>)</w:t>
      </w:r>
      <w:r w:rsidR="00E8245B">
        <w:rPr>
          <w:rFonts w:ascii="Times New Roman" w:hAnsi="Times New Roman" w:cs="Times New Roman"/>
        </w:rPr>
        <w:t xml:space="preserve">, </w:t>
      </w:r>
      <w:proofErr w:type="spellStart"/>
      <w:r w:rsidR="00E8245B">
        <w:rPr>
          <w:rFonts w:ascii="Times New Roman" w:hAnsi="Times New Roman" w:cs="Times New Roman"/>
        </w:rPr>
        <w:t>EccMBF</w:t>
      </w:r>
      <w:proofErr w:type="spellEnd"/>
      <w:r w:rsidR="00DF0CA0">
        <w:rPr>
          <w:rFonts w:ascii="Times New Roman" w:hAnsi="Times New Roman" w:cs="Times New Roman"/>
        </w:rPr>
        <w:t xml:space="preserve"> (p = </w:t>
      </w:r>
      <w:r w:rsidR="00221ECA">
        <w:rPr>
          <w:rFonts w:ascii="Times New Roman" w:hAnsi="Times New Roman" w:cs="Times New Roman"/>
        </w:rPr>
        <w:t>0.824</w:t>
      </w:r>
      <w:r w:rsidR="00DF0CA0">
        <w:rPr>
          <w:rFonts w:ascii="Times New Roman" w:hAnsi="Times New Roman" w:cs="Times New Roman"/>
        </w:rPr>
        <w:t>)</w:t>
      </w:r>
      <w:r w:rsidR="00E8245B">
        <w:rPr>
          <w:rFonts w:ascii="Times New Roman" w:hAnsi="Times New Roman" w:cs="Times New Roman"/>
        </w:rPr>
        <w:t xml:space="preserve">, </w:t>
      </w:r>
      <w:proofErr w:type="spellStart"/>
      <w:r w:rsidR="00E8245B">
        <w:rPr>
          <w:rFonts w:ascii="Times New Roman" w:hAnsi="Times New Roman" w:cs="Times New Roman"/>
        </w:rPr>
        <w:t>EccMDecF</w:t>
      </w:r>
      <w:proofErr w:type="spellEnd"/>
      <w:r w:rsidR="00DF0CA0">
        <w:rPr>
          <w:rFonts w:ascii="Times New Roman" w:hAnsi="Times New Roman" w:cs="Times New Roman"/>
        </w:rPr>
        <w:t xml:space="preserve"> (p = </w:t>
      </w:r>
      <w:r w:rsidR="00221ECA">
        <w:rPr>
          <w:rFonts w:ascii="Times New Roman" w:hAnsi="Times New Roman" w:cs="Times New Roman"/>
        </w:rPr>
        <w:t>0.171</w:t>
      </w:r>
      <w:r w:rsidR="00DF0CA0">
        <w:rPr>
          <w:rFonts w:ascii="Times New Roman" w:hAnsi="Times New Roman" w:cs="Times New Roman"/>
        </w:rPr>
        <w:t>)</w:t>
      </w:r>
      <w:r w:rsidR="00E8245B">
        <w:rPr>
          <w:rFonts w:ascii="Times New Roman" w:hAnsi="Times New Roman" w:cs="Times New Roman"/>
        </w:rPr>
        <w:t xml:space="preserve">, </w:t>
      </w:r>
      <w:proofErr w:type="spellStart"/>
      <w:r w:rsidR="00221ECA">
        <w:rPr>
          <w:rFonts w:ascii="Times New Roman" w:hAnsi="Times New Roman" w:cs="Times New Roman"/>
        </w:rPr>
        <w:t>EccMF</w:t>
      </w:r>
      <w:proofErr w:type="spellEnd"/>
      <w:r w:rsidR="00221ECA">
        <w:rPr>
          <w:rFonts w:ascii="Times New Roman" w:hAnsi="Times New Roman" w:cs="Times New Roman"/>
        </w:rPr>
        <w:t xml:space="preserve"> (p = 0.070), </w:t>
      </w:r>
      <w:proofErr w:type="spellStart"/>
      <w:r w:rsidR="00E8245B">
        <w:rPr>
          <w:rFonts w:ascii="Times New Roman" w:hAnsi="Times New Roman" w:cs="Times New Roman"/>
        </w:rPr>
        <w:t>EccMP</w:t>
      </w:r>
      <w:proofErr w:type="spellEnd"/>
      <w:r w:rsidR="00DF0CA0">
        <w:rPr>
          <w:rFonts w:ascii="Times New Roman" w:hAnsi="Times New Roman" w:cs="Times New Roman"/>
        </w:rPr>
        <w:t xml:space="preserve"> (p = </w:t>
      </w:r>
      <w:r w:rsidR="00221ECA">
        <w:rPr>
          <w:rFonts w:ascii="Times New Roman" w:hAnsi="Times New Roman" w:cs="Times New Roman"/>
        </w:rPr>
        <w:t>0.144</w:t>
      </w:r>
      <w:r w:rsidR="00DF0CA0">
        <w:rPr>
          <w:rFonts w:ascii="Times New Roman" w:hAnsi="Times New Roman" w:cs="Times New Roman"/>
        </w:rPr>
        <w:t>)</w:t>
      </w:r>
      <w:r w:rsidR="00E8245B">
        <w:rPr>
          <w:rFonts w:ascii="Times New Roman" w:hAnsi="Times New Roman" w:cs="Times New Roman"/>
        </w:rPr>
        <w:t xml:space="preserve">, </w:t>
      </w:r>
      <w:proofErr w:type="spellStart"/>
      <w:r w:rsidR="00E8245B">
        <w:rPr>
          <w:rFonts w:ascii="Times New Roman" w:hAnsi="Times New Roman" w:cs="Times New Roman"/>
        </w:rPr>
        <w:t>EccPF</w:t>
      </w:r>
      <w:proofErr w:type="spellEnd"/>
      <w:r w:rsidR="00DF0CA0">
        <w:rPr>
          <w:rFonts w:ascii="Times New Roman" w:hAnsi="Times New Roman" w:cs="Times New Roman"/>
        </w:rPr>
        <w:t xml:space="preserve"> (p = </w:t>
      </w:r>
      <w:r w:rsidR="00221ECA">
        <w:rPr>
          <w:rFonts w:ascii="Times New Roman" w:hAnsi="Times New Roman" w:cs="Times New Roman"/>
        </w:rPr>
        <w:t>0.073</w:t>
      </w:r>
      <w:r w:rsidR="00DF0CA0">
        <w:rPr>
          <w:rFonts w:ascii="Times New Roman" w:hAnsi="Times New Roman" w:cs="Times New Roman"/>
        </w:rPr>
        <w:t>)</w:t>
      </w:r>
      <w:r w:rsidR="00E8245B">
        <w:rPr>
          <w:rFonts w:ascii="Times New Roman" w:hAnsi="Times New Roman" w:cs="Times New Roman"/>
        </w:rPr>
        <w:t xml:space="preserve">, </w:t>
      </w:r>
      <w:proofErr w:type="spellStart"/>
      <w:r w:rsidR="00E8245B">
        <w:rPr>
          <w:rFonts w:ascii="Times New Roman" w:hAnsi="Times New Roman" w:cs="Times New Roman"/>
        </w:rPr>
        <w:t>EccPP</w:t>
      </w:r>
      <w:proofErr w:type="spellEnd"/>
      <w:r w:rsidR="00DF0CA0">
        <w:rPr>
          <w:rFonts w:ascii="Times New Roman" w:hAnsi="Times New Roman" w:cs="Times New Roman"/>
        </w:rPr>
        <w:t xml:space="preserve"> (p = </w:t>
      </w:r>
      <w:r w:rsidR="00221ECA">
        <w:rPr>
          <w:rFonts w:ascii="Times New Roman" w:hAnsi="Times New Roman" w:cs="Times New Roman"/>
        </w:rPr>
        <w:t>0.416</w:t>
      </w:r>
      <w:r w:rsidR="00DF0CA0">
        <w:rPr>
          <w:rFonts w:ascii="Times New Roman" w:hAnsi="Times New Roman" w:cs="Times New Roman"/>
        </w:rPr>
        <w:t>)</w:t>
      </w:r>
      <w:r w:rsidR="00E8245B">
        <w:rPr>
          <w:rFonts w:ascii="Times New Roman" w:hAnsi="Times New Roman" w:cs="Times New Roman"/>
        </w:rPr>
        <w:t>, FT</w:t>
      </w:r>
      <w:r w:rsidR="00DF0CA0">
        <w:rPr>
          <w:rFonts w:ascii="Times New Roman" w:hAnsi="Times New Roman" w:cs="Times New Roman"/>
        </w:rPr>
        <w:t xml:space="preserve"> (p = </w:t>
      </w:r>
      <w:r w:rsidR="00221ECA">
        <w:rPr>
          <w:rFonts w:ascii="Times New Roman" w:hAnsi="Times New Roman" w:cs="Times New Roman"/>
        </w:rPr>
        <w:t>0.289</w:t>
      </w:r>
      <w:r w:rsidR="00DF0CA0">
        <w:rPr>
          <w:rFonts w:ascii="Times New Roman" w:hAnsi="Times New Roman" w:cs="Times New Roman"/>
        </w:rPr>
        <w:t>),</w:t>
      </w:r>
      <w:r w:rsidR="00E8245B">
        <w:rPr>
          <w:rFonts w:ascii="Times New Roman" w:hAnsi="Times New Roman" w:cs="Times New Roman"/>
        </w:rPr>
        <w:t xml:space="preserve"> FT:CT</w:t>
      </w:r>
      <w:r w:rsidR="00DF0CA0">
        <w:rPr>
          <w:rFonts w:ascii="Times New Roman" w:hAnsi="Times New Roman" w:cs="Times New Roman"/>
        </w:rPr>
        <w:t xml:space="preserve"> (p = </w:t>
      </w:r>
      <w:r w:rsidR="00221ECA">
        <w:rPr>
          <w:rFonts w:ascii="Times New Roman" w:hAnsi="Times New Roman" w:cs="Times New Roman"/>
        </w:rPr>
        <w:t>0.999</w:t>
      </w:r>
      <w:r w:rsidR="00DF0CA0">
        <w:rPr>
          <w:rFonts w:ascii="Times New Roman" w:hAnsi="Times New Roman" w:cs="Times New Roman"/>
        </w:rPr>
        <w:t>),</w:t>
      </w:r>
      <w:r w:rsidR="00E8245B">
        <w:rPr>
          <w:rFonts w:ascii="Times New Roman" w:hAnsi="Times New Roman" w:cs="Times New Roman"/>
        </w:rPr>
        <w:t xml:space="preserve"> F@0V</w:t>
      </w:r>
      <w:r w:rsidR="00DF0CA0">
        <w:rPr>
          <w:rFonts w:ascii="Times New Roman" w:hAnsi="Times New Roman" w:cs="Times New Roman"/>
        </w:rPr>
        <w:t xml:space="preserve"> (p = </w:t>
      </w:r>
      <w:r w:rsidR="00221ECA">
        <w:rPr>
          <w:rFonts w:ascii="Times New Roman" w:hAnsi="Times New Roman" w:cs="Times New Roman"/>
        </w:rPr>
        <w:t>0.075</w:t>
      </w:r>
      <w:r w:rsidR="00DF0CA0">
        <w:rPr>
          <w:rFonts w:ascii="Times New Roman" w:hAnsi="Times New Roman" w:cs="Times New Roman"/>
        </w:rPr>
        <w:t>),</w:t>
      </w:r>
      <w:r w:rsidR="00E8245B">
        <w:rPr>
          <w:rFonts w:ascii="Times New Roman" w:hAnsi="Times New Roman" w:cs="Times New Roman"/>
        </w:rPr>
        <w:t xml:space="preserve"> JH</w:t>
      </w:r>
      <w:r w:rsidR="00DF0CA0">
        <w:rPr>
          <w:rFonts w:ascii="Times New Roman" w:hAnsi="Times New Roman" w:cs="Times New Roman"/>
        </w:rPr>
        <w:t xml:space="preserve"> (p = </w:t>
      </w:r>
      <w:r w:rsidR="00221ECA">
        <w:rPr>
          <w:rFonts w:ascii="Times New Roman" w:hAnsi="Times New Roman" w:cs="Times New Roman"/>
        </w:rPr>
        <w:t>0.290</w:t>
      </w:r>
      <w:r w:rsidR="00DF0CA0">
        <w:rPr>
          <w:rFonts w:ascii="Times New Roman" w:hAnsi="Times New Roman" w:cs="Times New Roman"/>
        </w:rPr>
        <w:t>),</w:t>
      </w:r>
      <w:r w:rsidR="00E8245B">
        <w:rPr>
          <w:rFonts w:ascii="Times New Roman" w:hAnsi="Times New Roman" w:cs="Times New Roman"/>
        </w:rPr>
        <w:t xml:space="preserve"> PP</w:t>
      </w:r>
      <w:r w:rsidR="00DF0CA0">
        <w:rPr>
          <w:rFonts w:ascii="Times New Roman" w:hAnsi="Times New Roman" w:cs="Times New Roman"/>
        </w:rPr>
        <w:t xml:space="preserve"> (p = </w:t>
      </w:r>
      <w:r w:rsidR="00221ECA">
        <w:rPr>
          <w:rFonts w:ascii="Times New Roman" w:hAnsi="Times New Roman" w:cs="Times New Roman"/>
        </w:rPr>
        <w:t>0.087</w:t>
      </w:r>
      <w:r w:rsidR="00DF0CA0">
        <w:rPr>
          <w:rFonts w:ascii="Times New Roman" w:hAnsi="Times New Roman" w:cs="Times New Roman"/>
        </w:rPr>
        <w:t>),</w:t>
      </w:r>
      <w:r w:rsidR="00E8245B">
        <w:rPr>
          <w:rFonts w:ascii="Times New Roman" w:hAnsi="Times New Roman" w:cs="Times New Roman"/>
        </w:rPr>
        <w:t xml:space="preserve"> </w:t>
      </w:r>
      <w:proofErr w:type="spellStart"/>
      <w:r w:rsidR="00E8245B">
        <w:rPr>
          <w:rFonts w:ascii="Times New Roman" w:hAnsi="Times New Roman" w:cs="Times New Roman"/>
        </w:rPr>
        <w:t>RSI</w:t>
      </w:r>
      <w:r w:rsidR="00E8245B">
        <w:rPr>
          <w:rFonts w:ascii="Times New Roman" w:hAnsi="Times New Roman" w:cs="Times New Roman"/>
          <w:vertAlign w:val="subscript"/>
        </w:rPr>
        <w:t>Mod</w:t>
      </w:r>
      <w:proofErr w:type="spellEnd"/>
      <w:r w:rsidR="00DF0CA0">
        <w:rPr>
          <w:rFonts w:ascii="Times New Roman" w:hAnsi="Times New Roman" w:cs="Times New Roman"/>
        </w:rPr>
        <w:t xml:space="preserve"> (p = </w:t>
      </w:r>
      <w:r w:rsidR="00221ECA">
        <w:rPr>
          <w:rFonts w:ascii="Times New Roman" w:hAnsi="Times New Roman" w:cs="Times New Roman"/>
        </w:rPr>
        <w:t>0.476</w:t>
      </w:r>
      <w:r w:rsidR="00DF0CA0">
        <w:rPr>
          <w:rFonts w:ascii="Times New Roman" w:hAnsi="Times New Roman" w:cs="Times New Roman"/>
        </w:rPr>
        <w:t>)</w:t>
      </w:r>
      <w:r w:rsidR="00E8245B">
        <w:rPr>
          <w:rFonts w:ascii="Times New Roman" w:eastAsia="Calibri" w:hAnsi="Times New Roman" w:cs="Times New Roman"/>
        </w:rPr>
        <w:t>, and Body Mass</w:t>
      </w:r>
      <w:r w:rsidR="00DF0CA0">
        <w:rPr>
          <w:rFonts w:ascii="Times New Roman" w:hAnsi="Times New Roman" w:cs="Times New Roman"/>
        </w:rPr>
        <w:t xml:space="preserve"> (p = </w:t>
      </w:r>
      <w:r w:rsidR="00221ECA">
        <w:rPr>
          <w:rFonts w:ascii="Times New Roman" w:hAnsi="Times New Roman" w:cs="Times New Roman"/>
        </w:rPr>
        <w:t>0.063</w:t>
      </w:r>
      <w:r w:rsidR="00DF0CA0">
        <w:rPr>
          <w:rFonts w:ascii="Times New Roman" w:hAnsi="Times New Roman" w:cs="Times New Roman"/>
        </w:rPr>
        <w:t>)</w:t>
      </w:r>
      <w:r w:rsidR="00E8245B">
        <w:rPr>
          <w:rFonts w:ascii="Times New Roman" w:eastAsia="Calibri" w:hAnsi="Times New Roman" w:cs="Times New Roman"/>
        </w:rPr>
        <w:t xml:space="preserve">. </w:t>
      </w:r>
    </w:p>
    <w:p w14:paraId="41A04316" w14:textId="17339B62" w:rsidR="00E56CDC" w:rsidRDefault="00E56CDC" w:rsidP="00E56CDC">
      <w:pPr>
        <w:spacing w:line="480" w:lineRule="auto"/>
        <w:jc w:val="center"/>
        <w:rPr>
          <w:rFonts w:ascii="Times New Roman" w:eastAsia="Calibri" w:hAnsi="Times New Roman" w:cs="Times New Roman"/>
        </w:rPr>
      </w:pPr>
      <w:r>
        <w:rPr>
          <w:rFonts w:ascii="Times New Roman" w:hAnsi="Times New Roman" w:cs="Times New Roman"/>
          <w:noProof/>
        </w:rPr>
        <w:drawing>
          <wp:inline distT="0" distB="0" distL="0" distR="0" wp14:anchorId="2C9FB45C" wp14:editId="2B3B5381">
            <wp:extent cx="3858089" cy="4474723"/>
            <wp:effectExtent l="0" t="0" r="3175" b="0"/>
            <wp:docPr id="24" name="Picture 24" descr="A picture containing text, pia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piano&#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898739" cy="4521870"/>
                    </a:xfrm>
                    <a:prstGeom prst="rect">
                      <a:avLst/>
                    </a:prstGeom>
                  </pic:spPr>
                </pic:pic>
              </a:graphicData>
            </a:graphic>
          </wp:inline>
        </w:drawing>
      </w:r>
    </w:p>
    <w:p w14:paraId="228C2583" w14:textId="31DCCD5A" w:rsidR="00E56CDC" w:rsidRDefault="00311B05" w:rsidP="00E56CDC">
      <w:pPr>
        <w:spacing w:line="480" w:lineRule="auto"/>
        <w:rPr>
          <w:rFonts w:ascii="Times New Roman" w:eastAsia="Calibri" w:hAnsi="Times New Roman" w:cs="Times New Roman"/>
        </w:rPr>
      </w:pPr>
      <w:r>
        <w:rPr>
          <w:noProof/>
        </w:rPr>
        <mc:AlternateContent>
          <mc:Choice Requires="wps">
            <w:drawing>
              <wp:anchor distT="0" distB="0" distL="114300" distR="114300" simplePos="0" relativeHeight="251710464" behindDoc="0" locked="0" layoutInCell="1" allowOverlap="1" wp14:anchorId="78CED976" wp14:editId="18341A76">
                <wp:simplePos x="0" y="0"/>
                <wp:positionH relativeFrom="column">
                  <wp:posOffset>680126</wp:posOffset>
                </wp:positionH>
                <wp:positionV relativeFrom="paragraph">
                  <wp:posOffset>176827</wp:posOffset>
                </wp:positionV>
                <wp:extent cx="4591050" cy="635"/>
                <wp:effectExtent l="0" t="0" r="6350" b="12065"/>
                <wp:wrapTopAndBottom/>
                <wp:docPr id="64" name="Text Box 64"/>
                <wp:cNvGraphicFramePr/>
                <a:graphic xmlns:a="http://schemas.openxmlformats.org/drawingml/2006/main">
                  <a:graphicData uri="http://schemas.microsoft.com/office/word/2010/wordprocessingShape">
                    <wps:wsp>
                      <wps:cNvSpPr txBox="1"/>
                      <wps:spPr>
                        <a:xfrm>
                          <a:off x="0" y="0"/>
                          <a:ext cx="4591050" cy="635"/>
                        </a:xfrm>
                        <a:prstGeom prst="rect">
                          <a:avLst/>
                        </a:prstGeom>
                        <a:solidFill>
                          <a:prstClr val="white"/>
                        </a:solidFill>
                        <a:ln>
                          <a:noFill/>
                        </a:ln>
                      </wps:spPr>
                      <wps:txbx>
                        <w:txbxContent>
                          <w:p w14:paraId="1BF785FF" w14:textId="62025841" w:rsidR="00311B05" w:rsidRPr="00311B05" w:rsidRDefault="00311B05" w:rsidP="00311B05">
                            <w:pPr>
                              <w:pStyle w:val="Caption"/>
                              <w:jc w:val="center"/>
                              <w:rPr>
                                <w:rFonts w:ascii="Times New Roman" w:hAnsi="Times New Roman"/>
                                <w:sz w:val="20"/>
                                <w:szCs w:val="20"/>
                              </w:rPr>
                            </w:pPr>
                            <w:bookmarkStart w:id="74" w:name="_Toc100670673"/>
                            <w:r w:rsidRPr="00311B05">
                              <w:rPr>
                                <w:rFonts w:ascii="Times New Roman" w:hAnsi="Times New Roman"/>
                                <w:sz w:val="20"/>
                                <w:szCs w:val="20"/>
                              </w:rPr>
                              <w:t xml:space="preserve">Figure </w:t>
                            </w:r>
                            <w:r w:rsidRPr="00311B05">
                              <w:rPr>
                                <w:rFonts w:ascii="Times New Roman" w:hAnsi="Times New Roman"/>
                                <w:sz w:val="20"/>
                                <w:szCs w:val="20"/>
                              </w:rPr>
                              <w:fldChar w:fldCharType="begin"/>
                            </w:r>
                            <w:r w:rsidRPr="00311B05">
                              <w:rPr>
                                <w:rFonts w:ascii="Times New Roman" w:hAnsi="Times New Roman"/>
                                <w:sz w:val="20"/>
                                <w:szCs w:val="20"/>
                              </w:rPr>
                              <w:instrText xml:space="preserve"> SEQ Figure \* ARABIC </w:instrText>
                            </w:r>
                            <w:r w:rsidRPr="00311B05">
                              <w:rPr>
                                <w:rFonts w:ascii="Times New Roman" w:hAnsi="Times New Roman"/>
                                <w:sz w:val="20"/>
                                <w:szCs w:val="20"/>
                              </w:rPr>
                              <w:fldChar w:fldCharType="separate"/>
                            </w:r>
                            <w:r w:rsidR="002101E0">
                              <w:rPr>
                                <w:rFonts w:ascii="Times New Roman" w:hAnsi="Times New Roman"/>
                                <w:noProof/>
                                <w:sz w:val="20"/>
                                <w:szCs w:val="20"/>
                              </w:rPr>
                              <w:t>9</w:t>
                            </w:r>
                            <w:r w:rsidRPr="00311B05">
                              <w:rPr>
                                <w:rFonts w:ascii="Times New Roman" w:hAnsi="Times New Roman"/>
                                <w:sz w:val="20"/>
                                <w:szCs w:val="20"/>
                              </w:rPr>
                              <w:fldChar w:fldCharType="end"/>
                            </w:r>
                            <w:r w:rsidRPr="00311B05">
                              <w:rPr>
                                <w:rFonts w:ascii="Times New Roman" w:hAnsi="Times New Roman"/>
                                <w:sz w:val="20"/>
                                <w:szCs w:val="20"/>
                              </w:rPr>
                              <w:t>. Differences in Countermovement Jump Performance Between Weeks</w:t>
                            </w:r>
                            <w:bookmarkEnd w:id="74"/>
                          </w:p>
                          <w:p w14:paraId="75B63542" w14:textId="6A2623FA" w:rsidR="00311B05" w:rsidRPr="00311B05" w:rsidRDefault="00311B05" w:rsidP="00311B05">
                            <w:pPr>
                              <w:jc w:val="center"/>
                              <w:rPr>
                                <w:rFonts w:ascii="Times New Roman" w:hAnsi="Times New Roman" w:cs="Times New Roman"/>
                                <w:sz w:val="20"/>
                                <w:szCs w:val="20"/>
                                <w:lang w:bidi="en-US"/>
                              </w:rPr>
                            </w:pPr>
                          </w:p>
                          <w:p w14:paraId="543F2987" w14:textId="4BABF3C4" w:rsidR="00311B05" w:rsidRPr="00311B05" w:rsidRDefault="00311B05" w:rsidP="00311B05">
                            <w:pPr>
                              <w:jc w:val="center"/>
                              <w:rPr>
                                <w:rFonts w:ascii="Times New Roman" w:hAnsi="Times New Roman" w:cs="Times New Roman"/>
                                <w:sz w:val="20"/>
                                <w:szCs w:val="20"/>
                                <w:lang w:bidi="en-US"/>
                              </w:rPr>
                            </w:pPr>
                            <w:r>
                              <w:rPr>
                                <w:rFonts w:ascii="Times New Roman" w:hAnsi="Times New Roman" w:cs="Times New Roman"/>
                                <w:sz w:val="20"/>
                                <w:szCs w:val="20"/>
                                <w:lang w:bidi="en-US"/>
                              </w:rPr>
                              <w:t>Note: Mean presented as Mean ± Standard Deviation; Pre = Pre-Practice; Post = Post-Practice; * = Significant difference between weeks, set at p ≤ 0.05.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CED976" id="Text Box 64" o:spid="_x0000_s1034" type="#_x0000_t202" style="position:absolute;margin-left:53.55pt;margin-top:13.9pt;width:361.5pt;height:.0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" stroked="f">
                <v:textbox style="mso-fit-shape-to-text:t" inset="0,0,0,0">
                  <w:txbxContent>
                    <w:p w14:paraId="1BF785FF" w14:textId="62025841" w:rsidR="00311B05" w:rsidRPr="00311B05" w:rsidRDefault="00311B05" w:rsidP="00311B05">
                      <w:pPr>
                        <w:pStyle w:val="Caption"/>
                        <w:jc w:val="center"/>
                        <w:rPr>
                          <w:rFonts w:ascii="Times New Roman" w:hAnsi="Times New Roman"/>
                          <w:sz w:val="20"/>
                          <w:szCs w:val="20"/>
                        </w:rPr>
                      </w:pPr>
                      <w:bookmarkStart w:id="83" w:name="_Toc100670673"/>
                      <w:r w:rsidRPr="00311B05">
                        <w:rPr>
                          <w:rFonts w:ascii="Times New Roman" w:hAnsi="Times New Roman"/>
                          <w:sz w:val="20"/>
                          <w:szCs w:val="20"/>
                        </w:rPr>
                        <w:t xml:space="preserve">Figure </w:t>
                      </w:r>
                      <w:r w:rsidRPr="00311B05">
                        <w:rPr>
                          <w:rFonts w:ascii="Times New Roman" w:hAnsi="Times New Roman"/>
                          <w:sz w:val="20"/>
                          <w:szCs w:val="20"/>
                        </w:rPr>
                        <w:fldChar w:fldCharType="begin"/>
                      </w:r>
                      <w:r w:rsidRPr="00311B05">
                        <w:rPr>
                          <w:rFonts w:ascii="Times New Roman" w:hAnsi="Times New Roman"/>
                          <w:sz w:val="20"/>
                          <w:szCs w:val="20"/>
                        </w:rPr>
                        <w:instrText xml:space="preserve"> SEQ Figure \* ARABIC </w:instrText>
                      </w:r>
                      <w:r w:rsidRPr="00311B05">
                        <w:rPr>
                          <w:rFonts w:ascii="Times New Roman" w:hAnsi="Times New Roman"/>
                          <w:sz w:val="20"/>
                          <w:szCs w:val="20"/>
                        </w:rPr>
                        <w:fldChar w:fldCharType="separate"/>
                      </w:r>
                      <w:r w:rsidR="002101E0">
                        <w:rPr>
                          <w:rFonts w:ascii="Times New Roman" w:hAnsi="Times New Roman"/>
                          <w:noProof/>
                          <w:sz w:val="20"/>
                          <w:szCs w:val="20"/>
                        </w:rPr>
                        <w:t>9</w:t>
                      </w:r>
                      <w:r w:rsidRPr="00311B05">
                        <w:rPr>
                          <w:rFonts w:ascii="Times New Roman" w:hAnsi="Times New Roman"/>
                          <w:sz w:val="20"/>
                          <w:szCs w:val="20"/>
                        </w:rPr>
                        <w:fldChar w:fldCharType="end"/>
                      </w:r>
                      <w:r w:rsidRPr="00311B05">
                        <w:rPr>
                          <w:rFonts w:ascii="Times New Roman" w:hAnsi="Times New Roman"/>
                          <w:sz w:val="20"/>
                          <w:szCs w:val="20"/>
                        </w:rPr>
                        <w:t>. Differences in Countermovement Jump Performance Between Weeks</w:t>
                      </w:r>
                      <w:bookmarkEnd w:id="83"/>
                    </w:p>
                    <w:p w14:paraId="75B63542" w14:textId="6A2623FA" w:rsidR="00311B05" w:rsidRPr="00311B05" w:rsidRDefault="00311B05" w:rsidP="00311B05">
                      <w:pPr>
                        <w:jc w:val="center"/>
                        <w:rPr>
                          <w:rFonts w:ascii="Times New Roman" w:hAnsi="Times New Roman" w:cs="Times New Roman"/>
                          <w:sz w:val="20"/>
                          <w:szCs w:val="20"/>
                          <w:lang w:bidi="en-US"/>
                        </w:rPr>
                      </w:pPr>
                    </w:p>
                    <w:p w14:paraId="543F2987" w14:textId="4BABF3C4" w:rsidR="00311B05" w:rsidRPr="00311B05" w:rsidRDefault="00311B05" w:rsidP="00311B05">
                      <w:pPr>
                        <w:jc w:val="center"/>
                        <w:rPr>
                          <w:rFonts w:ascii="Times New Roman" w:hAnsi="Times New Roman" w:cs="Times New Roman"/>
                          <w:sz w:val="20"/>
                          <w:szCs w:val="20"/>
                          <w:lang w:bidi="en-US"/>
                        </w:rPr>
                      </w:pPr>
                      <w:r>
                        <w:rPr>
                          <w:rFonts w:ascii="Times New Roman" w:hAnsi="Times New Roman" w:cs="Times New Roman"/>
                          <w:sz w:val="20"/>
                          <w:szCs w:val="20"/>
                          <w:lang w:bidi="en-US"/>
                        </w:rPr>
                        <w:t>Note: Mean presented as Mean ± Standard Deviation; Pre = Pre-Practice; Post = Post-Practice; * = Significant difference between weeks, set at p ≤ 0.05.</w:t>
                      </w:r>
                    </w:p>
                  </w:txbxContent>
                </v:textbox>
                <w10:wrap type="topAndBottom"/>
              </v:shape>
            </w:pict>
          </mc:Fallback>
        </mc:AlternateContent>
      </w:r>
    </w:p>
    <w:p w14:paraId="7624FC11" w14:textId="77777777" w:rsidR="00E56CDC" w:rsidRPr="0015172F" w:rsidRDefault="00E56CDC" w:rsidP="00E56CDC">
      <w:pPr>
        <w:spacing w:line="480" w:lineRule="auto"/>
        <w:rPr>
          <w:rFonts w:ascii="Times New Roman" w:eastAsia="Calibri" w:hAnsi="Times New Roman" w:cs="Times New Roman"/>
        </w:rPr>
      </w:pPr>
    </w:p>
    <w:p w14:paraId="534B9503" w14:textId="45A41B5E" w:rsidR="004F5C80" w:rsidRPr="004F5C80" w:rsidRDefault="004F5C80" w:rsidP="004F5C80">
      <w:pPr>
        <w:pStyle w:val="Caption"/>
        <w:keepNext/>
        <w:rPr>
          <w:rFonts w:ascii="Times New Roman" w:hAnsi="Times New Roman"/>
        </w:rPr>
      </w:pPr>
      <w:bookmarkStart w:id="75" w:name="_Toc93726099"/>
      <w:r w:rsidRPr="004F5C80">
        <w:rPr>
          <w:rFonts w:ascii="Times New Roman" w:hAnsi="Times New Roman"/>
        </w:rPr>
        <w:t xml:space="preserve">Table </w:t>
      </w:r>
      <w:r w:rsidRPr="004F5C80">
        <w:rPr>
          <w:rFonts w:ascii="Times New Roman" w:hAnsi="Times New Roman"/>
        </w:rPr>
        <w:fldChar w:fldCharType="begin"/>
      </w:r>
      <w:r w:rsidRPr="004F5C80">
        <w:rPr>
          <w:rFonts w:ascii="Times New Roman" w:hAnsi="Times New Roman"/>
        </w:rPr>
        <w:instrText xml:space="preserve"> SEQ Table \* ARABIC </w:instrText>
      </w:r>
      <w:r w:rsidRPr="004F5C80">
        <w:rPr>
          <w:rFonts w:ascii="Times New Roman" w:hAnsi="Times New Roman"/>
        </w:rPr>
        <w:fldChar w:fldCharType="separate"/>
      </w:r>
      <w:r w:rsidR="002101E0">
        <w:rPr>
          <w:rFonts w:ascii="Times New Roman" w:hAnsi="Times New Roman"/>
          <w:noProof/>
        </w:rPr>
        <w:t>3</w:t>
      </w:r>
      <w:r w:rsidRPr="004F5C80">
        <w:rPr>
          <w:rFonts w:ascii="Times New Roman" w:hAnsi="Times New Roman"/>
        </w:rPr>
        <w:fldChar w:fldCharType="end"/>
      </w:r>
      <w:r w:rsidRPr="004F5C80">
        <w:rPr>
          <w:rFonts w:ascii="Times New Roman" w:hAnsi="Times New Roman"/>
        </w:rPr>
        <w:t>. Countermovement Jump Descriptive Statistics.</w:t>
      </w:r>
      <w:bookmarkEnd w:id="75"/>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9"/>
        <w:gridCol w:w="1074"/>
        <w:gridCol w:w="1142"/>
        <w:gridCol w:w="1236"/>
        <w:gridCol w:w="1138"/>
        <w:gridCol w:w="876"/>
        <w:gridCol w:w="921"/>
        <w:gridCol w:w="768"/>
        <w:gridCol w:w="856"/>
      </w:tblGrid>
      <w:tr w:rsidR="00094FFC" w:rsidRPr="003E1C9A" w14:paraId="728A67F6" w14:textId="27FB0CE7" w:rsidTr="004F5C80">
        <w:trPr>
          <w:trHeight w:val="471"/>
          <w:jc w:val="center"/>
        </w:trPr>
        <w:tc>
          <w:tcPr>
            <w:tcW w:w="721" w:type="pct"/>
            <w:tcBorders>
              <w:top w:val="single" w:sz="12" w:space="0" w:color="auto"/>
            </w:tcBorders>
            <w:noWrap/>
            <w:vAlign w:val="center"/>
            <w:hideMark/>
          </w:tcPr>
          <w:p w14:paraId="45B9E50B" w14:textId="77777777" w:rsidR="00D810AE" w:rsidRPr="003E1C9A" w:rsidRDefault="00D810AE" w:rsidP="00094FFC">
            <w:pPr>
              <w:adjustRightInd w:val="0"/>
              <w:ind w:firstLine="720"/>
              <w:jc w:val="center"/>
              <w:rPr>
                <w:rFonts w:ascii="Times New Roman" w:hAnsi="Times New Roman" w:cs="Times New Roman"/>
                <w:sz w:val="20"/>
                <w:szCs w:val="20"/>
              </w:rPr>
            </w:pPr>
          </w:p>
        </w:tc>
        <w:tc>
          <w:tcPr>
            <w:tcW w:w="1184" w:type="pct"/>
            <w:gridSpan w:val="2"/>
            <w:tcBorders>
              <w:top w:val="single" w:sz="12" w:space="0" w:color="auto"/>
            </w:tcBorders>
            <w:noWrap/>
            <w:vAlign w:val="center"/>
            <w:hideMark/>
          </w:tcPr>
          <w:p w14:paraId="6B24811B" w14:textId="77777777"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sz w:val="20"/>
                <w:szCs w:val="20"/>
              </w:rPr>
              <w:t>Week 1</w:t>
            </w:r>
          </w:p>
        </w:tc>
        <w:tc>
          <w:tcPr>
            <w:tcW w:w="1268" w:type="pct"/>
            <w:gridSpan w:val="2"/>
            <w:tcBorders>
              <w:top w:val="single" w:sz="12" w:space="0" w:color="auto"/>
            </w:tcBorders>
            <w:vAlign w:val="center"/>
          </w:tcPr>
          <w:p w14:paraId="0DAFDFE1" w14:textId="66AFBC22" w:rsidR="00D810AE" w:rsidRPr="003E1C9A"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Week 4</w:t>
            </w:r>
          </w:p>
        </w:tc>
        <w:tc>
          <w:tcPr>
            <w:tcW w:w="960" w:type="pct"/>
            <w:gridSpan w:val="2"/>
            <w:tcBorders>
              <w:top w:val="single" w:sz="12" w:space="0" w:color="auto"/>
              <w:left w:val="nil"/>
            </w:tcBorders>
            <w:noWrap/>
            <w:vAlign w:val="center"/>
            <w:hideMark/>
          </w:tcPr>
          <w:p w14:paraId="5F90FC12" w14:textId="13DE29B6" w:rsidR="00D810AE" w:rsidRPr="00094FFC" w:rsidRDefault="00094FFC" w:rsidP="00094FFC">
            <w:pPr>
              <w:adjustRightInd w:val="0"/>
              <w:jc w:val="center"/>
              <w:rPr>
                <w:rFonts w:ascii="Times New Roman" w:hAnsi="Times New Roman" w:cs="Times New Roman"/>
                <w:sz w:val="20"/>
                <w:szCs w:val="20"/>
              </w:rPr>
            </w:pPr>
            <w:r>
              <w:rPr>
                <w:rFonts w:ascii="Times New Roman" w:hAnsi="Times New Roman" w:cs="Times New Roman"/>
                <w:sz w:val="20"/>
                <w:szCs w:val="20"/>
              </w:rPr>
              <w:t>Pre to Post Effect (</w:t>
            </w:r>
            <w:r>
              <w:rPr>
                <w:rFonts w:ascii="Times New Roman" w:hAnsi="Times New Roman" w:cs="Times New Roman"/>
                <w:i/>
                <w:iCs/>
                <w:sz w:val="20"/>
                <w:szCs w:val="20"/>
              </w:rPr>
              <w:t>d</w:t>
            </w:r>
            <w:r>
              <w:rPr>
                <w:rFonts w:ascii="Times New Roman" w:hAnsi="Times New Roman" w:cs="Times New Roman"/>
                <w:sz w:val="20"/>
                <w:szCs w:val="20"/>
              </w:rPr>
              <w:t>)</w:t>
            </w:r>
          </w:p>
        </w:tc>
        <w:tc>
          <w:tcPr>
            <w:tcW w:w="868" w:type="pct"/>
            <w:gridSpan w:val="2"/>
            <w:tcBorders>
              <w:top w:val="single" w:sz="12" w:space="0" w:color="auto"/>
              <w:left w:val="nil"/>
            </w:tcBorders>
            <w:vAlign w:val="center"/>
          </w:tcPr>
          <w:p w14:paraId="664543CA" w14:textId="4F554B52" w:rsidR="00D810AE" w:rsidRPr="00094FFC" w:rsidRDefault="00094FFC" w:rsidP="00094FFC">
            <w:pPr>
              <w:adjustRightInd w:val="0"/>
              <w:jc w:val="center"/>
              <w:rPr>
                <w:rFonts w:ascii="Times New Roman" w:hAnsi="Times New Roman" w:cs="Times New Roman"/>
                <w:sz w:val="20"/>
                <w:szCs w:val="20"/>
              </w:rPr>
            </w:pPr>
            <w:r>
              <w:rPr>
                <w:rFonts w:ascii="Times New Roman" w:hAnsi="Times New Roman" w:cs="Times New Roman"/>
                <w:sz w:val="20"/>
                <w:szCs w:val="20"/>
              </w:rPr>
              <w:t>Week 1 to Week 4 Effect (</w:t>
            </w:r>
            <w:r>
              <w:rPr>
                <w:rFonts w:ascii="Times New Roman" w:hAnsi="Times New Roman" w:cs="Times New Roman"/>
                <w:i/>
                <w:iCs/>
                <w:sz w:val="20"/>
                <w:szCs w:val="20"/>
              </w:rPr>
              <w:t>d</w:t>
            </w:r>
            <w:r>
              <w:rPr>
                <w:rFonts w:ascii="Times New Roman" w:hAnsi="Times New Roman" w:cs="Times New Roman"/>
                <w:sz w:val="20"/>
                <w:szCs w:val="20"/>
              </w:rPr>
              <w:t>)</w:t>
            </w:r>
          </w:p>
        </w:tc>
      </w:tr>
      <w:tr w:rsidR="00094FFC" w:rsidRPr="003E1C9A" w14:paraId="0B561F7E" w14:textId="372A29BA" w:rsidTr="004F5C80">
        <w:trPr>
          <w:trHeight w:val="444"/>
          <w:jc w:val="center"/>
        </w:trPr>
        <w:tc>
          <w:tcPr>
            <w:tcW w:w="721" w:type="pct"/>
            <w:tcBorders>
              <w:bottom w:val="single" w:sz="4" w:space="0" w:color="auto"/>
            </w:tcBorders>
            <w:noWrap/>
            <w:vAlign w:val="center"/>
            <w:hideMark/>
          </w:tcPr>
          <w:p w14:paraId="25B21C97" w14:textId="77777777" w:rsidR="000A6554" w:rsidRDefault="007772FC" w:rsidP="00094FFC">
            <w:pPr>
              <w:adjustRightInd w:val="0"/>
              <w:rPr>
                <w:rFonts w:ascii="Times New Roman" w:hAnsi="Times New Roman" w:cs="Times New Roman"/>
                <w:sz w:val="20"/>
                <w:szCs w:val="20"/>
              </w:rPr>
            </w:pPr>
            <w:r w:rsidRPr="003E1C9A">
              <w:rPr>
                <w:rFonts w:ascii="Times New Roman" w:hAnsi="Times New Roman" w:cs="Times New Roman"/>
                <w:sz w:val="20"/>
                <w:szCs w:val="20"/>
              </w:rPr>
              <w:t>Variable</w:t>
            </w:r>
            <w:r w:rsidR="000A6554">
              <w:rPr>
                <w:rFonts w:ascii="Times New Roman" w:hAnsi="Times New Roman" w:cs="Times New Roman"/>
                <w:sz w:val="20"/>
                <w:szCs w:val="20"/>
              </w:rPr>
              <w:t xml:space="preserve"> </w:t>
            </w:r>
          </w:p>
          <w:p w14:paraId="42C34E0A" w14:textId="2589774A" w:rsidR="007772FC" w:rsidRPr="003E1C9A" w:rsidRDefault="000A6554" w:rsidP="00094FFC">
            <w:pPr>
              <w:adjustRightInd w:val="0"/>
              <w:rPr>
                <w:rFonts w:ascii="Times New Roman" w:hAnsi="Times New Roman" w:cs="Times New Roman"/>
                <w:sz w:val="20"/>
                <w:szCs w:val="20"/>
              </w:rPr>
            </w:pPr>
            <w:r>
              <w:rPr>
                <w:rFonts w:ascii="Times New Roman" w:hAnsi="Times New Roman" w:cs="Times New Roman"/>
                <w:sz w:val="20"/>
                <w:szCs w:val="20"/>
              </w:rPr>
              <w:t>(n = 13)</w:t>
            </w:r>
          </w:p>
        </w:tc>
        <w:tc>
          <w:tcPr>
            <w:tcW w:w="574" w:type="pct"/>
            <w:tcBorders>
              <w:bottom w:val="single" w:sz="4" w:space="0" w:color="auto"/>
            </w:tcBorders>
            <w:noWrap/>
            <w:vAlign w:val="center"/>
            <w:hideMark/>
          </w:tcPr>
          <w:p w14:paraId="5EBE8386" w14:textId="77777777" w:rsidR="007772FC" w:rsidRPr="003E1C9A" w:rsidRDefault="007772FC" w:rsidP="00094FFC">
            <w:pPr>
              <w:adjustRightInd w:val="0"/>
              <w:jc w:val="center"/>
              <w:rPr>
                <w:rFonts w:ascii="Times New Roman" w:hAnsi="Times New Roman" w:cs="Times New Roman"/>
                <w:sz w:val="20"/>
                <w:szCs w:val="20"/>
              </w:rPr>
            </w:pPr>
            <w:r w:rsidRPr="003E1C9A">
              <w:rPr>
                <w:rFonts w:ascii="Times New Roman" w:hAnsi="Times New Roman" w:cs="Times New Roman"/>
                <w:sz w:val="20"/>
                <w:szCs w:val="20"/>
              </w:rPr>
              <w:t>Pre</w:t>
            </w:r>
          </w:p>
        </w:tc>
        <w:tc>
          <w:tcPr>
            <w:tcW w:w="610" w:type="pct"/>
            <w:tcBorders>
              <w:bottom w:val="single" w:sz="4" w:space="0" w:color="auto"/>
            </w:tcBorders>
            <w:noWrap/>
            <w:vAlign w:val="center"/>
            <w:hideMark/>
          </w:tcPr>
          <w:p w14:paraId="4DC89541" w14:textId="77777777" w:rsidR="007772FC" w:rsidRPr="003E1C9A" w:rsidRDefault="007772FC" w:rsidP="00094FFC">
            <w:pPr>
              <w:adjustRightInd w:val="0"/>
              <w:jc w:val="center"/>
              <w:rPr>
                <w:rFonts w:ascii="Times New Roman" w:hAnsi="Times New Roman" w:cs="Times New Roman"/>
                <w:sz w:val="20"/>
                <w:szCs w:val="20"/>
              </w:rPr>
            </w:pPr>
            <w:r w:rsidRPr="003E1C9A">
              <w:rPr>
                <w:rFonts w:ascii="Times New Roman" w:hAnsi="Times New Roman" w:cs="Times New Roman"/>
                <w:sz w:val="20"/>
                <w:szCs w:val="20"/>
              </w:rPr>
              <w:t>Post</w:t>
            </w:r>
          </w:p>
        </w:tc>
        <w:tc>
          <w:tcPr>
            <w:tcW w:w="660" w:type="pct"/>
            <w:tcBorders>
              <w:bottom w:val="single" w:sz="4" w:space="0" w:color="auto"/>
            </w:tcBorders>
            <w:noWrap/>
            <w:vAlign w:val="center"/>
            <w:hideMark/>
          </w:tcPr>
          <w:p w14:paraId="2312B5D5" w14:textId="077ECA44" w:rsidR="007772FC" w:rsidRPr="003E1C9A"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Pre</w:t>
            </w:r>
          </w:p>
        </w:tc>
        <w:tc>
          <w:tcPr>
            <w:tcW w:w="608" w:type="pct"/>
            <w:tcBorders>
              <w:bottom w:val="single" w:sz="4" w:space="0" w:color="auto"/>
            </w:tcBorders>
            <w:vAlign w:val="center"/>
          </w:tcPr>
          <w:p w14:paraId="5886EEE4" w14:textId="7C8455EA" w:rsidR="007772FC" w:rsidRPr="003E1C9A"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Post</w:t>
            </w:r>
          </w:p>
        </w:tc>
        <w:tc>
          <w:tcPr>
            <w:tcW w:w="468" w:type="pct"/>
            <w:tcBorders>
              <w:left w:val="nil"/>
              <w:bottom w:val="single" w:sz="4" w:space="0" w:color="auto"/>
            </w:tcBorders>
            <w:noWrap/>
            <w:vAlign w:val="center"/>
            <w:hideMark/>
          </w:tcPr>
          <w:p w14:paraId="1FD67057" w14:textId="564DFF63" w:rsidR="007772FC" w:rsidRPr="00D810AE"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Week</w:t>
            </w:r>
            <w:r w:rsidR="00027966">
              <w:rPr>
                <w:rFonts w:ascii="Times New Roman" w:hAnsi="Times New Roman" w:cs="Times New Roman"/>
                <w:sz w:val="20"/>
                <w:szCs w:val="20"/>
              </w:rPr>
              <w:t xml:space="preserve"> </w:t>
            </w:r>
            <w:r>
              <w:rPr>
                <w:rFonts w:ascii="Times New Roman" w:hAnsi="Times New Roman" w:cs="Times New Roman"/>
                <w:sz w:val="20"/>
                <w:szCs w:val="20"/>
              </w:rPr>
              <w:t>1</w:t>
            </w:r>
          </w:p>
        </w:tc>
        <w:tc>
          <w:tcPr>
            <w:tcW w:w="492" w:type="pct"/>
            <w:tcBorders>
              <w:bottom w:val="single" w:sz="4" w:space="0" w:color="auto"/>
            </w:tcBorders>
            <w:noWrap/>
            <w:vAlign w:val="center"/>
            <w:hideMark/>
          </w:tcPr>
          <w:p w14:paraId="00A089C8" w14:textId="57DFBDC2" w:rsidR="007772FC" w:rsidRPr="00D810AE"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Week 4</w:t>
            </w:r>
          </w:p>
        </w:tc>
        <w:tc>
          <w:tcPr>
            <w:tcW w:w="410" w:type="pct"/>
            <w:tcBorders>
              <w:bottom w:val="single" w:sz="4" w:space="0" w:color="auto"/>
            </w:tcBorders>
            <w:noWrap/>
            <w:vAlign w:val="center"/>
            <w:hideMark/>
          </w:tcPr>
          <w:p w14:paraId="29D27EC5" w14:textId="7D11BE00" w:rsidR="007772FC" w:rsidRPr="00D810AE"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Pre to</w:t>
            </w:r>
            <w:r w:rsidR="00094FFC">
              <w:rPr>
                <w:rFonts w:ascii="Times New Roman" w:hAnsi="Times New Roman" w:cs="Times New Roman"/>
                <w:sz w:val="20"/>
                <w:szCs w:val="20"/>
              </w:rPr>
              <w:t xml:space="preserve"> </w:t>
            </w:r>
            <w:r>
              <w:rPr>
                <w:rFonts w:ascii="Times New Roman" w:hAnsi="Times New Roman" w:cs="Times New Roman"/>
                <w:sz w:val="20"/>
                <w:szCs w:val="20"/>
              </w:rPr>
              <w:t>Pre</w:t>
            </w:r>
          </w:p>
        </w:tc>
        <w:tc>
          <w:tcPr>
            <w:tcW w:w="457" w:type="pct"/>
            <w:tcBorders>
              <w:bottom w:val="single" w:sz="4" w:space="0" w:color="auto"/>
            </w:tcBorders>
            <w:vAlign w:val="center"/>
          </w:tcPr>
          <w:p w14:paraId="5059CA87" w14:textId="452E74E2" w:rsidR="007772FC" w:rsidRPr="00D810AE"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Post to</w:t>
            </w:r>
            <w:r w:rsidR="00094FFC">
              <w:rPr>
                <w:rFonts w:ascii="Times New Roman" w:hAnsi="Times New Roman" w:cs="Times New Roman"/>
                <w:sz w:val="20"/>
                <w:szCs w:val="20"/>
              </w:rPr>
              <w:t xml:space="preserve"> </w:t>
            </w:r>
            <w:r>
              <w:rPr>
                <w:rFonts w:ascii="Times New Roman" w:hAnsi="Times New Roman" w:cs="Times New Roman"/>
                <w:sz w:val="20"/>
                <w:szCs w:val="20"/>
              </w:rPr>
              <w:t>Post</w:t>
            </w:r>
          </w:p>
        </w:tc>
      </w:tr>
      <w:tr w:rsidR="00094FFC" w:rsidRPr="003E1C9A" w14:paraId="682B23B0" w14:textId="0AA060A0" w:rsidTr="004F5C80">
        <w:trPr>
          <w:trHeight w:val="444"/>
          <w:jc w:val="center"/>
        </w:trPr>
        <w:tc>
          <w:tcPr>
            <w:tcW w:w="721" w:type="pct"/>
            <w:tcBorders>
              <w:top w:val="single" w:sz="4" w:space="0" w:color="auto"/>
            </w:tcBorders>
            <w:noWrap/>
            <w:vAlign w:val="center"/>
            <w:hideMark/>
          </w:tcPr>
          <w:p w14:paraId="0202CE2D" w14:textId="4BD48BC9" w:rsidR="00D810AE" w:rsidRPr="003E1C9A" w:rsidRDefault="00D810AE" w:rsidP="00094FFC">
            <w:pPr>
              <w:adjustRightInd w:val="0"/>
              <w:rPr>
                <w:rFonts w:ascii="Times New Roman" w:hAnsi="Times New Roman" w:cs="Times New Roman"/>
                <w:sz w:val="20"/>
                <w:szCs w:val="20"/>
              </w:rPr>
            </w:pPr>
            <w:proofErr w:type="spellStart"/>
            <w:r w:rsidRPr="003E1C9A">
              <w:rPr>
                <w:rFonts w:ascii="Times New Roman" w:hAnsi="Times New Roman" w:cs="Times New Roman"/>
                <w:bCs/>
                <w:sz w:val="20"/>
                <w:szCs w:val="20"/>
              </w:rPr>
              <w:t>Conc</w:t>
            </w:r>
            <w:r w:rsidR="00694E65">
              <w:rPr>
                <w:rFonts w:ascii="Times New Roman" w:hAnsi="Times New Roman" w:cs="Times New Roman"/>
                <w:bCs/>
                <w:sz w:val="20"/>
                <w:szCs w:val="20"/>
              </w:rPr>
              <w:t>MF</w:t>
            </w:r>
            <w:proofErr w:type="spellEnd"/>
            <w:r w:rsidRPr="003E1C9A">
              <w:rPr>
                <w:rFonts w:ascii="Times New Roman" w:hAnsi="Times New Roman" w:cs="Times New Roman"/>
                <w:bCs/>
                <w:sz w:val="20"/>
                <w:szCs w:val="20"/>
              </w:rPr>
              <w:t xml:space="preserve"> (N)</w:t>
            </w:r>
          </w:p>
        </w:tc>
        <w:tc>
          <w:tcPr>
            <w:tcW w:w="574" w:type="pct"/>
            <w:tcBorders>
              <w:top w:val="single" w:sz="4" w:space="0" w:color="auto"/>
            </w:tcBorders>
            <w:noWrap/>
            <w:vAlign w:val="center"/>
            <w:hideMark/>
          </w:tcPr>
          <w:p w14:paraId="2B78F4D5" w14:textId="631B2555"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1954.</w:t>
            </w:r>
            <w:r w:rsidR="003A3D15">
              <w:rPr>
                <w:rFonts w:ascii="Times New Roman" w:hAnsi="Times New Roman" w:cs="Times New Roman"/>
                <w:color w:val="000000"/>
                <w:sz w:val="20"/>
                <w:szCs w:val="20"/>
              </w:rPr>
              <w:t>7</w:t>
            </w:r>
            <w:r w:rsidRPr="003E1C9A">
              <w:rPr>
                <w:rFonts w:ascii="Times New Roman" w:hAnsi="Times New Roman" w:cs="Times New Roman"/>
                <w:color w:val="000000"/>
                <w:sz w:val="20"/>
                <w:szCs w:val="20"/>
              </w:rPr>
              <w:t xml:space="preserve"> ± 313.0</w:t>
            </w:r>
          </w:p>
        </w:tc>
        <w:tc>
          <w:tcPr>
            <w:tcW w:w="610" w:type="pct"/>
            <w:tcBorders>
              <w:top w:val="single" w:sz="4" w:space="0" w:color="auto"/>
            </w:tcBorders>
            <w:noWrap/>
            <w:vAlign w:val="center"/>
            <w:hideMark/>
          </w:tcPr>
          <w:p w14:paraId="5A55688B" w14:textId="610F53D9"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2007.</w:t>
            </w:r>
            <w:r w:rsidR="003A3D15">
              <w:rPr>
                <w:rFonts w:ascii="Times New Roman" w:hAnsi="Times New Roman" w:cs="Times New Roman"/>
                <w:color w:val="000000"/>
                <w:sz w:val="20"/>
                <w:szCs w:val="20"/>
              </w:rPr>
              <w:t>5</w:t>
            </w:r>
            <w:r w:rsidRPr="003E1C9A">
              <w:rPr>
                <w:rFonts w:ascii="Times New Roman" w:hAnsi="Times New Roman" w:cs="Times New Roman"/>
                <w:color w:val="000000"/>
                <w:sz w:val="20"/>
                <w:szCs w:val="20"/>
              </w:rPr>
              <w:t xml:space="preserve"> ± 337.</w:t>
            </w:r>
            <w:r w:rsidR="003A3D15">
              <w:rPr>
                <w:rFonts w:ascii="Times New Roman" w:hAnsi="Times New Roman" w:cs="Times New Roman"/>
                <w:color w:val="000000"/>
                <w:sz w:val="20"/>
                <w:szCs w:val="20"/>
              </w:rPr>
              <w:t>8</w:t>
            </w:r>
          </w:p>
        </w:tc>
        <w:tc>
          <w:tcPr>
            <w:tcW w:w="660" w:type="pct"/>
            <w:tcBorders>
              <w:top w:val="single" w:sz="4" w:space="0" w:color="auto"/>
            </w:tcBorders>
            <w:noWrap/>
            <w:vAlign w:val="center"/>
            <w:hideMark/>
          </w:tcPr>
          <w:p w14:paraId="19987C2F" w14:textId="76C7BE41"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1981.</w:t>
            </w:r>
            <w:r w:rsidR="003A3D15">
              <w:rPr>
                <w:rFonts w:ascii="Times New Roman" w:hAnsi="Times New Roman" w:cs="Times New Roman"/>
                <w:color w:val="000000"/>
                <w:sz w:val="20"/>
                <w:szCs w:val="20"/>
              </w:rPr>
              <w:t>4</w:t>
            </w:r>
            <w:r w:rsidRPr="003E1C9A">
              <w:rPr>
                <w:rFonts w:ascii="Times New Roman" w:hAnsi="Times New Roman" w:cs="Times New Roman"/>
                <w:color w:val="000000"/>
                <w:sz w:val="20"/>
                <w:szCs w:val="20"/>
              </w:rPr>
              <w:t xml:space="preserve"> ± 308.</w:t>
            </w:r>
            <w:r w:rsidR="003A3D15">
              <w:rPr>
                <w:rFonts w:ascii="Times New Roman" w:hAnsi="Times New Roman" w:cs="Times New Roman"/>
                <w:color w:val="000000"/>
                <w:sz w:val="20"/>
                <w:szCs w:val="20"/>
              </w:rPr>
              <w:t>8</w:t>
            </w:r>
          </w:p>
        </w:tc>
        <w:tc>
          <w:tcPr>
            <w:tcW w:w="608" w:type="pct"/>
            <w:tcBorders>
              <w:top w:val="single" w:sz="4" w:space="0" w:color="auto"/>
              <w:right w:val="single" w:sz="4" w:space="0" w:color="auto"/>
            </w:tcBorders>
            <w:vAlign w:val="center"/>
          </w:tcPr>
          <w:p w14:paraId="27F27E5D" w14:textId="0535AC09" w:rsidR="00D810AE" w:rsidRPr="003E1C9A" w:rsidRDefault="00D810AE" w:rsidP="00094FFC">
            <w:pPr>
              <w:adjustRightInd w:val="0"/>
              <w:jc w:val="center"/>
              <w:rPr>
                <w:rFonts w:ascii="Times New Roman" w:hAnsi="Times New Roman" w:cs="Times New Roman"/>
                <w:color w:val="000000"/>
                <w:sz w:val="20"/>
                <w:szCs w:val="20"/>
              </w:rPr>
            </w:pPr>
            <w:r w:rsidRPr="003E1C9A">
              <w:rPr>
                <w:rFonts w:ascii="Times New Roman" w:hAnsi="Times New Roman" w:cs="Times New Roman"/>
                <w:color w:val="000000"/>
                <w:sz w:val="20"/>
                <w:szCs w:val="20"/>
              </w:rPr>
              <w:t>1957.</w:t>
            </w:r>
            <w:r w:rsidR="003A3D15">
              <w:rPr>
                <w:rFonts w:ascii="Times New Roman" w:hAnsi="Times New Roman" w:cs="Times New Roman"/>
                <w:color w:val="000000"/>
                <w:sz w:val="20"/>
                <w:szCs w:val="20"/>
              </w:rPr>
              <w:t>4</w:t>
            </w:r>
            <w:r w:rsidRPr="003E1C9A">
              <w:rPr>
                <w:rFonts w:ascii="Times New Roman" w:hAnsi="Times New Roman" w:cs="Times New Roman"/>
                <w:color w:val="000000"/>
                <w:sz w:val="20"/>
                <w:szCs w:val="20"/>
              </w:rPr>
              <w:t xml:space="preserve"> ± 349.</w:t>
            </w:r>
            <w:r w:rsidR="003A3D15">
              <w:rPr>
                <w:rFonts w:ascii="Times New Roman" w:hAnsi="Times New Roman" w:cs="Times New Roman"/>
                <w:color w:val="000000"/>
                <w:sz w:val="20"/>
                <w:szCs w:val="20"/>
              </w:rPr>
              <w:t>8</w:t>
            </w:r>
          </w:p>
        </w:tc>
        <w:tc>
          <w:tcPr>
            <w:tcW w:w="468" w:type="pct"/>
            <w:tcBorders>
              <w:top w:val="single" w:sz="4" w:space="0" w:color="auto"/>
              <w:left w:val="single" w:sz="4" w:space="0" w:color="auto"/>
            </w:tcBorders>
            <w:noWrap/>
            <w:vAlign w:val="center"/>
            <w:hideMark/>
          </w:tcPr>
          <w:p w14:paraId="09E0C8D5" w14:textId="624D3A2A"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0.16</w:t>
            </w:r>
          </w:p>
        </w:tc>
        <w:tc>
          <w:tcPr>
            <w:tcW w:w="492" w:type="pct"/>
            <w:tcBorders>
              <w:top w:val="single" w:sz="4" w:space="0" w:color="auto"/>
            </w:tcBorders>
            <w:noWrap/>
            <w:vAlign w:val="center"/>
            <w:hideMark/>
          </w:tcPr>
          <w:p w14:paraId="0F8537DF" w14:textId="1E67D0E8" w:rsidR="00D810AE" w:rsidRPr="003E1C9A"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0.07</w:t>
            </w:r>
          </w:p>
        </w:tc>
        <w:tc>
          <w:tcPr>
            <w:tcW w:w="410" w:type="pct"/>
            <w:tcBorders>
              <w:top w:val="single" w:sz="4" w:space="0" w:color="auto"/>
            </w:tcBorders>
            <w:noWrap/>
            <w:vAlign w:val="center"/>
            <w:hideMark/>
          </w:tcPr>
          <w:p w14:paraId="04BD2B19" w14:textId="0EAB859E" w:rsidR="00D810AE" w:rsidRPr="003E1C9A" w:rsidRDefault="00D03A44"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0.09</w:t>
            </w:r>
          </w:p>
        </w:tc>
        <w:tc>
          <w:tcPr>
            <w:tcW w:w="457" w:type="pct"/>
            <w:tcBorders>
              <w:top w:val="single" w:sz="4" w:space="0" w:color="auto"/>
            </w:tcBorders>
            <w:vAlign w:val="center"/>
          </w:tcPr>
          <w:p w14:paraId="7730FDBC" w14:textId="4DD15D3D" w:rsidR="00D810AE" w:rsidRPr="003E1C9A" w:rsidRDefault="00D03A44" w:rsidP="00094FFC">
            <w:pPr>
              <w:adjustRightInd w:val="0"/>
              <w:jc w:val="center"/>
              <w:rPr>
                <w:rFonts w:ascii="Times New Roman" w:hAnsi="Times New Roman" w:cs="Times New Roman"/>
                <w:sz w:val="20"/>
                <w:szCs w:val="20"/>
              </w:rPr>
            </w:pPr>
            <w:r>
              <w:rPr>
                <w:rFonts w:ascii="Times New Roman" w:hAnsi="Times New Roman" w:cs="Times New Roman"/>
                <w:sz w:val="20"/>
                <w:szCs w:val="20"/>
              </w:rPr>
              <w:t>0.15</w:t>
            </w:r>
          </w:p>
        </w:tc>
      </w:tr>
      <w:tr w:rsidR="00094FFC" w:rsidRPr="003E1C9A" w14:paraId="46BF1A8D" w14:textId="45C55794" w:rsidTr="004F5C80">
        <w:trPr>
          <w:trHeight w:val="444"/>
          <w:jc w:val="center"/>
        </w:trPr>
        <w:tc>
          <w:tcPr>
            <w:tcW w:w="721" w:type="pct"/>
            <w:vAlign w:val="center"/>
            <w:hideMark/>
          </w:tcPr>
          <w:p w14:paraId="5A050D53" w14:textId="01459F1C" w:rsidR="00D810AE" w:rsidRPr="003E1C9A" w:rsidRDefault="00D810AE" w:rsidP="00094FFC">
            <w:pPr>
              <w:adjustRightInd w:val="0"/>
              <w:rPr>
                <w:rFonts w:ascii="Times New Roman" w:hAnsi="Times New Roman" w:cs="Times New Roman"/>
                <w:sz w:val="20"/>
                <w:szCs w:val="20"/>
              </w:rPr>
            </w:pPr>
            <w:proofErr w:type="spellStart"/>
            <w:r w:rsidRPr="003E1C9A">
              <w:rPr>
                <w:rFonts w:ascii="Times New Roman" w:hAnsi="Times New Roman" w:cs="Times New Roman"/>
                <w:bCs/>
                <w:sz w:val="20"/>
                <w:szCs w:val="20"/>
              </w:rPr>
              <w:t>Conc</w:t>
            </w:r>
            <w:r w:rsidR="00694E65">
              <w:rPr>
                <w:rFonts w:ascii="Times New Roman" w:hAnsi="Times New Roman" w:cs="Times New Roman"/>
                <w:bCs/>
                <w:sz w:val="20"/>
                <w:szCs w:val="20"/>
              </w:rPr>
              <w:t>MP</w:t>
            </w:r>
            <w:proofErr w:type="spellEnd"/>
            <w:r w:rsidRPr="003E1C9A">
              <w:rPr>
                <w:rFonts w:ascii="Times New Roman" w:hAnsi="Times New Roman" w:cs="Times New Roman"/>
                <w:bCs/>
                <w:sz w:val="20"/>
                <w:szCs w:val="20"/>
              </w:rPr>
              <w:t xml:space="preserve"> (W)</w:t>
            </w:r>
          </w:p>
        </w:tc>
        <w:tc>
          <w:tcPr>
            <w:tcW w:w="574" w:type="pct"/>
            <w:noWrap/>
            <w:vAlign w:val="center"/>
            <w:hideMark/>
          </w:tcPr>
          <w:p w14:paraId="4FBD1C76" w14:textId="2904174E"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2882.</w:t>
            </w:r>
            <w:r w:rsidR="003A3D15" w:rsidRPr="00514D79">
              <w:rPr>
                <w:rFonts w:ascii="Times New Roman" w:hAnsi="Times New Roman" w:cs="Times New Roman"/>
                <w:color w:val="000000" w:themeColor="text1"/>
                <w:sz w:val="20"/>
                <w:szCs w:val="20"/>
              </w:rPr>
              <w:t>5</w:t>
            </w:r>
            <w:r w:rsidRPr="00514D79">
              <w:rPr>
                <w:rFonts w:ascii="Times New Roman" w:hAnsi="Times New Roman" w:cs="Times New Roman"/>
                <w:color w:val="000000" w:themeColor="text1"/>
                <w:sz w:val="20"/>
                <w:szCs w:val="20"/>
              </w:rPr>
              <w:t xml:space="preserve"> ± 579.5</w:t>
            </w:r>
          </w:p>
        </w:tc>
        <w:tc>
          <w:tcPr>
            <w:tcW w:w="610" w:type="pct"/>
            <w:noWrap/>
            <w:vAlign w:val="center"/>
            <w:hideMark/>
          </w:tcPr>
          <w:p w14:paraId="24F9C4BE" w14:textId="24963553"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2986.</w:t>
            </w:r>
            <w:r w:rsidR="003A3D15" w:rsidRPr="00514D79">
              <w:rPr>
                <w:rFonts w:ascii="Times New Roman" w:hAnsi="Times New Roman" w:cs="Times New Roman"/>
                <w:color w:val="000000" w:themeColor="text1"/>
                <w:sz w:val="20"/>
                <w:szCs w:val="20"/>
              </w:rPr>
              <w:t>8</w:t>
            </w:r>
            <w:r w:rsidRPr="00514D79">
              <w:rPr>
                <w:rFonts w:ascii="Times New Roman" w:hAnsi="Times New Roman" w:cs="Times New Roman"/>
                <w:color w:val="000000" w:themeColor="text1"/>
                <w:sz w:val="20"/>
                <w:szCs w:val="20"/>
              </w:rPr>
              <w:t xml:space="preserve"> ± 689.8</w:t>
            </w:r>
          </w:p>
        </w:tc>
        <w:tc>
          <w:tcPr>
            <w:tcW w:w="660" w:type="pct"/>
            <w:noWrap/>
            <w:vAlign w:val="center"/>
            <w:hideMark/>
          </w:tcPr>
          <w:p w14:paraId="1CFD79C1" w14:textId="45A78134"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2931.</w:t>
            </w:r>
            <w:r w:rsidR="003A3D15" w:rsidRPr="00514D79">
              <w:rPr>
                <w:rFonts w:ascii="Times New Roman" w:hAnsi="Times New Roman" w:cs="Times New Roman"/>
                <w:color w:val="000000" w:themeColor="text1"/>
                <w:sz w:val="20"/>
                <w:szCs w:val="20"/>
              </w:rPr>
              <w:t>8</w:t>
            </w:r>
            <w:r w:rsidRPr="00514D79">
              <w:rPr>
                <w:rFonts w:ascii="Times New Roman" w:hAnsi="Times New Roman" w:cs="Times New Roman"/>
                <w:color w:val="000000" w:themeColor="text1"/>
                <w:sz w:val="20"/>
                <w:szCs w:val="20"/>
              </w:rPr>
              <w:t xml:space="preserve"> ± 592.8</w:t>
            </w:r>
          </w:p>
        </w:tc>
        <w:tc>
          <w:tcPr>
            <w:tcW w:w="608" w:type="pct"/>
            <w:tcBorders>
              <w:right w:val="single" w:sz="4" w:space="0" w:color="auto"/>
            </w:tcBorders>
            <w:vAlign w:val="center"/>
          </w:tcPr>
          <w:p w14:paraId="511E6175" w14:textId="7CCCDD14"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2880.5 ± 752.</w:t>
            </w:r>
            <w:r w:rsidR="003A3D15" w:rsidRPr="00514D79">
              <w:rPr>
                <w:rFonts w:ascii="Times New Roman" w:hAnsi="Times New Roman" w:cs="Times New Roman"/>
                <w:color w:val="000000" w:themeColor="text1"/>
                <w:sz w:val="20"/>
                <w:szCs w:val="20"/>
              </w:rPr>
              <w:t>2</w:t>
            </w:r>
          </w:p>
        </w:tc>
        <w:tc>
          <w:tcPr>
            <w:tcW w:w="468" w:type="pct"/>
            <w:tcBorders>
              <w:left w:val="single" w:sz="4" w:space="0" w:color="auto"/>
            </w:tcBorders>
            <w:noWrap/>
            <w:vAlign w:val="center"/>
            <w:hideMark/>
          </w:tcPr>
          <w:p w14:paraId="43349497" w14:textId="443EE5FE"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0.16</w:t>
            </w:r>
          </w:p>
        </w:tc>
        <w:tc>
          <w:tcPr>
            <w:tcW w:w="492" w:type="pct"/>
            <w:noWrap/>
            <w:vAlign w:val="center"/>
            <w:hideMark/>
          </w:tcPr>
          <w:p w14:paraId="53353687" w14:textId="3B04D092" w:rsidR="00D810AE" w:rsidRPr="003E1C9A"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0.08</w:t>
            </w:r>
          </w:p>
        </w:tc>
        <w:tc>
          <w:tcPr>
            <w:tcW w:w="410" w:type="pct"/>
            <w:noWrap/>
            <w:vAlign w:val="center"/>
            <w:hideMark/>
          </w:tcPr>
          <w:p w14:paraId="3B79B26F" w14:textId="48B6F765" w:rsidR="00D810AE" w:rsidRPr="003E1C9A" w:rsidRDefault="007F70F5"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0.08</w:t>
            </w:r>
          </w:p>
        </w:tc>
        <w:tc>
          <w:tcPr>
            <w:tcW w:w="457" w:type="pct"/>
            <w:vAlign w:val="center"/>
          </w:tcPr>
          <w:p w14:paraId="16F3F73C" w14:textId="442C63D6" w:rsidR="007F70F5" w:rsidRPr="003E1C9A" w:rsidRDefault="007F70F5" w:rsidP="007F70F5">
            <w:pPr>
              <w:adjustRightInd w:val="0"/>
              <w:jc w:val="center"/>
              <w:rPr>
                <w:rFonts w:ascii="Times New Roman" w:hAnsi="Times New Roman" w:cs="Times New Roman"/>
                <w:sz w:val="20"/>
                <w:szCs w:val="20"/>
              </w:rPr>
            </w:pPr>
            <w:r>
              <w:rPr>
                <w:rFonts w:ascii="Times New Roman" w:hAnsi="Times New Roman" w:cs="Times New Roman"/>
                <w:sz w:val="20"/>
                <w:szCs w:val="20"/>
              </w:rPr>
              <w:t>0.15</w:t>
            </w:r>
          </w:p>
        </w:tc>
      </w:tr>
      <w:tr w:rsidR="00094FFC" w:rsidRPr="003E1C9A" w14:paraId="210F55A6" w14:textId="0A78D87A" w:rsidTr="004F5C80">
        <w:trPr>
          <w:trHeight w:val="444"/>
          <w:jc w:val="center"/>
        </w:trPr>
        <w:tc>
          <w:tcPr>
            <w:tcW w:w="721" w:type="pct"/>
            <w:noWrap/>
            <w:vAlign w:val="center"/>
            <w:hideMark/>
          </w:tcPr>
          <w:p w14:paraId="2C6A5EFA" w14:textId="68D4A401" w:rsidR="00D810AE" w:rsidRPr="003E1C9A" w:rsidRDefault="00D810AE" w:rsidP="00094FFC">
            <w:pPr>
              <w:adjustRightInd w:val="0"/>
              <w:rPr>
                <w:rFonts w:ascii="Times New Roman" w:hAnsi="Times New Roman" w:cs="Times New Roman"/>
                <w:sz w:val="20"/>
                <w:szCs w:val="20"/>
              </w:rPr>
            </w:pPr>
            <w:proofErr w:type="spellStart"/>
            <w:r w:rsidRPr="003E1C9A">
              <w:rPr>
                <w:rFonts w:ascii="Times New Roman" w:hAnsi="Times New Roman" w:cs="Times New Roman"/>
                <w:bCs/>
                <w:sz w:val="20"/>
                <w:szCs w:val="20"/>
              </w:rPr>
              <w:t>Conc</w:t>
            </w:r>
            <w:r w:rsidR="00694E65">
              <w:rPr>
                <w:rFonts w:ascii="Times New Roman" w:hAnsi="Times New Roman" w:cs="Times New Roman"/>
                <w:bCs/>
                <w:sz w:val="20"/>
                <w:szCs w:val="20"/>
              </w:rPr>
              <w:t>PF</w:t>
            </w:r>
            <w:proofErr w:type="spellEnd"/>
            <w:r w:rsidRPr="003E1C9A">
              <w:rPr>
                <w:rFonts w:ascii="Times New Roman" w:hAnsi="Times New Roman" w:cs="Times New Roman"/>
                <w:bCs/>
                <w:sz w:val="20"/>
                <w:szCs w:val="20"/>
              </w:rPr>
              <w:t xml:space="preserve"> (N)</w:t>
            </w:r>
          </w:p>
        </w:tc>
        <w:tc>
          <w:tcPr>
            <w:tcW w:w="574" w:type="pct"/>
            <w:noWrap/>
            <w:vAlign w:val="center"/>
            <w:hideMark/>
          </w:tcPr>
          <w:p w14:paraId="7B233AFD" w14:textId="23741342"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2398.</w:t>
            </w:r>
            <w:r w:rsidR="003A3D15" w:rsidRPr="00514D79">
              <w:rPr>
                <w:rFonts w:ascii="Times New Roman" w:hAnsi="Times New Roman" w:cs="Times New Roman"/>
                <w:color w:val="000000" w:themeColor="text1"/>
                <w:sz w:val="20"/>
                <w:szCs w:val="20"/>
              </w:rPr>
              <w:t>4</w:t>
            </w:r>
            <w:r w:rsidRPr="00514D79">
              <w:rPr>
                <w:rFonts w:ascii="Times New Roman" w:hAnsi="Times New Roman" w:cs="Times New Roman"/>
                <w:color w:val="000000" w:themeColor="text1"/>
                <w:sz w:val="20"/>
                <w:szCs w:val="20"/>
              </w:rPr>
              <w:t xml:space="preserve"> ± 420.7</w:t>
            </w:r>
            <w:r w:rsidR="00917D83" w:rsidRPr="00514D79">
              <w:rPr>
                <w:rFonts w:ascii="Times New Roman" w:hAnsi="Times New Roman" w:cs="Times New Roman"/>
                <w:color w:val="000000" w:themeColor="text1"/>
                <w:sz w:val="20"/>
                <w:szCs w:val="20"/>
              </w:rPr>
              <w:t>*</w:t>
            </w:r>
          </w:p>
        </w:tc>
        <w:tc>
          <w:tcPr>
            <w:tcW w:w="610" w:type="pct"/>
            <w:noWrap/>
            <w:vAlign w:val="center"/>
            <w:hideMark/>
          </w:tcPr>
          <w:p w14:paraId="119AF6CC" w14:textId="70C96B4B"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2519.9 ± 480.2</w:t>
            </w:r>
          </w:p>
        </w:tc>
        <w:tc>
          <w:tcPr>
            <w:tcW w:w="660" w:type="pct"/>
            <w:noWrap/>
            <w:vAlign w:val="center"/>
            <w:hideMark/>
          </w:tcPr>
          <w:p w14:paraId="00FA9F65" w14:textId="02CC507C"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2459.</w:t>
            </w:r>
            <w:r w:rsidR="003A3D15" w:rsidRPr="00514D79">
              <w:rPr>
                <w:rFonts w:ascii="Times New Roman" w:hAnsi="Times New Roman" w:cs="Times New Roman"/>
                <w:color w:val="000000" w:themeColor="text1"/>
                <w:sz w:val="20"/>
                <w:szCs w:val="20"/>
              </w:rPr>
              <w:t>8</w:t>
            </w:r>
            <w:r w:rsidRPr="00514D79">
              <w:rPr>
                <w:rFonts w:ascii="Times New Roman" w:hAnsi="Times New Roman" w:cs="Times New Roman"/>
                <w:color w:val="000000" w:themeColor="text1"/>
                <w:sz w:val="20"/>
                <w:szCs w:val="20"/>
              </w:rPr>
              <w:t xml:space="preserve"> ± 420.</w:t>
            </w:r>
            <w:r w:rsidR="003A3D15" w:rsidRPr="00514D79">
              <w:rPr>
                <w:rFonts w:ascii="Times New Roman" w:hAnsi="Times New Roman" w:cs="Times New Roman"/>
                <w:color w:val="000000" w:themeColor="text1"/>
                <w:sz w:val="20"/>
                <w:szCs w:val="20"/>
              </w:rPr>
              <w:t>2</w:t>
            </w:r>
          </w:p>
        </w:tc>
        <w:tc>
          <w:tcPr>
            <w:tcW w:w="608" w:type="pct"/>
            <w:tcBorders>
              <w:right w:val="single" w:sz="4" w:space="0" w:color="auto"/>
            </w:tcBorders>
            <w:vAlign w:val="center"/>
          </w:tcPr>
          <w:p w14:paraId="73DF1362" w14:textId="69B9EEC0"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2487.</w:t>
            </w:r>
            <w:r w:rsidR="003A3D15" w:rsidRPr="00514D79">
              <w:rPr>
                <w:rFonts w:ascii="Times New Roman" w:hAnsi="Times New Roman" w:cs="Times New Roman"/>
                <w:color w:val="000000" w:themeColor="text1"/>
                <w:sz w:val="20"/>
                <w:szCs w:val="20"/>
              </w:rPr>
              <w:t>8</w:t>
            </w:r>
            <w:r w:rsidRPr="00514D79">
              <w:rPr>
                <w:rFonts w:ascii="Times New Roman" w:hAnsi="Times New Roman" w:cs="Times New Roman"/>
                <w:color w:val="000000" w:themeColor="text1"/>
                <w:sz w:val="20"/>
                <w:szCs w:val="20"/>
              </w:rPr>
              <w:t xml:space="preserve"> ± 505.4</w:t>
            </w:r>
          </w:p>
        </w:tc>
        <w:tc>
          <w:tcPr>
            <w:tcW w:w="468" w:type="pct"/>
            <w:tcBorders>
              <w:left w:val="single" w:sz="4" w:space="0" w:color="auto"/>
            </w:tcBorders>
            <w:noWrap/>
            <w:vAlign w:val="center"/>
            <w:hideMark/>
          </w:tcPr>
          <w:p w14:paraId="29C18A68" w14:textId="6891524B"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0.27</w:t>
            </w:r>
          </w:p>
        </w:tc>
        <w:tc>
          <w:tcPr>
            <w:tcW w:w="492" w:type="pct"/>
            <w:noWrap/>
            <w:vAlign w:val="center"/>
            <w:hideMark/>
          </w:tcPr>
          <w:p w14:paraId="00E791C7" w14:textId="6DBA0AAD" w:rsidR="00D810AE" w:rsidRPr="003E1C9A" w:rsidRDefault="00D810AE" w:rsidP="00094FFC">
            <w:pPr>
              <w:adjustRightInd w:val="0"/>
              <w:jc w:val="center"/>
              <w:rPr>
                <w:rFonts w:ascii="Times New Roman" w:hAnsi="Times New Roman" w:cs="Times New Roman"/>
                <w:sz w:val="20"/>
                <w:szCs w:val="20"/>
              </w:rPr>
            </w:pPr>
            <w:r>
              <w:rPr>
                <w:rFonts w:ascii="Times New Roman" w:hAnsi="Times New Roman"/>
                <w:sz w:val="20"/>
                <w:szCs w:val="20"/>
              </w:rPr>
              <w:t>0.06</w:t>
            </w:r>
          </w:p>
        </w:tc>
        <w:tc>
          <w:tcPr>
            <w:tcW w:w="410" w:type="pct"/>
            <w:noWrap/>
            <w:vAlign w:val="center"/>
            <w:hideMark/>
          </w:tcPr>
          <w:p w14:paraId="4ED01DAD" w14:textId="29390965" w:rsidR="00D810AE" w:rsidRPr="003E1C9A" w:rsidRDefault="009B3595" w:rsidP="00094FFC">
            <w:pPr>
              <w:adjustRightInd w:val="0"/>
              <w:jc w:val="center"/>
              <w:rPr>
                <w:rFonts w:ascii="Times New Roman" w:hAnsi="Times New Roman" w:cs="Times New Roman"/>
                <w:sz w:val="20"/>
                <w:szCs w:val="20"/>
              </w:rPr>
            </w:pPr>
            <w:r>
              <w:rPr>
                <w:rFonts w:ascii="Times New Roman" w:hAnsi="Times New Roman" w:cs="Times New Roman"/>
                <w:sz w:val="20"/>
                <w:szCs w:val="20"/>
              </w:rPr>
              <w:t>0.15</w:t>
            </w:r>
          </w:p>
        </w:tc>
        <w:tc>
          <w:tcPr>
            <w:tcW w:w="457" w:type="pct"/>
            <w:vAlign w:val="center"/>
          </w:tcPr>
          <w:p w14:paraId="18A1CE86" w14:textId="4CAFF9AD" w:rsidR="00D810AE" w:rsidRPr="00687A0B" w:rsidRDefault="009B3595" w:rsidP="00094FFC">
            <w:pPr>
              <w:adjustRightInd w:val="0"/>
              <w:jc w:val="center"/>
              <w:rPr>
                <w:rFonts w:ascii="Times New Roman" w:hAnsi="Times New Roman"/>
                <w:sz w:val="20"/>
                <w:szCs w:val="20"/>
              </w:rPr>
            </w:pPr>
            <w:r>
              <w:rPr>
                <w:rFonts w:ascii="Times New Roman" w:hAnsi="Times New Roman"/>
                <w:sz w:val="20"/>
                <w:szCs w:val="20"/>
              </w:rPr>
              <w:t>0.07</w:t>
            </w:r>
          </w:p>
        </w:tc>
      </w:tr>
      <w:tr w:rsidR="00094FFC" w:rsidRPr="003E1C9A" w14:paraId="48EE8760" w14:textId="290AB3A2" w:rsidTr="004F5C80">
        <w:trPr>
          <w:trHeight w:val="444"/>
          <w:jc w:val="center"/>
        </w:trPr>
        <w:tc>
          <w:tcPr>
            <w:tcW w:w="721" w:type="pct"/>
            <w:vAlign w:val="center"/>
            <w:hideMark/>
          </w:tcPr>
          <w:p w14:paraId="645575D4" w14:textId="2D6CA922" w:rsidR="00D810AE" w:rsidRPr="003E1C9A" w:rsidRDefault="00D810AE" w:rsidP="00094FFC">
            <w:pPr>
              <w:adjustRightInd w:val="0"/>
              <w:rPr>
                <w:rFonts w:ascii="Times New Roman" w:hAnsi="Times New Roman" w:cs="Times New Roman"/>
                <w:sz w:val="20"/>
                <w:szCs w:val="20"/>
              </w:rPr>
            </w:pPr>
            <w:r w:rsidRPr="003E1C9A">
              <w:rPr>
                <w:rFonts w:ascii="Times New Roman" w:hAnsi="Times New Roman" w:cs="Times New Roman"/>
                <w:sz w:val="20"/>
                <w:szCs w:val="20"/>
              </w:rPr>
              <w:t>CT</w:t>
            </w:r>
            <w:r w:rsidR="007A217E">
              <w:rPr>
                <w:rFonts w:ascii="Times New Roman" w:hAnsi="Times New Roman" w:cs="Times New Roman"/>
                <w:sz w:val="20"/>
                <w:szCs w:val="20"/>
              </w:rPr>
              <w:t xml:space="preserve"> (</w:t>
            </w:r>
            <w:proofErr w:type="spellStart"/>
            <w:r w:rsidR="007A217E">
              <w:rPr>
                <w:rFonts w:ascii="Times New Roman" w:hAnsi="Times New Roman" w:cs="Times New Roman"/>
                <w:sz w:val="20"/>
                <w:szCs w:val="20"/>
              </w:rPr>
              <w:t>ms</w:t>
            </w:r>
            <w:proofErr w:type="spellEnd"/>
            <w:r w:rsidR="007A217E">
              <w:rPr>
                <w:rFonts w:ascii="Times New Roman" w:hAnsi="Times New Roman" w:cs="Times New Roman"/>
                <w:sz w:val="20"/>
                <w:szCs w:val="20"/>
              </w:rPr>
              <w:t>)</w:t>
            </w:r>
          </w:p>
        </w:tc>
        <w:tc>
          <w:tcPr>
            <w:tcW w:w="574" w:type="pct"/>
            <w:noWrap/>
            <w:vAlign w:val="center"/>
            <w:hideMark/>
          </w:tcPr>
          <w:p w14:paraId="4536B060" w14:textId="2E02F13F"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737.</w:t>
            </w:r>
            <w:r w:rsidR="00C50584" w:rsidRPr="00514D79">
              <w:rPr>
                <w:rFonts w:ascii="Times New Roman" w:hAnsi="Times New Roman" w:cs="Times New Roman"/>
                <w:color w:val="000000" w:themeColor="text1"/>
                <w:sz w:val="20"/>
                <w:szCs w:val="20"/>
              </w:rPr>
              <w:t>1</w:t>
            </w:r>
            <w:r w:rsidRPr="00514D79">
              <w:rPr>
                <w:rFonts w:ascii="Times New Roman" w:hAnsi="Times New Roman" w:cs="Times New Roman"/>
                <w:color w:val="000000" w:themeColor="text1"/>
                <w:sz w:val="20"/>
                <w:szCs w:val="20"/>
              </w:rPr>
              <w:t xml:space="preserve"> ± 86.1</w:t>
            </w:r>
          </w:p>
        </w:tc>
        <w:tc>
          <w:tcPr>
            <w:tcW w:w="610" w:type="pct"/>
            <w:noWrap/>
            <w:vAlign w:val="center"/>
            <w:hideMark/>
          </w:tcPr>
          <w:p w14:paraId="5E192658" w14:textId="1D10F13A"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724.9 ± 107.9</w:t>
            </w:r>
          </w:p>
        </w:tc>
        <w:tc>
          <w:tcPr>
            <w:tcW w:w="660" w:type="pct"/>
            <w:noWrap/>
            <w:vAlign w:val="center"/>
            <w:hideMark/>
          </w:tcPr>
          <w:p w14:paraId="05E0E526" w14:textId="6972DD3B"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744.</w:t>
            </w:r>
            <w:r w:rsidR="00C50584" w:rsidRPr="00514D79">
              <w:rPr>
                <w:rFonts w:ascii="Times New Roman" w:hAnsi="Times New Roman" w:cs="Times New Roman"/>
                <w:color w:val="000000" w:themeColor="text1"/>
                <w:sz w:val="20"/>
                <w:szCs w:val="20"/>
              </w:rPr>
              <w:t>7</w:t>
            </w:r>
            <w:r w:rsidRPr="00514D79">
              <w:rPr>
                <w:rFonts w:ascii="Times New Roman" w:hAnsi="Times New Roman" w:cs="Times New Roman"/>
                <w:color w:val="000000" w:themeColor="text1"/>
                <w:sz w:val="20"/>
                <w:szCs w:val="20"/>
              </w:rPr>
              <w:t xml:space="preserve"> ± 1</w:t>
            </w:r>
            <w:r w:rsidR="00C50584" w:rsidRPr="00514D79">
              <w:rPr>
                <w:rFonts w:ascii="Times New Roman" w:hAnsi="Times New Roman" w:cs="Times New Roman"/>
                <w:color w:val="000000" w:themeColor="text1"/>
                <w:sz w:val="20"/>
                <w:szCs w:val="20"/>
              </w:rPr>
              <w:t>10</w:t>
            </w:r>
            <w:r w:rsidRPr="00514D79">
              <w:rPr>
                <w:rFonts w:ascii="Times New Roman" w:hAnsi="Times New Roman" w:cs="Times New Roman"/>
                <w:color w:val="000000" w:themeColor="text1"/>
                <w:sz w:val="20"/>
                <w:szCs w:val="20"/>
              </w:rPr>
              <w:t>.</w:t>
            </w:r>
            <w:r w:rsidR="00C50584" w:rsidRPr="00514D79">
              <w:rPr>
                <w:rFonts w:ascii="Times New Roman" w:hAnsi="Times New Roman" w:cs="Times New Roman"/>
                <w:color w:val="000000" w:themeColor="text1"/>
                <w:sz w:val="20"/>
                <w:szCs w:val="20"/>
              </w:rPr>
              <w:t>0</w:t>
            </w:r>
          </w:p>
        </w:tc>
        <w:tc>
          <w:tcPr>
            <w:tcW w:w="608" w:type="pct"/>
            <w:tcBorders>
              <w:right w:val="single" w:sz="4" w:space="0" w:color="auto"/>
            </w:tcBorders>
            <w:vAlign w:val="center"/>
          </w:tcPr>
          <w:p w14:paraId="63FA6147" w14:textId="7A7D35BD"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720.</w:t>
            </w:r>
            <w:r w:rsidR="00BF25C6" w:rsidRPr="00514D79">
              <w:rPr>
                <w:rFonts w:ascii="Times New Roman" w:hAnsi="Times New Roman" w:cs="Times New Roman"/>
                <w:color w:val="000000" w:themeColor="text1"/>
                <w:sz w:val="20"/>
                <w:szCs w:val="20"/>
              </w:rPr>
              <w:t>2</w:t>
            </w:r>
            <w:r w:rsidRPr="00514D79">
              <w:rPr>
                <w:rFonts w:ascii="Times New Roman" w:hAnsi="Times New Roman" w:cs="Times New Roman"/>
                <w:color w:val="000000" w:themeColor="text1"/>
                <w:sz w:val="20"/>
                <w:szCs w:val="20"/>
              </w:rPr>
              <w:t xml:space="preserve"> ± 149.</w:t>
            </w:r>
            <w:r w:rsidR="00C50584" w:rsidRPr="00514D79">
              <w:rPr>
                <w:rFonts w:ascii="Times New Roman" w:hAnsi="Times New Roman" w:cs="Times New Roman"/>
                <w:color w:val="000000" w:themeColor="text1"/>
                <w:sz w:val="20"/>
                <w:szCs w:val="20"/>
              </w:rPr>
              <w:t>8</w:t>
            </w:r>
          </w:p>
        </w:tc>
        <w:tc>
          <w:tcPr>
            <w:tcW w:w="468" w:type="pct"/>
            <w:tcBorders>
              <w:left w:val="single" w:sz="4" w:space="0" w:color="auto"/>
            </w:tcBorders>
            <w:noWrap/>
            <w:vAlign w:val="center"/>
            <w:hideMark/>
          </w:tcPr>
          <w:p w14:paraId="1FC39ADA" w14:textId="1C33F67C"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0.12</w:t>
            </w:r>
          </w:p>
        </w:tc>
        <w:tc>
          <w:tcPr>
            <w:tcW w:w="492" w:type="pct"/>
            <w:noWrap/>
            <w:vAlign w:val="center"/>
            <w:hideMark/>
          </w:tcPr>
          <w:p w14:paraId="2E1871F1" w14:textId="50DABBA2" w:rsidR="00D810AE" w:rsidRPr="003E1C9A"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0.19</w:t>
            </w:r>
          </w:p>
        </w:tc>
        <w:tc>
          <w:tcPr>
            <w:tcW w:w="410" w:type="pct"/>
            <w:noWrap/>
            <w:vAlign w:val="center"/>
            <w:hideMark/>
          </w:tcPr>
          <w:p w14:paraId="7AD7EEBB" w14:textId="63DA210B" w:rsidR="00D810AE" w:rsidRPr="003E1C9A" w:rsidRDefault="00B078D3"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0.08</w:t>
            </w:r>
          </w:p>
        </w:tc>
        <w:tc>
          <w:tcPr>
            <w:tcW w:w="457" w:type="pct"/>
            <w:vAlign w:val="center"/>
          </w:tcPr>
          <w:p w14:paraId="533945C7" w14:textId="69296CA5" w:rsidR="00B078D3" w:rsidRPr="003E1C9A" w:rsidRDefault="00B078D3" w:rsidP="00B078D3">
            <w:pPr>
              <w:adjustRightInd w:val="0"/>
              <w:jc w:val="center"/>
              <w:rPr>
                <w:rFonts w:ascii="Times New Roman" w:hAnsi="Times New Roman" w:cs="Times New Roman"/>
                <w:sz w:val="20"/>
                <w:szCs w:val="20"/>
              </w:rPr>
            </w:pPr>
            <w:r>
              <w:rPr>
                <w:rFonts w:ascii="Times New Roman" w:hAnsi="Times New Roman" w:cs="Times New Roman"/>
                <w:sz w:val="20"/>
                <w:szCs w:val="20"/>
              </w:rPr>
              <w:t>0.04</w:t>
            </w:r>
          </w:p>
        </w:tc>
      </w:tr>
      <w:tr w:rsidR="00094FFC" w:rsidRPr="003E1C9A" w14:paraId="0CCFAB28" w14:textId="258FF2E2" w:rsidTr="004F5C80">
        <w:trPr>
          <w:trHeight w:val="444"/>
          <w:jc w:val="center"/>
        </w:trPr>
        <w:tc>
          <w:tcPr>
            <w:tcW w:w="721" w:type="pct"/>
            <w:noWrap/>
            <w:vAlign w:val="center"/>
            <w:hideMark/>
          </w:tcPr>
          <w:p w14:paraId="01CC4911" w14:textId="375569D3" w:rsidR="00D810AE" w:rsidRPr="003E1C9A" w:rsidRDefault="00D810AE" w:rsidP="00094FFC">
            <w:pPr>
              <w:adjustRightInd w:val="0"/>
              <w:rPr>
                <w:rFonts w:ascii="Times New Roman" w:hAnsi="Times New Roman" w:cs="Times New Roman"/>
                <w:sz w:val="20"/>
                <w:szCs w:val="20"/>
              </w:rPr>
            </w:pPr>
            <w:proofErr w:type="spellStart"/>
            <w:r w:rsidRPr="003E1C9A">
              <w:rPr>
                <w:rFonts w:ascii="Times New Roman" w:hAnsi="Times New Roman" w:cs="Times New Roman"/>
                <w:sz w:val="20"/>
                <w:szCs w:val="20"/>
              </w:rPr>
              <w:t>EccMBF</w:t>
            </w:r>
            <w:proofErr w:type="spellEnd"/>
            <w:r w:rsidR="007A217E">
              <w:rPr>
                <w:rFonts w:ascii="Times New Roman" w:hAnsi="Times New Roman" w:cs="Times New Roman"/>
                <w:sz w:val="20"/>
                <w:szCs w:val="20"/>
              </w:rPr>
              <w:t xml:space="preserve"> (N)</w:t>
            </w:r>
          </w:p>
        </w:tc>
        <w:tc>
          <w:tcPr>
            <w:tcW w:w="574" w:type="pct"/>
            <w:noWrap/>
            <w:vAlign w:val="center"/>
            <w:hideMark/>
          </w:tcPr>
          <w:p w14:paraId="65A76897" w14:textId="21FD7E12"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1143.</w:t>
            </w:r>
            <w:r w:rsidR="00BF25C6" w:rsidRPr="00514D79">
              <w:rPr>
                <w:rFonts w:ascii="Times New Roman" w:hAnsi="Times New Roman" w:cs="Times New Roman"/>
                <w:color w:val="000000" w:themeColor="text1"/>
                <w:sz w:val="20"/>
                <w:szCs w:val="20"/>
              </w:rPr>
              <w:t>9</w:t>
            </w:r>
            <w:r w:rsidRPr="00514D79">
              <w:rPr>
                <w:rFonts w:ascii="Times New Roman" w:hAnsi="Times New Roman" w:cs="Times New Roman"/>
                <w:color w:val="000000" w:themeColor="text1"/>
                <w:sz w:val="20"/>
                <w:szCs w:val="20"/>
              </w:rPr>
              <w:t xml:space="preserve"> ± 184.3</w:t>
            </w:r>
          </w:p>
        </w:tc>
        <w:tc>
          <w:tcPr>
            <w:tcW w:w="610" w:type="pct"/>
            <w:noWrap/>
            <w:vAlign w:val="center"/>
            <w:hideMark/>
          </w:tcPr>
          <w:p w14:paraId="626454D3" w14:textId="14DA3250"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1134.9 ± 15</w:t>
            </w:r>
            <w:r w:rsidR="00C50584" w:rsidRPr="00514D79">
              <w:rPr>
                <w:rFonts w:ascii="Times New Roman" w:hAnsi="Times New Roman" w:cs="Times New Roman"/>
                <w:color w:val="000000" w:themeColor="text1"/>
                <w:sz w:val="20"/>
                <w:szCs w:val="20"/>
              </w:rPr>
              <w:t>5.0</w:t>
            </w:r>
          </w:p>
        </w:tc>
        <w:tc>
          <w:tcPr>
            <w:tcW w:w="660" w:type="pct"/>
            <w:noWrap/>
            <w:vAlign w:val="center"/>
            <w:hideMark/>
          </w:tcPr>
          <w:p w14:paraId="3E17190A" w14:textId="51C112A2"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1129.7 ± 154.</w:t>
            </w:r>
            <w:r w:rsidR="00C50584" w:rsidRPr="00514D79">
              <w:rPr>
                <w:rFonts w:ascii="Times New Roman" w:hAnsi="Times New Roman" w:cs="Times New Roman"/>
                <w:color w:val="000000" w:themeColor="text1"/>
                <w:sz w:val="20"/>
                <w:szCs w:val="20"/>
              </w:rPr>
              <w:t>5</w:t>
            </w:r>
          </w:p>
        </w:tc>
        <w:tc>
          <w:tcPr>
            <w:tcW w:w="608" w:type="pct"/>
            <w:tcBorders>
              <w:right w:val="single" w:sz="4" w:space="0" w:color="auto"/>
            </w:tcBorders>
            <w:vAlign w:val="center"/>
          </w:tcPr>
          <w:p w14:paraId="2909B808" w14:textId="7F2BE36F"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1116.5 ± 157.4</w:t>
            </w:r>
          </w:p>
        </w:tc>
        <w:tc>
          <w:tcPr>
            <w:tcW w:w="468" w:type="pct"/>
            <w:tcBorders>
              <w:left w:val="single" w:sz="4" w:space="0" w:color="auto"/>
            </w:tcBorders>
            <w:noWrap/>
            <w:vAlign w:val="center"/>
            <w:hideMark/>
          </w:tcPr>
          <w:p w14:paraId="17286E2D" w14:textId="283E95D5"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0.05</w:t>
            </w:r>
          </w:p>
        </w:tc>
        <w:tc>
          <w:tcPr>
            <w:tcW w:w="492" w:type="pct"/>
            <w:noWrap/>
            <w:vAlign w:val="center"/>
            <w:hideMark/>
          </w:tcPr>
          <w:p w14:paraId="05176A26" w14:textId="7AEA2008" w:rsidR="00D810AE" w:rsidRPr="003E1C9A"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0.08</w:t>
            </w:r>
          </w:p>
        </w:tc>
        <w:tc>
          <w:tcPr>
            <w:tcW w:w="410" w:type="pct"/>
            <w:noWrap/>
            <w:vAlign w:val="center"/>
            <w:hideMark/>
          </w:tcPr>
          <w:p w14:paraId="6E4FF750" w14:textId="4D17C5CD" w:rsidR="00D810AE" w:rsidRPr="003E1C9A" w:rsidRDefault="00C849C7"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0.08</w:t>
            </w:r>
          </w:p>
        </w:tc>
        <w:tc>
          <w:tcPr>
            <w:tcW w:w="457" w:type="pct"/>
            <w:vAlign w:val="center"/>
          </w:tcPr>
          <w:p w14:paraId="6BFF5C21" w14:textId="78069D95" w:rsidR="00D810AE" w:rsidRPr="003E1C9A" w:rsidRDefault="00C849C7" w:rsidP="00094FFC">
            <w:pPr>
              <w:adjustRightInd w:val="0"/>
              <w:jc w:val="center"/>
              <w:rPr>
                <w:rFonts w:ascii="Times New Roman" w:hAnsi="Times New Roman" w:cs="Times New Roman"/>
                <w:sz w:val="20"/>
                <w:szCs w:val="20"/>
              </w:rPr>
            </w:pPr>
            <w:r>
              <w:rPr>
                <w:rFonts w:ascii="Times New Roman" w:hAnsi="Times New Roman" w:cs="Times New Roman"/>
                <w:sz w:val="20"/>
                <w:szCs w:val="20"/>
              </w:rPr>
              <w:t>0.12</w:t>
            </w:r>
          </w:p>
        </w:tc>
      </w:tr>
      <w:tr w:rsidR="00094FFC" w:rsidRPr="003E1C9A" w14:paraId="364B3307" w14:textId="77777777" w:rsidTr="004F5C80">
        <w:trPr>
          <w:trHeight w:val="444"/>
          <w:jc w:val="center"/>
        </w:trPr>
        <w:tc>
          <w:tcPr>
            <w:tcW w:w="721" w:type="pct"/>
            <w:noWrap/>
            <w:vAlign w:val="center"/>
          </w:tcPr>
          <w:p w14:paraId="58E91D89" w14:textId="04F4CBA4" w:rsidR="00D810AE" w:rsidRPr="003E1C9A" w:rsidRDefault="00D810AE" w:rsidP="00094FFC">
            <w:pPr>
              <w:adjustRightInd w:val="0"/>
              <w:rPr>
                <w:rFonts w:ascii="Times New Roman" w:hAnsi="Times New Roman" w:cs="Times New Roman"/>
                <w:bCs/>
                <w:sz w:val="20"/>
                <w:szCs w:val="20"/>
              </w:rPr>
            </w:pPr>
            <w:proofErr w:type="spellStart"/>
            <w:r w:rsidRPr="003E1C9A">
              <w:rPr>
                <w:rFonts w:ascii="Times New Roman" w:hAnsi="Times New Roman" w:cs="Times New Roman"/>
                <w:bCs/>
                <w:sz w:val="20"/>
                <w:szCs w:val="20"/>
              </w:rPr>
              <w:t>EccMDec</w:t>
            </w:r>
            <w:r w:rsidR="00485BD8">
              <w:rPr>
                <w:rFonts w:ascii="Times New Roman" w:hAnsi="Times New Roman" w:cs="Times New Roman"/>
                <w:bCs/>
                <w:sz w:val="20"/>
                <w:szCs w:val="20"/>
              </w:rPr>
              <w:t>F</w:t>
            </w:r>
            <w:proofErr w:type="spellEnd"/>
            <w:r w:rsidR="007A217E">
              <w:rPr>
                <w:rFonts w:ascii="Times New Roman" w:hAnsi="Times New Roman" w:cs="Times New Roman"/>
                <w:bCs/>
                <w:sz w:val="20"/>
                <w:szCs w:val="20"/>
              </w:rPr>
              <w:t xml:space="preserve"> (N)</w:t>
            </w:r>
          </w:p>
        </w:tc>
        <w:tc>
          <w:tcPr>
            <w:tcW w:w="574" w:type="pct"/>
            <w:noWrap/>
            <w:vAlign w:val="center"/>
          </w:tcPr>
          <w:p w14:paraId="021EF062" w14:textId="5E201463"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166</w:t>
            </w:r>
            <w:r w:rsidR="00BF25C6" w:rsidRPr="00514D79">
              <w:rPr>
                <w:rFonts w:ascii="Times New Roman" w:hAnsi="Times New Roman" w:cs="Times New Roman"/>
                <w:color w:val="000000" w:themeColor="text1"/>
                <w:sz w:val="20"/>
                <w:szCs w:val="20"/>
              </w:rPr>
              <w:t>2.0</w:t>
            </w:r>
            <w:r w:rsidRPr="00514D79">
              <w:rPr>
                <w:rFonts w:ascii="Times New Roman" w:hAnsi="Times New Roman" w:cs="Times New Roman"/>
                <w:color w:val="000000" w:themeColor="text1"/>
                <w:sz w:val="20"/>
                <w:szCs w:val="20"/>
              </w:rPr>
              <w:t xml:space="preserve"> ± 291.</w:t>
            </w:r>
            <w:r w:rsidR="00BF25C6" w:rsidRPr="00514D79">
              <w:rPr>
                <w:rFonts w:ascii="Times New Roman" w:hAnsi="Times New Roman" w:cs="Times New Roman"/>
                <w:color w:val="000000" w:themeColor="text1"/>
                <w:sz w:val="20"/>
                <w:szCs w:val="20"/>
              </w:rPr>
              <w:t>8</w:t>
            </w:r>
          </w:p>
        </w:tc>
        <w:tc>
          <w:tcPr>
            <w:tcW w:w="610" w:type="pct"/>
            <w:noWrap/>
            <w:vAlign w:val="center"/>
          </w:tcPr>
          <w:p w14:paraId="77F88A62" w14:textId="13EF98DA"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1685.0 ± 292.1</w:t>
            </w:r>
          </w:p>
        </w:tc>
        <w:tc>
          <w:tcPr>
            <w:tcW w:w="660" w:type="pct"/>
            <w:noWrap/>
            <w:vAlign w:val="center"/>
          </w:tcPr>
          <w:p w14:paraId="14E1C6F2" w14:textId="3D2988B6"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1684.2 ± 282.5</w:t>
            </w:r>
          </w:p>
        </w:tc>
        <w:tc>
          <w:tcPr>
            <w:tcW w:w="608" w:type="pct"/>
            <w:tcBorders>
              <w:right w:val="single" w:sz="4" w:space="0" w:color="auto"/>
            </w:tcBorders>
            <w:vAlign w:val="center"/>
          </w:tcPr>
          <w:p w14:paraId="30603DC3" w14:textId="61B6CED4"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1638.6 ± 286.2</w:t>
            </w:r>
          </w:p>
        </w:tc>
        <w:tc>
          <w:tcPr>
            <w:tcW w:w="468" w:type="pct"/>
            <w:tcBorders>
              <w:left w:val="single" w:sz="4" w:space="0" w:color="auto"/>
            </w:tcBorders>
            <w:noWrap/>
            <w:vAlign w:val="center"/>
          </w:tcPr>
          <w:p w14:paraId="3499E757" w14:textId="1CA0A3D5"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0.08</w:t>
            </w:r>
          </w:p>
        </w:tc>
        <w:tc>
          <w:tcPr>
            <w:tcW w:w="492" w:type="pct"/>
            <w:noWrap/>
            <w:vAlign w:val="center"/>
          </w:tcPr>
          <w:p w14:paraId="0F4CBBA4" w14:textId="48219531" w:rsidR="00D810AE" w:rsidRPr="003E1C9A"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0.16</w:t>
            </w:r>
          </w:p>
        </w:tc>
        <w:tc>
          <w:tcPr>
            <w:tcW w:w="410" w:type="pct"/>
            <w:noWrap/>
            <w:vAlign w:val="center"/>
          </w:tcPr>
          <w:p w14:paraId="0DC73D8D" w14:textId="0533C8B4" w:rsidR="00D810AE" w:rsidRPr="003E1C9A" w:rsidRDefault="00C849C7"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0.08</w:t>
            </w:r>
          </w:p>
        </w:tc>
        <w:tc>
          <w:tcPr>
            <w:tcW w:w="457" w:type="pct"/>
            <w:vAlign w:val="center"/>
          </w:tcPr>
          <w:p w14:paraId="2F90FBD4" w14:textId="578553B5" w:rsidR="00D810AE" w:rsidRPr="003E1C9A" w:rsidRDefault="00C849C7" w:rsidP="00094FFC">
            <w:pPr>
              <w:adjustRightInd w:val="0"/>
              <w:jc w:val="center"/>
              <w:rPr>
                <w:rFonts w:ascii="Times New Roman" w:hAnsi="Times New Roman" w:cs="Times New Roman"/>
                <w:sz w:val="20"/>
                <w:szCs w:val="20"/>
              </w:rPr>
            </w:pPr>
            <w:r>
              <w:rPr>
                <w:rFonts w:ascii="Times New Roman" w:hAnsi="Times New Roman" w:cs="Times New Roman"/>
                <w:sz w:val="20"/>
                <w:szCs w:val="20"/>
              </w:rPr>
              <w:t>0.16</w:t>
            </w:r>
          </w:p>
        </w:tc>
      </w:tr>
      <w:tr w:rsidR="00094FFC" w:rsidRPr="003E1C9A" w14:paraId="03A1C68F" w14:textId="376AC11E" w:rsidTr="004F5C80">
        <w:trPr>
          <w:trHeight w:val="444"/>
          <w:jc w:val="center"/>
        </w:trPr>
        <w:tc>
          <w:tcPr>
            <w:tcW w:w="721" w:type="pct"/>
            <w:vAlign w:val="center"/>
            <w:hideMark/>
          </w:tcPr>
          <w:p w14:paraId="15E5D103" w14:textId="60961955" w:rsidR="00D810AE" w:rsidRPr="003E1C9A" w:rsidRDefault="00D810AE" w:rsidP="00094FFC">
            <w:pPr>
              <w:adjustRightInd w:val="0"/>
              <w:rPr>
                <w:rFonts w:ascii="Times New Roman" w:hAnsi="Times New Roman" w:cs="Times New Roman"/>
                <w:sz w:val="20"/>
                <w:szCs w:val="20"/>
              </w:rPr>
            </w:pPr>
            <w:proofErr w:type="spellStart"/>
            <w:r w:rsidRPr="003E1C9A">
              <w:rPr>
                <w:rFonts w:ascii="Times New Roman" w:hAnsi="Times New Roman" w:cs="Times New Roman"/>
                <w:bCs/>
                <w:sz w:val="20"/>
                <w:szCs w:val="20"/>
              </w:rPr>
              <w:t>EccMF</w:t>
            </w:r>
            <w:proofErr w:type="spellEnd"/>
            <w:r w:rsidR="007A217E">
              <w:rPr>
                <w:rFonts w:ascii="Times New Roman" w:hAnsi="Times New Roman" w:cs="Times New Roman"/>
                <w:bCs/>
                <w:sz w:val="20"/>
                <w:szCs w:val="20"/>
              </w:rPr>
              <w:t xml:space="preserve"> (N)</w:t>
            </w:r>
          </w:p>
        </w:tc>
        <w:tc>
          <w:tcPr>
            <w:tcW w:w="574" w:type="pct"/>
            <w:noWrap/>
            <w:vAlign w:val="center"/>
            <w:hideMark/>
          </w:tcPr>
          <w:p w14:paraId="2D122172" w14:textId="71FE5465"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906.</w:t>
            </w:r>
            <w:r w:rsidR="00BF25C6" w:rsidRPr="00514D79">
              <w:rPr>
                <w:rFonts w:ascii="Times New Roman" w:hAnsi="Times New Roman" w:cs="Times New Roman"/>
                <w:color w:val="000000" w:themeColor="text1"/>
                <w:sz w:val="20"/>
                <w:szCs w:val="20"/>
              </w:rPr>
              <w:t>2</w:t>
            </w:r>
            <w:r w:rsidRPr="00514D79">
              <w:rPr>
                <w:rFonts w:ascii="Times New Roman" w:hAnsi="Times New Roman" w:cs="Times New Roman"/>
                <w:color w:val="000000" w:themeColor="text1"/>
                <w:sz w:val="20"/>
                <w:szCs w:val="20"/>
              </w:rPr>
              <w:t xml:space="preserve"> ± 104.</w:t>
            </w:r>
            <w:r w:rsidR="00C50584" w:rsidRPr="00514D79">
              <w:rPr>
                <w:rFonts w:ascii="Times New Roman" w:hAnsi="Times New Roman" w:cs="Times New Roman"/>
                <w:color w:val="000000" w:themeColor="text1"/>
                <w:sz w:val="20"/>
                <w:szCs w:val="20"/>
              </w:rPr>
              <w:t>8</w:t>
            </w:r>
            <w:r w:rsidR="00267709" w:rsidRPr="00514D79">
              <w:rPr>
                <w:rFonts w:ascii="Times New Roman" w:hAnsi="Times New Roman" w:cs="Times New Roman"/>
                <w:color w:val="000000" w:themeColor="text1"/>
                <w:sz w:val="20"/>
                <w:szCs w:val="20"/>
              </w:rPr>
              <w:t>†</w:t>
            </w:r>
          </w:p>
        </w:tc>
        <w:tc>
          <w:tcPr>
            <w:tcW w:w="610" w:type="pct"/>
            <w:noWrap/>
            <w:vAlign w:val="center"/>
            <w:hideMark/>
          </w:tcPr>
          <w:p w14:paraId="2B99E0A4" w14:textId="3928BDD6"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906.</w:t>
            </w:r>
            <w:r w:rsidR="00C50584" w:rsidRPr="00514D79">
              <w:rPr>
                <w:rFonts w:ascii="Times New Roman" w:hAnsi="Times New Roman" w:cs="Times New Roman"/>
                <w:color w:val="000000" w:themeColor="text1"/>
                <w:sz w:val="20"/>
                <w:szCs w:val="20"/>
              </w:rPr>
              <w:t>4</w:t>
            </w:r>
            <w:r w:rsidRPr="00514D79">
              <w:rPr>
                <w:rFonts w:ascii="Times New Roman" w:hAnsi="Times New Roman" w:cs="Times New Roman"/>
                <w:color w:val="000000" w:themeColor="text1"/>
                <w:sz w:val="20"/>
                <w:szCs w:val="20"/>
              </w:rPr>
              <w:t xml:space="preserve"> ± 104.</w:t>
            </w:r>
            <w:r w:rsidR="00C50584" w:rsidRPr="00514D79">
              <w:rPr>
                <w:rFonts w:ascii="Times New Roman" w:hAnsi="Times New Roman" w:cs="Times New Roman"/>
                <w:color w:val="000000" w:themeColor="text1"/>
                <w:sz w:val="20"/>
                <w:szCs w:val="20"/>
              </w:rPr>
              <w:t>7</w:t>
            </w:r>
          </w:p>
        </w:tc>
        <w:tc>
          <w:tcPr>
            <w:tcW w:w="660" w:type="pct"/>
            <w:noWrap/>
            <w:vAlign w:val="center"/>
            <w:hideMark/>
          </w:tcPr>
          <w:p w14:paraId="494BBF55" w14:textId="0FA0AE1D"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912.</w:t>
            </w:r>
            <w:r w:rsidR="00C50584" w:rsidRPr="00514D79">
              <w:rPr>
                <w:rFonts w:ascii="Times New Roman" w:hAnsi="Times New Roman" w:cs="Times New Roman"/>
                <w:color w:val="000000" w:themeColor="text1"/>
                <w:sz w:val="20"/>
                <w:szCs w:val="20"/>
              </w:rPr>
              <w:t>4</w:t>
            </w:r>
            <w:r w:rsidRPr="00514D79">
              <w:rPr>
                <w:rFonts w:ascii="Times New Roman" w:hAnsi="Times New Roman" w:cs="Times New Roman"/>
                <w:color w:val="000000" w:themeColor="text1"/>
                <w:sz w:val="20"/>
                <w:szCs w:val="20"/>
              </w:rPr>
              <w:t xml:space="preserve"> ± 99.1</w:t>
            </w:r>
            <w:r w:rsidR="00267709" w:rsidRPr="00514D79">
              <w:rPr>
                <w:rFonts w:ascii="Times New Roman" w:hAnsi="Times New Roman" w:cs="Times New Roman"/>
                <w:color w:val="000000" w:themeColor="text1"/>
                <w:sz w:val="20"/>
                <w:szCs w:val="20"/>
              </w:rPr>
              <w:t>†</w:t>
            </w:r>
          </w:p>
        </w:tc>
        <w:tc>
          <w:tcPr>
            <w:tcW w:w="608" w:type="pct"/>
            <w:tcBorders>
              <w:right w:val="single" w:sz="4" w:space="0" w:color="auto"/>
            </w:tcBorders>
            <w:vAlign w:val="center"/>
          </w:tcPr>
          <w:p w14:paraId="40DFF479" w14:textId="3A0DBB7D"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898.</w:t>
            </w:r>
            <w:r w:rsidR="00C50584" w:rsidRPr="00514D79">
              <w:rPr>
                <w:rFonts w:ascii="Times New Roman" w:hAnsi="Times New Roman" w:cs="Times New Roman"/>
                <w:color w:val="000000" w:themeColor="text1"/>
                <w:sz w:val="20"/>
                <w:szCs w:val="20"/>
              </w:rPr>
              <w:t>4</w:t>
            </w:r>
            <w:r w:rsidRPr="00514D79">
              <w:rPr>
                <w:rFonts w:ascii="Times New Roman" w:hAnsi="Times New Roman" w:cs="Times New Roman"/>
                <w:color w:val="000000" w:themeColor="text1"/>
                <w:sz w:val="20"/>
                <w:szCs w:val="20"/>
              </w:rPr>
              <w:t xml:space="preserve"> ± 96.8</w:t>
            </w:r>
          </w:p>
        </w:tc>
        <w:tc>
          <w:tcPr>
            <w:tcW w:w="468" w:type="pct"/>
            <w:tcBorders>
              <w:left w:val="single" w:sz="4" w:space="0" w:color="auto"/>
            </w:tcBorders>
            <w:noWrap/>
            <w:vAlign w:val="center"/>
            <w:hideMark/>
          </w:tcPr>
          <w:p w14:paraId="79F7EBDA" w14:textId="48E134FB"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0.00</w:t>
            </w:r>
          </w:p>
        </w:tc>
        <w:tc>
          <w:tcPr>
            <w:tcW w:w="492" w:type="pct"/>
            <w:noWrap/>
            <w:vAlign w:val="center"/>
            <w:hideMark/>
          </w:tcPr>
          <w:p w14:paraId="37201171" w14:textId="09D55E1C" w:rsidR="00D810AE" w:rsidRPr="003E1C9A"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0.14</w:t>
            </w:r>
          </w:p>
        </w:tc>
        <w:tc>
          <w:tcPr>
            <w:tcW w:w="410" w:type="pct"/>
            <w:noWrap/>
            <w:vAlign w:val="center"/>
            <w:hideMark/>
          </w:tcPr>
          <w:p w14:paraId="6449F0A5" w14:textId="17A5B54E" w:rsidR="00D810AE" w:rsidRPr="003E1C9A" w:rsidRDefault="00C849C7"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0.06</w:t>
            </w:r>
          </w:p>
        </w:tc>
        <w:tc>
          <w:tcPr>
            <w:tcW w:w="457" w:type="pct"/>
            <w:vAlign w:val="center"/>
          </w:tcPr>
          <w:p w14:paraId="10CAF14F" w14:textId="31195728" w:rsidR="00D810AE" w:rsidRPr="003E1C9A" w:rsidRDefault="00C849C7"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0.08</w:t>
            </w:r>
          </w:p>
        </w:tc>
      </w:tr>
      <w:tr w:rsidR="00094FFC" w:rsidRPr="003E1C9A" w14:paraId="657BAA41" w14:textId="55648A60" w:rsidTr="004F5C80">
        <w:trPr>
          <w:trHeight w:val="444"/>
          <w:jc w:val="center"/>
        </w:trPr>
        <w:tc>
          <w:tcPr>
            <w:tcW w:w="721" w:type="pct"/>
            <w:noWrap/>
            <w:vAlign w:val="center"/>
            <w:hideMark/>
          </w:tcPr>
          <w:p w14:paraId="704AFC8A" w14:textId="354C9000" w:rsidR="00D810AE" w:rsidRPr="003E1C9A" w:rsidRDefault="00D810AE" w:rsidP="00094FFC">
            <w:pPr>
              <w:adjustRightInd w:val="0"/>
              <w:rPr>
                <w:rFonts w:ascii="Times New Roman" w:hAnsi="Times New Roman" w:cs="Times New Roman"/>
                <w:sz w:val="20"/>
                <w:szCs w:val="20"/>
              </w:rPr>
            </w:pPr>
            <w:proofErr w:type="spellStart"/>
            <w:r w:rsidRPr="003E1C9A">
              <w:rPr>
                <w:rFonts w:ascii="Times New Roman" w:hAnsi="Times New Roman" w:cs="Times New Roman"/>
                <w:bCs/>
                <w:sz w:val="20"/>
                <w:szCs w:val="20"/>
              </w:rPr>
              <w:t>EccMP</w:t>
            </w:r>
            <w:proofErr w:type="spellEnd"/>
            <w:r w:rsidR="007A217E">
              <w:rPr>
                <w:rFonts w:ascii="Times New Roman" w:hAnsi="Times New Roman" w:cs="Times New Roman"/>
                <w:bCs/>
                <w:sz w:val="20"/>
                <w:szCs w:val="20"/>
              </w:rPr>
              <w:t xml:space="preserve"> (W)</w:t>
            </w:r>
          </w:p>
        </w:tc>
        <w:tc>
          <w:tcPr>
            <w:tcW w:w="574" w:type="pct"/>
            <w:noWrap/>
            <w:vAlign w:val="center"/>
            <w:hideMark/>
          </w:tcPr>
          <w:p w14:paraId="0129E62A" w14:textId="0110D594"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553.</w:t>
            </w:r>
            <w:r w:rsidR="00C50584" w:rsidRPr="00514D79">
              <w:rPr>
                <w:rFonts w:ascii="Times New Roman" w:hAnsi="Times New Roman" w:cs="Times New Roman"/>
                <w:color w:val="000000" w:themeColor="text1"/>
                <w:sz w:val="20"/>
                <w:szCs w:val="20"/>
              </w:rPr>
              <w:t>4</w:t>
            </w:r>
            <w:r w:rsidRPr="00514D79">
              <w:rPr>
                <w:rFonts w:ascii="Times New Roman" w:hAnsi="Times New Roman" w:cs="Times New Roman"/>
                <w:color w:val="000000" w:themeColor="text1"/>
                <w:sz w:val="20"/>
                <w:szCs w:val="20"/>
              </w:rPr>
              <w:t xml:space="preserve"> ± 156.</w:t>
            </w:r>
            <w:r w:rsidR="00C50584" w:rsidRPr="00514D79">
              <w:rPr>
                <w:rFonts w:ascii="Times New Roman" w:hAnsi="Times New Roman" w:cs="Times New Roman"/>
                <w:color w:val="000000" w:themeColor="text1"/>
                <w:sz w:val="20"/>
                <w:szCs w:val="20"/>
              </w:rPr>
              <w:t>3</w:t>
            </w:r>
          </w:p>
        </w:tc>
        <w:tc>
          <w:tcPr>
            <w:tcW w:w="610" w:type="pct"/>
            <w:noWrap/>
            <w:vAlign w:val="center"/>
            <w:hideMark/>
          </w:tcPr>
          <w:p w14:paraId="3F6F7D60" w14:textId="343B1F9D"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538.</w:t>
            </w:r>
            <w:r w:rsidR="00C50584" w:rsidRPr="00514D79">
              <w:rPr>
                <w:rFonts w:ascii="Times New Roman" w:hAnsi="Times New Roman" w:cs="Times New Roman"/>
                <w:color w:val="000000" w:themeColor="text1"/>
                <w:sz w:val="20"/>
                <w:szCs w:val="20"/>
              </w:rPr>
              <w:t>4</w:t>
            </w:r>
            <w:r w:rsidRPr="00514D79">
              <w:rPr>
                <w:rFonts w:ascii="Times New Roman" w:hAnsi="Times New Roman" w:cs="Times New Roman"/>
                <w:color w:val="000000" w:themeColor="text1"/>
                <w:sz w:val="20"/>
                <w:szCs w:val="20"/>
              </w:rPr>
              <w:t xml:space="preserve"> ± 135.6</w:t>
            </w:r>
          </w:p>
        </w:tc>
        <w:tc>
          <w:tcPr>
            <w:tcW w:w="660" w:type="pct"/>
            <w:noWrap/>
            <w:vAlign w:val="center"/>
            <w:hideMark/>
          </w:tcPr>
          <w:p w14:paraId="3329947C" w14:textId="59797576"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561.2 ± 146.</w:t>
            </w:r>
            <w:r w:rsidR="00C50584" w:rsidRPr="00514D79">
              <w:rPr>
                <w:rFonts w:ascii="Times New Roman" w:hAnsi="Times New Roman" w:cs="Times New Roman"/>
                <w:color w:val="000000" w:themeColor="text1"/>
                <w:sz w:val="20"/>
                <w:szCs w:val="20"/>
              </w:rPr>
              <w:t>8</w:t>
            </w:r>
          </w:p>
        </w:tc>
        <w:tc>
          <w:tcPr>
            <w:tcW w:w="608" w:type="pct"/>
            <w:tcBorders>
              <w:right w:val="single" w:sz="4" w:space="0" w:color="auto"/>
            </w:tcBorders>
            <w:vAlign w:val="center"/>
          </w:tcPr>
          <w:p w14:paraId="620522A4" w14:textId="08C6118E"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523.</w:t>
            </w:r>
            <w:r w:rsidR="00C50584" w:rsidRPr="00514D79">
              <w:rPr>
                <w:rFonts w:ascii="Times New Roman" w:hAnsi="Times New Roman" w:cs="Times New Roman"/>
                <w:color w:val="000000" w:themeColor="text1"/>
                <w:sz w:val="20"/>
                <w:szCs w:val="20"/>
              </w:rPr>
              <w:t>4</w:t>
            </w:r>
            <w:r w:rsidRPr="00514D79">
              <w:rPr>
                <w:rFonts w:ascii="Times New Roman" w:hAnsi="Times New Roman" w:cs="Times New Roman"/>
                <w:color w:val="000000" w:themeColor="text1"/>
                <w:sz w:val="20"/>
                <w:szCs w:val="20"/>
              </w:rPr>
              <w:t xml:space="preserve"> ± 13</w:t>
            </w:r>
            <w:r w:rsidR="00C50584" w:rsidRPr="00514D79">
              <w:rPr>
                <w:rFonts w:ascii="Times New Roman" w:hAnsi="Times New Roman" w:cs="Times New Roman"/>
                <w:color w:val="000000" w:themeColor="text1"/>
                <w:sz w:val="20"/>
                <w:szCs w:val="20"/>
              </w:rPr>
              <w:t>8.0</w:t>
            </w:r>
          </w:p>
        </w:tc>
        <w:tc>
          <w:tcPr>
            <w:tcW w:w="468" w:type="pct"/>
            <w:tcBorders>
              <w:left w:val="single" w:sz="4" w:space="0" w:color="auto"/>
            </w:tcBorders>
            <w:noWrap/>
            <w:vAlign w:val="center"/>
            <w:hideMark/>
          </w:tcPr>
          <w:p w14:paraId="5D32185C" w14:textId="40939A40"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0.10</w:t>
            </w:r>
          </w:p>
        </w:tc>
        <w:tc>
          <w:tcPr>
            <w:tcW w:w="492" w:type="pct"/>
            <w:noWrap/>
            <w:vAlign w:val="center"/>
            <w:hideMark/>
          </w:tcPr>
          <w:p w14:paraId="65DD6DEB" w14:textId="531CB203" w:rsidR="00D810AE" w:rsidRPr="003E1C9A"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0.27</w:t>
            </w:r>
          </w:p>
        </w:tc>
        <w:tc>
          <w:tcPr>
            <w:tcW w:w="410" w:type="pct"/>
            <w:noWrap/>
            <w:vAlign w:val="center"/>
            <w:hideMark/>
          </w:tcPr>
          <w:p w14:paraId="7ACEAACE" w14:textId="5123B697" w:rsidR="00D810AE" w:rsidRPr="003E1C9A" w:rsidRDefault="00C849C7"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0.05</w:t>
            </w:r>
          </w:p>
        </w:tc>
        <w:tc>
          <w:tcPr>
            <w:tcW w:w="457" w:type="pct"/>
            <w:vAlign w:val="center"/>
          </w:tcPr>
          <w:p w14:paraId="684B1BB3" w14:textId="71D0AB03" w:rsidR="00D810AE" w:rsidRPr="003E1C9A" w:rsidRDefault="00C849C7" w:rsidP="00094FFC">
            <w:pPr>
              <w:adjustRightInd w:val="0"/>
              <w:jc w:val="center"/>
              <w:rPr>
                <w:rFonts w:ascii="Times New Roman" w:hAnsi="Times New Roman" w:cs="Times New Roman"/>
                <w:sz w:val="20"/>
                <w:szCs w:val="20"/>
              </w:rPr>
            </w:pPr>
            <w:r>
              <w:rPr>
                <w:rFonts w:ascii="Times New Roman" w:hAnsi="Times New Roman" w:cs="Times New Roman"/>
                <w:sz w:val="20"/>
                <w:szCs w:val="20"/>
              </w:rPr>
              <w:t>0.11</w:t>
            </w:r>
          </w:p>
        </w:tc>
      </w:tr>
      <w:tr w:rsidR="00094FFC" w:rsidRPr="003E1C9A" w14:paraId="57E9C48F" w14:textId="3BCCF862" w:rsidTr="004F5C80">
        <w:trPr>
          <w:trHeight w:val="444"/>
          <w:jc w:val="center"/>
        </w:trPr>
        <w:tc>
          <w:tcPr>
            <w:tcW w:w="721" w:type="pct"/>
            <w:vAlign w:val="center"/>
            <w:hideMark/>
          </w:tcPr>
          <w:p w14:paraId="543F5E8C" w14:textId="077067A4" w:rsidR="00D810AE" w:rsidRPr="003E1C9A" w:rsidRDefault="00D810AE" w:rsidP="00094FFC">
            <w:pPr>
              <w:adjustRightInd w:val="0"/>
              <w:rPr>
                <w:rFonts w:ascii="Times New Roman" w:hAnsi="Times New Roman" w:cs="Times New Roman"/>
                <w:sz w:val="20"/>
                <w:szCs w:val="20"/>
              </w:rPr>
            </w:pPr>
            <w:proofErr w:type="spellStart"/>
            <w:r w:rsidRPr="003E1C9A">
              <w:rPr>
                <w:rFonts w:ascii="Times New Roman" w:hAnsi="Times New Roman" w:cs="Times New Roman"/>
                <w:bCs/>
                <w:sz w:val="20"/>
                <w:szCs w:val="20"/>
              </w:rPr>
              <w:t>EccPF</w:t>
            </w:r>
            <w:proofErr w:type="spellEnd"/>
            <w:r w:rsidR="007A217E">
              <w:rPr>
                <w:rFonts w:ascii="Times New Roman" w:hAnsi="Times New Roman" w:cs="Times New Roman"/>
                <w:bCs/>
                <w:sz w:val="20"/>
                <w:szCs w:val="20"/>
              </w:rPr>
              <w:t xml:space="preserve"> (N)</w:t>
            </w:r>
          </w:p>
        </w:tc>
        <w:tc>
          <w:tcPr>
            <w:tcW w:w="574" w:type="pct"/>
            <w:noWrap/>
            <w:vAlign w:val="center"/>
            <w:hideMark/>
          </w:tcPr>
          <w:p w14:paraId="0CDC8D85" w14:textId="73C74245"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2258.6 ± 404.</w:t>
            </w:r>
            <w:r w:rsidR="00C50584">
              <w:rPr>
                <w:rFonts w:ascii="Times New Roman" w:hAnsi="Times New Roman" w:cs="Times New Roman"/>
                <w:color w:val="000000"/>
                <w:sz w:val="20"/>
                <w:szCs w:val="20"/>
              </w:rPr>
              <w:t>1</w:t>
            </w:r>
          </w:p>
        </w:tc>
        <w:tc>
          <w:tcPr>
            <w:tcW w:w="610" w:type="pct"/>
            <w:noWrap/>
            <w:vAlign w:val="center"/>
            <w:hideMark/>
          </w:tcPr>
          <w:p w14:paraId="042DE8A8" w14:textId="1CF11EA3"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2291.</w:t>
            </w:r>
            <w:r w:rsidR="009D0F90">
              <w:rPr>
                <w:rFonts w:ascii="Times New Roman" w:hAnsi="Times New Roman" w:cs="Times New Roman"/>
                <w:color w:val="000000"/>
                <w:sz w:val="20"/>
                <w:szCs w:val="20"/>
              </w:rPr>
              <w:t>2</w:t>
            </w:r>
            <w:r w:rsidRPr="003E1C9A">
              <w:rPr>
                <w:rFonts w:ascii="Times New Roman" w:hAnsi="Times New Roman" w:cs="Times New Roman"/>
                <w:color w:val="000000"/>
                <w:sz w:val="20"/>
                <w:szCs w:val="20"/>
              </w:rPr>
              <w:t xml:space="preserve"> ± 492.6</w:t>
            </w:r>
          </w:p>
        </w:tc>
        <w:tc>
          <w:tcPr>
            <w:tcW w:w="660" w:type="pct"/>
            <w:noWrap/>
            <w:vAlign w:val="center"/>
            <w:hideMark/>
          </w:tcPr>
          <w:p w14:paraId="7043377D" w14:textId="69310C16"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2288.8 ± 42</w:t>
            </w:r>
            <w:r w:rsidR="00C50584">
              <w:rPr>
                <w:rFonts w:ascii="Times New Roman" w:hAnsi="Times New Roman" w:cs="Times New Roman"/>
                <w:color w:val="000000"/>
                <w:sz w:val="20"/>
                <w:szCs w:val="20"/>
              </w:rPr>
              <w:t>5.0</w:t>
            </w:r>
          </w:p>
        </w:tc>
        <w:tc>
          <w:tcPr>
            <w:tcW w:w="608" w:type="pct"/>
            <w:tcBorders>
              <w:right w:val="single" w:sz="4" w:space="0" w:color="auto"/>
            </w:tcBorders>
            <w:vAlign w:val="center"/>
          </w:tcPr>
          <w:p w14:paraId="272FC113" w14:textId="63AF0861" w:rsidR="00D810AE" w:rsidRPr="003E1C9A" w:rsidRDefault="00D810AE" w:rsidP="00094FFC">
            <w:pPr>
              <w:adjustRightInd w:val="0"/>
              <w:jc w:val="center"/>
              <w:rPr>
                <w:rFonts w:ascii="Times New Roman" w:hAnsi="Times New Roman" w:cs="Times New Roman"/>
                <w:color w:val="000000"/>
                <w:sz w:val="20"/>
                <w:szCs w:val="20"/>
              </w:rPr>
            </w:pPr>
            <w:r w:rsidRPr="003E1C9A">
              <w:rPr>
                <w:rFonts w:ascii="Times New Roman" w:hAnsi="Times New Roman" w:cs="Times New Roman"/>
                <w:color w:val="000000"/>
                <w:sz w:val="20"/>
                <w:szCs w:val="20"/>
              </w:rPr>
              <w:t>2156.6 ± 447.</w:t>
            </w:r>
            <w:r w:rsidR="00C50584">
              <w:rPr>
                <w:rFonts w:ascii="Times New Roman" w:hAnsi="Times New Roman" w:cs="Times New Roman"/>
                <w:color w:val="000000"/>
                <w:sz w:val="20"/>
                <w:szCs w:val="20"/>
              </w:rPr>
              <w:t>6</w:t>
            </w:r>
          </w:p>
        </w:tc>
        <w:tc>
          <w:tcPr>
            <w:tcW w:w="468" w:type="pct"/>
            <w:tcBorders>
              <w:left w:val="single" w:sz="4" w:space="0" w:color="auto"/>
            </w:tcBorders>
            <w:noWrap/>
            <w:vAlign w:val="center"/>
            <w:hideMark/>
          </w:tcPr>
          <w:p w14:paraId="5DB4BB08" w14:textId="4BD7A701"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0.07</w:t>
            </w:r>
          </w:p>
        </w:tc>
        <w:tc>
          <w:tcPr>
            <w:tcW w:w="492" w:type="pct"/>
            <w:noWrap/>
            <w:vAlign w:val="center"/>
            <w:hideMark/>
          </w:tcPr>
          <w:p w14:paraId="79780F39" w14:textId="265EA439" w:rsidR="00D810AE" w:rsidRPr="003E1C9A"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0.30</w:t>
            </w:r>
          </w:p>
        </w:tc>
        <w:tc>
          <w:tcPr>
            <w:tcW w:w="410" w:type="pct"/>
            <w:noWrap/>
            <w:vAlign w:val="center"/>
            <w:hideMark/>
          </w:tcPr>
          <w:p w14:paraId="0DECFE70" w14:textId="47D87DC7" w:rsidR="00D810AE" w:rsidRPr="003E1C9A" w:rsidRDefault="00C849C7"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0.07</w:t>
            </w:r>
          </w:p>
        </w:tc>
        <w:tc>
          <w:tcPr>
            <w:tcW w:w="457" w:type="pct"/>
            <w:vAlign w:val="center"/>
          </w:tcPr>
          <w:p w14:paraId="5BE36D52" w14:textId="3729C535" w:rsidR="00D810AE" w:rsidRPr="003E1C9A" w:rsidRDefault="00C849C7" w:rsidP="00094FFC">
            <w:pPr>
              <w:adjustRightInd w:val="0"/>
              <w:jc w:val="center"/>
              <w:rPr>
                <w:rFonts w:ascii="Times New Roman" w:hAnsi="Times New Roman" w:cs="Times New Roman"/>
                <w:sz w:val="20"/>
                <w:szCs w:val="20"/>
              </w:rPr>
            </w:pPr>
            <w:r>
              <w:rPr>
                <w:rFonts w:ascii="Times New Roman" w:hAnsi="Times New Roman" w:cs="Times New Roman"/>
                <w:sz w:val="20"/>
                <w:szCs w:val="20"/>
              </w:rPr>
              <w:t>0.29</w:t>
            </w:r>
          </w:p>
        </w:tc>
      </w:tr>
      <w:tr w:rsidR="00094FFC" w:rsidRPr="003E1C9A" w14:paraId="3352A266" w14:textId="5AB48FA0" w:rsidTr="004F5C80">
        <w:trPr>
          <w:trHeight w:val="444"/>
          <w:jc w:val="center"/>
        </w:trPr>
        <w:tc>
          <w:tcPr>
            <w:tcW w:w="721" w:type="pct"/>
            <w:noWrap/>
            <w:vAlign w:val="center"/>
            <w:hideMark/>
          </w:tcPr>
          <w:p w14:paraId="3E2692CB" w14:textId="2D3969F8" w:rsidR="00D810AE" w:rsidRPr="003E1C9A" w:rsidRDefault="00D810AE" w:rsidP="00094FFC">
            <w:pPr>
              <w:adjustRightInd w:val="0"/>
              <w:rPr>
                <w:rFonts w:ascii="Times New Roman" w:hAnsi="Times New Roman" w:cs="Times New Roman"/>
                <w:sz w:val="20"/>
                <w:szCs w:val="20"/>
              </w:rPr>
            </w:pPr>
            <w:proofErr w:type="spellStart"/>
            <w:r w:rsidRPr="003E1C9A">
              <w:rPr>
                <w:rFonts w:ascii="Times New Roman" w:hAnsi="Times New Roman" w:cs="Times New Roman"/>
                <w:bCs/>
                <w:sz w:val="20"/>
                <w:szCs w:val="20"/>
              </w:rPr>
              <w:t>EccPP</w:t>
            </w:r>
            <w:proofErr w:type="spellEnd"/>
            <w:r w:rsidR="007A217E">
              <w:rPr>
                <w:rFonts w:ascii="Times New Roman" w:hAnsi="Times New Roman" w:cs="Times New Roman"/>
                <w:bCs/>
                <w:sz w:val="20"/>
                <w:szCs w:val="20"/>
              </w:rPr>
              <w:t xml:space="preserve"> (W)</w:t>
            </w:r>
          </w:p>
        </w:tc>
        <w:tc>
          <w:tcPr>
            <w:tcW w:w="574" w:type="pct"/>
            <w:noWrap/>
            <w:vAlign w:val="center"/>
            <w:hideMark/>
          </w:tcPr>
          <w:p w14:paraId="1796DCE9" w14:textId="19A993AB"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1637.8 ± 535.3</w:t>
            </w:r>
          </w:p>
        </w:tc>
        <w:tc>
          <w:tcPr>
            <w:tcW w:w="610" w:type="pct"/>
            <w:noWrap/>
            <w:vAlign w:val="center"/>
            <w:hideMark/>
          </w:tcPr>
          <w:p w14:paraId="11A5A4CC" w14:textId="0778D92B"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1625.</w:t>
            </w:r>
            <w:r w:rsidR="00C50584">
              <w:rPr>
                <w:rFonts w:ascii="Times New Roman" w:hAnsi="Times New Roman" w:cs="Times New Roman"/>
                <w:color w:val="000000"/>
                <w:sz w:val="20"/>
                <w:szCs w:val="20"/>
              </w:rPr>
              <w:t>7</w:t>
            </w:r>
            <w:r w:rsidRPr="003E1C9A">
              <w:rPr>
                <w:rFonts w:ascii="Times New Roman" w:hAnsi="Times New Roman" w:cs="Times New Roman"/>
                <w:color w:val="000000"/>
                <w:sz w:val="20"/>
                <w:szCs w:val="20"/>
              </w:rPr>
              <w:t xml:space="preserve"> ± 458.1</w:t>
            </w:r>
          </w:p>
        </w:tc>
        <w:tc>
          <w:tcPr>
            <w:tcW w:w="660" w:type="pct"/>
            <w:noWrap/>
            <w:vAlign w:val="center"/>
            <w:hideMark/>
          </w:tcPr>
          <w:p w14:paraId="1AAFEAE5" w14:textId="422FEAD0"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1665</w:t>
            </w:r>
            <w:r w:rsidR="003A3D15">
              <w:rPr>
                <w:rFonts w:ascii="Times New Roman" w:hAnsi="Times New Roman" w:cs="Times New Roman"/>
                <w:color w:val="000000"/>
                <w:sz w:val="20"/>
                <w:szCs w:val="20"/>
              </w:rPr>
              <w:t>.0</w:t>
            </w:r>
            <w:r w:rsidRPr="003E1C9A">
              <w:rPr>
                <w:rFonts w:ascii="Times New Roman" w:hAnsi="Times New Roman" w:cs="Times New Roman"/>
                <w:color w:val="000000"/>
                <w:sz w:val="20"/>
                <w:szCs w:val="20"/>
              </w:rPr>
              <w:t xml:space="preserve"> ± 479.0</w:t>
            </w:r>
          </w:p>
        </w:tc>
        <w:tc>
          <w:tcPr>
            <w:tcW w:w="608" w:type="pct"/>
            <w:tcBorders>
              <w:right w:val="single" w:sz="4" w:space="0" w:color="auto"/>
            </w:tcBorders>
            <w:vAlign w:val="center"/>
          </w:tcPr>
          <w:p w14:paraId="478411DF" w14:textId="4A4BBCB9" w:rsidR="00D810AE" w:rsidRPr="003E1C9A" w:rsidRDefault="00D810AE" w:rsidP="00094FFC">
            <w:pPr>
              <w:adjustRightInd w:val="0"/>
              <w:jc w:val="center"/>
              <w:rPr>
                <w:rFonts w:ascii="Times New Roman" w:hAnsi="Times New Roman" w:cs="Times New Roman"/>
                <w:color w:val="000000"/>
                <w:sz w:val="20"/>
                <w:szCs w:val="20"/>
              </w:rPr>
            </w:pPr>
            <w:r w:rsidRPr="003E1C9A">
              <w:rPr>
                <w:rFonts w:ascii="Times New Roman" w:hAnsi="Times New Roman" w:cs="Times New Roman"/>
                <w:color w:val="000000"/>
                <w:sz w:val="20"/>
                <w:szCs w:val="20"/>
              </w:rPr>
              <w:t>1584</w:t>
            </w:r>
            <w:r w:rsidR="003A3D15">
              <w:rPr>
                <w:rFonts w:ascii="Times New Roman" w:hAnsi="Times New Roman" w:cs="Times New Roman"/>
                <w:color w:val="000000"/>
                <w:sz w:val="20"/>
                <w:szCs w:val="20"/>
              </w:rPr>
              <w:t>.0</w:t>
            </w:r>
            <w:r w:rsidRPr="003E1C9A">
              <w:rPr>
                <w:rFonts w:ascii="Times New Roman" w:hAnsi="Times New Roman" w:cs="Times New Roman"/>
                <w:color w:val="000000"/>
                <w:sz w:val="20"/>
                <w:szCs w:val="20"/>
              </w:rPr>
              <w:t xml:space="preserve"> ± 459.</w:t>
            </w:r>
            <w:r w:rsidR="00C50584">
              <w:rPr>
                <w:rFonts w:ascii="Times New Roman" w:hAnsi="Times New Roman" w:cs="Times New Roman"/>
                <w:color w:val="000000"/>
                <w:sz w:val="20"/>
                <w:szCs w:val="20"/>
              </w:rPr>
              <w:t>3</w:t>
            </w:r>
          </w:p>
        </w:tc>
        <w:tc>
          <w:tcPr>
            <w:tcW w:w="468" w:type="pct"/>
            <w:tcBorders>
              <w:left w:val="single" w:sz="4" w:space="0" w:color="auto"/>
            </w:tcBorders>
            <w:noWrap/>
            <w:vAlign w:val="center"/>
            <w:hideMark/>
          </w:tcPr>
          <w:p w14:paraId="69D3234A" w14:textId="755749E5"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0.02</w:t>
            </w:r>
          </w:p>
        </w:tc>
        <w:tc>
          <w:tcPr>
            <w:tcW w:w="492" w:type="pct"/>
            <w:noWrap/>
            <w:vAlign w:val="center"/>
            <w:hideMark/>
          </w:tcPr>
          <w:p w14:paraId="63FDAE63" w14:textId="767E8E6E" w:rsidR="00D810AE" w:rsidRPr="003E1C9A"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0.17</w:t>
            </w:r>
          </w:p>
        </w:tc>
        <w:tc>
          <w:tcPr>
            <w:tcW w:w="410" w:type="pct"/>
            <w:noWrap/>
            <w:vAlign w:val="center"/>
            <w:hideMark/>
          </w:tcPr>
          <w:p w14:paraId="16180A5F" w14:textId="601FC6BE" w:rsidR="00D810AE" w:rsidRPr="003E1C9A" w:rsidRDefault="0041439D"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0.05</w:t>
            </w:r>
          </w:p>
        </w:tc>
        <w:tc>
          <w:tcPr>
            <w:tcW w:w="457" w:type="pct"/>
            <w:vAlign w:val="center"/>
          </w:tcPr>
          <w:p w14:paraId="113CBEBD" w14:textId="26527B7F" w:rsidR="00D810AE" w:rsidRPr="003E1C9A" w:rsidRDefault="0041439D"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0.09</w:t>
            </w:r>
          </w:p>
        </w:tc>
      </w:tr>
      <w:tr w:rsidR="00094FFC" w:rsidRPr="003E1C9A" w14:paraId="09C4C154" w14:textId="26D6D0E9" w:rsidTr="004F5C80">
        <w:trPr>
          <w:trHeight w:val="444"/>
          <w:jc w:val="center"/>
        </w:trPr>
        <w:tc>
          <w:tcPr>
            <w:tcW w:w="721" w:type="pct"/>
            <w:vAlign w:val="center"/>
            <w:hideMark/>
          </w:tcPr>
          <w:p w14:paraId="042CEC43" w14:textId="4E00FFFB" w:rsidR="00D810AE" w:rsidRPr="003E1C9A" w:rsidRDefault="00D810AE" w:rsidP="00094FFC">
            <w:pPr>
              <w:adjustRightInd w:val="0"/>
              <w:rPr>
                <w:rFonts w:ascii="Times New Roman" w:hAnsi="Times New Roman" w:cs="Times New Roman"/>
                <w:sz w:val="20"/>
                <w:szCs w:val="20"/>
              </w:rPr>
            </w:pPr>
            <w:r w:rsidRPr="003E1C9A">
              <w:rPr>
                <w:rFonts w:ascii="Times New Roman" w:hAnsi="Times New Roman" w:cs="Times New Roman"/>
                <w:bCs/>
                <w:sz w:val="20"/>
                <w:szCs w:val="20"/>
              </w:rPr>
              <w:t>FT</w:t>
            </w:r>
            <w:r w:rsidR="007A217E">
              <w:rPr>
                <w:rFonts w:ascii="Times New Roman" w:hAnsi="Times New Roman" w:cs="Times New Roman"/>
                <w:bCs/>
                <w:sz w:val="20"/>
                <w:szCs w:val="20"/>
              </w:rPr>
              <w:t xml:space="preserve"> (</w:t>
            </w:r>
            <w:proofErr w:type="spellStart"/>
            <w:r w:rsidR="007A217E">
              <w:rPr>
                <w:rFonts w:ascii="Times New Roman" w:hAnsi="Times New Roman" w:cs="Times New Roman"/>
                <w:bCs/>
                <w:sz w:val="20"/>
                <w:szCs w:val="20"/>
              </w:rPr>
              <w:t>ms</w:t>
            </w:r>
            <w:proofErr w:type="spellEnd"/>
            <w:r w:rsidR="007A217E">
              <w:rPr>
                <w:rFonts w:ascii="Times New Roman" w:hAnsi="Times New Roman" w:cs="Times New Roman"/>
                <w:bCs/>
                <w:sz w:val="20"/>
                <w:szCs w:val="20"/>
              </w:rPr>
              <w:t>)</w:t>
            </w:r>
          </w:p>
        </w:tc>
        <w:tc>
          <w:tcPr>
            <w:tcW w:w="574" w:type="pct"/>
            <w:noWrap/>
            <w:vAlign w:val="center"/>
            <w:hideMark/>
          </w:tcPr>
          <w:p w14:paraId="5AA759F2" w14:textId="530F9C25"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561.</w:t>
            </w:r>
            <w:r w:rsidR="00C50584">
              <w:rPr>
                <w:rFonts w:ascii="Times New Roman" w:hAnsi="Times New Roman" w:cs="Times New Roman"/>
                <w:color w:val="000000"/>
                <w:sz w:val="20"/>
                <w:szCs w:val="20"/>
              </w:rPr>
              <w:t>4</w:t>
            </w:r>
            <w:r w:rsidRPr="003E1C9A">
              <w:rPr>
                <w:rFonts w:ascii="Times New Roman" w:hAnsi="Times New Roman" w:cs="Times New Roman"/>
                <w:color w:val="000000"/>
                <w:sz w:val="20"/>
                <w:szCs w:val="20"/>
              </w:rPr>
              <w:t xml:space="preserve"> ± 37.5</w:t>
            </w:r>
          </w:p>
        </w:tc>
        <w:tc>
          <w:tcPr>
            <w:tcW w:w="610" w:type="pct"/>
            <w:noWrap/>
            <w:vAlign w:val="center"/>
            <w:hideMark/>
          </w:tcPr>
          <w:p w14:paraId="6132870F" w14:textId="4BB659E6"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564.2 ± 44.7</w:t>
            </w:r>
          </w:p>
        </w:tc>
        <w:tc>
          <w:tcPr>
            <w:tcW w:w="660" w:type="pct"/>
            <w:noWrap/>
            <w:vAlign w:val="center"/>
            <w:hideMark/>
          </w:tcPr>
          <w:p w14:paraId="6A7424BC" w14:textId="7B2A773D"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563.9 ± 36.7</w:t>
            </w:r>
          </w:p>
        </w:tc>
        <w:tc>
          <w:tcPr>
            <w:tcW w:w="608" w:type="pct"/>
            <w:tcBorders>
              <w:right w:val="single" w:sz="4" w:space="0" w:color="auto"/>
            </w:tcBorders>
            <w:vAlign w:val="center"/>
          </w:tcPr>
          <w:p w14:paraId="2DE29A6C" w14:textId="272D55C6" w:rsidR="00D810AE" w:rsidRPr="003E1C9A" w:rsidRDefault="00D810AE" w:rsidP="00094FFC">
            <w:pPr>
              <w:adjustRightInd w:val="0"/>
              <w:jc w:val="center"/>
              <w:rPr>
                <w:rFonts w:ascii="Times New Roman" w:hAnsi="Times New Roman" w:cs="Times New Roman"/>
                <w:color w:val="000000"/>
                <w:sz w:val="20"/>
                <w:szCs w:val="20"/>
              </w:rPr>
            </w:pPr>
            <w:r w:rsidRPr="003E1C9A">
              <w:rPr>
                <w:rFonts w:ascii="Times New Roman" w:hAnsi="Times New Roman" w:cs="Times New Roman"/>
                <w:color w:val="000000"/>
                <w:sz w:val="20"/>
                <w:szCs w:val="20"/>
              </w:rPr>
              <w:t>560.6 ± 42.5</w:t>
            </w:r>
          </w:p>
        </w:tc>
        <w:tc>
          <w:tcPr>
            <w:tcW w:w="468" w:type="pct"/>
            <w:tcBorders>
              <w:left w:val="single" w:sz="4" w:space="0" w:color="auto"/>
            </w:tcBorders>
            <w:noWrap/>
            <w:vAlign w:val="center"/>
            <w:hideMark/>
          </w:tcPr>
          <w:p w14:paraId="04B23BC8" w14:textId="36C14EB4"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0.07</w:t>
            </w:r>
          </w:p>
        </w:tc>
        <w:tc>
          <w:tcPr>
            <w:tcW w:w="492" w:type="pct"/>
            <w:noWrap/>
            <w:vAlign w:val="center"/>
            <w:hideMark/>
          </w:tcPr>
          <w:p w14:paraId="44AC2852" w14:textId="3E33F4B7" w:rsidR="00D810AE" w:rsidRPr="003E1C9A"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0.08</w:t>
            </w:r>
          </w:p>
        </w:tc>
        <w:tc>
          <w:tcPr>
            <w:tcW w:w="410" w:type="pct"/>
            <w:noWrap/>
            <w:vAlign w:val="center"/>
            <w:hideMark/>
          </w:tcPr>
          <w:p w14:paraId="1B93A244" w14:textId="649C0FB8" w:rsidR="00D810AE" w:rsidRPr="003E1C9A" w:rsidRDefault="0041439D"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0.07</w:t>
            </w:r>
          </w:p>
        </w:tc>
        <w:tc>
          <w:tcPr>
            <w:tcW w:w="457" w:type="pct"/>
            <w:vAlign w:val="center"/>
          </w:tcPr>
          <w:p w14:paraId="322AD405" w14:textId="673B000D" w:rsidR="00D810AE" w:rsidRPr="003E1C9A" w:rsidRDefault="0041439D"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0.08</w:t>
            </w:r>
          </w:p>
        </w:tc>
      </w:tr>
      <w:tr w:rsidR="00094FFC" w:rsidRPr="003E1C9A" w14:paraId="32A40D1B" w14:textId="56A5E36B" w:rsidTr="004F5C80">
        <w:trPr>
          <w:trHeight w:val="444"/>
          <w:jc w:val="center"/>
        </w:trPr>
        <w:tc>
          <w:tcPr>
            <w:tcW w:w="721" w:type="pct"/>
            <w:noWrap/>
            <w:vAlign w:val="center"/>
            <w:hideMark/>
          </w:tcPr>
          <w:p w14:paraId="5C3976F3" w14:textId="7DA6A825" w:rsidR="00D810AE" w:rsidRPr="003E1C9A" w:rsidRDefault="00D810AE" w:rsidP="00094FFC">
            <w:pPr>
              <w:adjustRightInd w:val="0"/>
              <w:rPr>
                <w:rFonts w:ascii="Times New Roman" w:hAnsi="Times New Roman" w:cs="Times New Roman"/>
                <w:sz w:val="20"/>
                <w:szCs w:val="20"/>
              </w:rPr>
            </w:pPr>
            <w:r w:rsidRPr="003E1C9A">
              <w:rPr>
                <w:rFonts w:ascii="Times New Roman" w:hAnsi="Times New Roman" w:cs="Times New Roman"/>
                <w:bCs/>
                <w:sz w:val="20"/>
                <w:szCs w:val="20"/>
              </w:rPr>
              <w:t>FT</w:t>
            </w:r>
            <w:r w:rsidR="00694E65">
              <w:rPr>
                <w:rFonts w:ascii="Times New Roman" w:hAnsi="Times New Roman" w:cs="Times New Roman"/>
                <w:bCs/>
                <w:sz w:val="20"/>
                <w:szCs w:val="20"/>
              </w:rPr>
              <w:t>:</w:t>
            </w:r>
            <w:r w:rsidRPr="003E1C9A">
              <w:rPr>
                <w:rFonts w:ascii="Times New Roman" w:hAnsi="Times New Roman" w:cs="Times New Roman"/>
                <w:bCs/>
                <w:sz w:val="20"/>
                <w:szCs w:val="20"/>
              </w:rPr>
              <w:t>CT</w:t>
            </w:r>
          </w:p>
        </w:tc>
        <w:tc>
          <w:tcPr>
            <w:tcW w:w="574" w:type="pct"/>
            <w:noWrap/>
            <w:vAlign w:val="center"/>
            <w:hideMark/>
          </w:tcPr>
          <w:p w14:paraId="2E080B04" w14:textId="4BF98519"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0.78 ± 0.12</w:t>
            </w:r>
          </w:p>
        </w:tc>
        <w:tc>
          <w:tcPr>
            <w:tcW w:w="610" w:type="pct"/>
            <w:noWrap/>
            <w:vAlign w:val="center"/>
            <w:hideMark/>
          </w:tcPr>
          <w:p w14:paraId="059B69C1" w14:textId="11405517"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0.8</w:t>
            </w:r>
            <w:r w:rsidR="00C50584">
              <w:rPr>
                <w:rFonts w:ascii="Times New Roman" w:hAnsi="Times New Roman" w:cs="Times New Roman"/>
                <w:color w:val="000000"/>
                <w:sz w:val="20"/>
                <w:szCs w:val="20"/>
              </w:rPr>
              <w:t>0</w:t>
            </w:r>
            <w:r w:rsidRPr="003E1C9A">
              <w:rPr>
                <w:rFonts w:ascii="Times New Roman" w:hAnsi="Times New Roman" w:cs="Times New Roman"/>
                <w:color w:val="000000"/>
                <w:sz w:val="20"/>
                <w:szCs w:val="20"/>
              </w:rPr>
              <w:t xml:space="preserve"> ± 0.17</w:t>
            </w:r>
          </w:p>
        </w:tc>
        <w:tc>
          <w:tcPr>
            <w:tcW w:w="660" w:type="pct"/>
            <w:noWrap/>
            <w:vAlign w:val="center"/>
            <w:hideMark/>
          </w:tcPr>
          <w:p w14:paraId="3634C7A9" w14:textId="236C5CCD"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0.77 ± 0.14</w:t>
            </w:r>
          </w:p>
        </w:tc>
        <w:tc>
          <w:tcPr>
            <w:tcW w:w="608" w:type="pct"/>
            <w:tcBorders>
              <w:right w:val="single" w:sz="4" w:space="0" w:color="auto"/>
            </w:tcBorders>
            <w:vAlign w:val="center"/>
          </w:tcPr>
          <w:p w14:paraId="7B0DAAE7" w14:textId="6C0D03C2" w:rsidR="00D810AE" w:rsidRPr="003E1C9A" w:rsidRDefault="00D810AE" w:rsidP="00094FFC">
            <w:pPr>
              <w:adjustRightInd w:val="0"/>
              <w:jc w:val="center"/>
              <w:rPr>
                <w:rFonts w:ascii="Times New Roman" w:hAnsi="Times New Roman" w:cs="Times New Roman"/>
                <w:color w:val="000000"/>
                <w:sz w:val="20"/>
                <w:szCs w:val="20"/>
              </w:rPr>
            </w:pPr>
            <w:r w:rsidRPr="003E1C9A">
              <w:rPr>
                <w:rFonts w:ascii="Times New Roman" w:hAnsi="Times New Roman" w:cs="Times New Roman"/>
                <w:color w:val="000000"/>
                <w:sz w:val="20"/>
                <w:szCs w:val="20"/>
              </w:rPr>
              <w:t>0.8</w:t>
            </w:r>
            <w:r w:rsidR="00C50584">
              <w:rPr>
                <w:rFonts w:ascii="Times New Roman" w:hAnsi="Times New Roman" w:cs="Times New Roman"/>
                <w:color w:val="000000"/>
                <w:sz w:val="20"/>
                <w:szCs w:val="20"/>
              </w:rPr>
              <w:t>0</w:t>
            </w:r>
            <w:r w:rsidRPr="003E1C9A">
              <w:rPr>
                <w:rFonts w:ascii="Times New Roman" w:hAnsi="Times New Roman" w:cs="Times New Roman"/>
                <w:color w:val="000000"/>
                <w:sz w:val="20"/>
                <w:szCs w:val="20"/>
              </w:rPr>
              <w:t xml:space="preserve"> ± 0.17</w:t>
            </w:r>
          </w:p>
        </w:tc>
        <w:tc>
          <w:tcPr>
            <w:tcW w:w="468" w:type="pct"/>
            <w:tcBorders>
              <w:left w:val="single" w:sz="4" w:space="0" w:color="auto"/>
            </w:tcBorders>
            <w:noWrap/>
            <w:vAlign w:val="center"/>
            <w:hideMark/>
          </w:tcPr>
          <w:p w14:paraId="21DC813A" w14:textId="4794D59B"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0.17</w:t>
            </w:r>
          </w:p>
        </w:tc>
        <w:tc>
          <w:tcPr>
            <w:tcW w:w="492" w:type="pct"/>
            <w:noWrap/>
            <w:vAlign w:val="center"/>
            <w:hideMark/>
          </w:tcPr>
          <w:p w14:paraId="235657F4" w14:textId="15388D7B" w:rsidR="00D810AE" w:rsidRPr="003E1C9A"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0.16</w:t>
            </w:r>
          </w:p>
        </w:tc>
        <w:tc>
          <w:tcPr>
            <w:tcW w:w="410" w:type="pct"/>
            <w:noWrap/>
            <w:vAlign w:val="center"/>
            <w:hideMark/>
          </w:tcPr>
          <w:p w14:paraId="4278E2DD" w14:textId="0271F40F" w:rsidR="00D810AE" w:rsidRPr="003E1C9A" w:rsidRDefault="0041439D"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0.02</w:t>
            </w:r>
          </w:p>
        </w:tc>
        <w:tc>
          <w:tcPr>
            <w:tcW w:w="457" w:type="pct"/>
            <w:vAlign w:val="center"/>
          </w:tcPr>
          <w:p w14:paraId="1E115453" w14:textId="79081AA7" w:rsidR="00D810AE" w:rsidRPr="003E1C9A" w:rsidRDefault="0041439D"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0.01</w:t>
            </w:r>
          </w:p>
        </w:tc>
      </w:tr>
      <w:tr w:rsidR="00094FFC" w:rsidRPr="003E1C9A" w14:paraId="6FD7AA72" w14:textId="1EF0EB4C" w:rsidTr="004F5C80">
        <w:trPr>
          <w:trHeight w:val="444"/>
          <w:jc w:val="center"/>
        </w:trPr>
        <w:tc>
          <w:tcPr>
            <w:tcW w:w="721" w:type="pct"/>
            <w:vAlign w:val="center"/>
            <w:hideMark/>
          </w:tcPr>
          <w:p w14:paraId="5A978FF6" w14:textId="5EF4CFBB" w:rsidR="00D810AE" w:rsidRPr="003E1C9A" w:rsidRDefault="00D810AE" w:rsidP="00094FFC">
            <w:pPr>
              <w:adjustRightInd w:val="0"/>
              <w:rPr>
                <w:rFonts w:ascii="Times New Roman" w:hAnsi="Times New Roman" w:cs="Times New Roman"/>
                <w:sz w:val="20"/>
                <w:szCs w:val="20"/>
              </w:rPr>
            </w:pPr>
            <w:r w:rsidRPr="003E1C9A">
              <w:rPr>
                <w:rFonts w:ascii="Times New Roman" w:hAnsi="Times New Roman" w:cs="Times New Roman"/>
                <w:bCs/>
                <w:sz w:val="20"/>
                <w:szCs w:val="20"/>
              </w:rPr>
              <w:t>F@</w:t>
            </w:r>
            <w:r w:rsidR="001C24BD">
              <w:rPr>
                <w:rFonts w:ascii="Times New Roman" w:hAnsi="Times New Roman" w:cs="Times New Roman"/>
                <w:bCs/>
                <w:sz w:val="20"/>
                <w:szCs w:val="20"/>
              </w:rPr>
              <w:t>0</w:t>
            </w:r>
            <w:r w:rsidRPr="003E1C9A">
              <w:rPr>
                <w:rFonts w:ascii="Times New Roman" w:hAnsi="Times New Roman" w:cs="Times New Roman"/>
                <w:bCs/>
                <w:sz w:val="20"/>
                <w:szCs w:val="20"/>
              </w:rPr>
              <w:t>V</w:t>
            </w:r>
            <w:r w:rsidR="007A217E">
              <w:rPr>
                <w:rFonts w:ascii="Times New Roman" w:hAnsi="Times New Roman" w:cs="Times New Roman"/>
                <w:bCs/>
                <w:sz w:val="20"/>
                <w:szCs w:val="20"/>
              </w:rPr>
              <w:t xml:space="preserve"> (N)</w:t>
            </w:r>
          </w:p>
        </w:tc>
        <w:tc>
          <w:tcPr>
            <w:tcW w:w="574" w:type="pct"/>
            <w:noWrap/>
            <w:vAlign w:val="center"/>
            <w:hideMark/>
          </w:tcPr>
          <w:p w14:paraId="14F198A5" w14:textId="1992BB46"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2252.8 ± 400.5</w:t>
            </w:r>
          </w:p>
        </w:tc>
        <w:tc>
          <w:tcPr>
            <w:tcW w:w="610" w:type="pct"/>
            <w:noWrap/>
            <w:vAlign w:val="center"/>
            <w:hideMark/>
          </w:tcPr>
          <w:p w14:paraId="13799D1A" w14:textId="1B214D3D"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2286.</w:t>
            </w:r>
            <w:r w:rsidR="00C50584">
              <w:rPr>
                <w:rFonts w:ascii="Times New Roman" w:hAnsi="Times New Roman" w:cs="Times New Roman"/>
                <w:color w:val="000000"/>
                <w:sz w:val="20"/>
                <w:szCs w:val="20"/>
              </w:rPr>
              <w:t>8</w:t>
            </w:r>
            <w:r w:rsidRPr="003E1C9A">
              <w:rPr>
                <w:rFonts w:ascii="Times New Roman" w:hAnsi="Times New Roman" w:cs="Times New Roman"/>
                <w:color w:val="000000"/>
                <w:sz w:val="20"/>
                <w:szCs w:val="20"/>
              </w:rPr>
              <w:t xml:space="preserve"> ± 491.3</w:t>
            </w:r>
          </w:p>
        </w:tc>
        <w:tc>
          <w:tcPr>
            <w:tcW w:w="660" w:type="pct"/>
            <w:noWrap/>
            <w:vAlign w:val="center"/>
            <w:hideMark/>
          </w:tcPr>
          <w:p w14:paraId="3B8CB9E6" w14:textId="068108F1"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2280.9 ± 424.1</w:t>
            </w:r>
          </w:p>
        </w:tc>
        <w:tc>
          <w:tcPr>
            <w:tcW w:w="608" w:type="pct"/>
            <w:tcBorders>
              <w:right w:val="single" w:sz="4" w:space="0" w:color="auto"/>
            </w:tcBorders>
            <w:vAlign w:val="center"/>
          </w:tcPr>
          <w:p w14:paraId="1381FFE1" w14:textId="114C101D" w:rsidR="00D810AE" w:rsidRPr="003E1C9A" w:rsidRDefault="00D810AE" w:rsidP="00094FFC">
            <w:pPr>
              <w:adjustRightInd w:val="0"/>
              <w:jc w:val="center"/>
              <w:rPr>
                <w:rFonts w:ascii="Times New Roman" w:hAnsi="Times New Roman" w:cs="Times New Roman"/>
                <w:color w:val="000000"/>
                <w:sz w:val="20"/>
                <w:szCs w:val="20"/>
              </w:rPr>
            </w:pPr>
            <w:r w:rsidRPr="003E1C9A">
              <w:rPr>
                <w:rFonts w:ascii="Times New Roman" w:hAnsi="Times New Roman" w:cs="Times New Roman"/>
                <w:color w:val="000000"/>
                <w:sz w:val="20"/>
                <w:szCs w:val="20"/>
              </w:rPr>
              <w:t>2151.6 ± 446.4</w:t>
            </w:r>
          </w:p>
        </w:tc>
        <w:tc>
          <w:tcPr>
            <w:tcW w:w="468" w:type="pct"/>
            <w:tcBorders>
              <w:left w:val="single" w:sz="4" w:space="0" w:color="auto"/>
            </w:tcBorders>
            <w:noWrap/>
            <w:vAlign w:val="center"/>
            <w:hideMark/>
          </w:tcPr>
          <w:p w14:paraId="20C48306" w14:textId="5383F5FE"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0.08</w:t>
            </w:r>
          </w:p>
        </w:tc>
        <w:tc>
          <w:tcPr>
            <w:tcW w:w="492" w:type="pct"/>
            <w:noWrap/>
            <w:vAlign w:val="center"/>
            <w:hideMark/>
          </w:tcPr>
          <w:p w14:paraId="2DE3482F" w14:textId="68B41160" w:rsidR="00D810AE" w:rsidRPr="003E1C9A"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0.30</w:t>
            </w:r>
          </w:p>
        </w:tc>
        <w:tc>
          <w:tcPr>
            <w:tcW w:w="410" w:type="pct"/>
            <w:noWrap/>
            <w:vAlign w:val="center"/>
            <w:hideMark/>
          </w:tcPr>
          <w:p w14:paraId="03550619" w14:textId="65B0AB78" w:rsidR="00D810AE" w:rsidRPr="003E1C9A" w:rsidRDefault="0041439D"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0.07</w:t>
            </w:r>
          </w:p>
        </w:tc>
        <w:tc>
          <w:tcPr>
            <w:tcW w:w="457" w:type="pct"/>
            <w:vAlign w:val="center"/>
          </w:tcPr>
          <w:p w14:paraId="415F79ED" w14:textId="0C227ABE" w:rsidR="00D810AE" w:rsidRPr="003E1C9A" w:rsidRDefault="0041439D" w:rsidP="00094FFC">
            <w:pPr>
              <w:adjustRightInd w:val="0"/>
              <w:jc w:val="center"/>
              <w:rPr>
                <w:rFonts w:ascii="Times New Roman" w:hAnsi="Times New Roman" w:cs="Times New Roman"/>
                <w:sz w:val="20"/>
                <w:szCs w:val="20"/>
              </w:rPr>
            </w:pPr>
            <w:r>
              <w:rPr>
                <w:rFonts w:ascii="Times New Roman" w:hAnsi="Times New Roman" w:cs="Times New Roman"/>
                <w:sz w:val="20"/>
                <w:szCs w:val="20"/>
              </w:rPr>
              <w:t>0.29</w:t>
            </w:r>
          </w:p>
        </w:tc>
      </w:tr>
      <w:tr w:rsidR="00094FFC" w:rsidRPr="003E1C9A" w14:paraId="46B07D26" w14:textId="77777777" w:rsidTr="004F5C80">
        <w:trPr>
          <w:trHeight w:val="444"/>
          <w:jc w:val="center"/>
        </w:trPr>
        <w:tc>
          <w:tcPr>
            <w:tcW w:w="721" w:type="pct"/>
            <w:noWrap/>
            <w:vAlign w:val="center"/>
          </w:tcPr>
          <w:p w14:paraId="1F8DE13A" w14:textId="3C6C0A28" w:rsidR="00D810AE" w:rsidRPr="003E1C9A" w:rsidRDefault="00D810AE" w:rsidP="00094FFC">
            <w:pPr>
              <w:adjustRightInd w:val="0"/>
              <w:rPr>
                <w:rFonts w:ascii="Times New Roman" w:hAnsi="Times New Roman" w:cs="Times New Roman"/>
                <w:bCs/>
                <w:sz w:val="20"/>
                <w:szCs w:val="20"/>
              </w:rPr>
            </w:pPr>
            <w:r w:rsidRPr="003E1C9A">
              <w:rPr>
                <w:rFonts w:ascii="Times New Roman" w:hAnsi="Times New Roman" w:cs="Times New Roman"/>
                <w:bCs/>
                <w:sz w:val="20"/>
                <w:szCs w:val="20"/>
              </w:rPr>
              <w:t>JH</w:t>
            </w:r>
            <w:r w:rsidR="007A217E">
              <w:rPr>
                <w:rFonts w:ascii="Times New Roman" w:hAnsi="Times New Roman" w:cs="Times New Roman"/>
                <w:bCs/>
                <w:sz w:val="20"/>
                <w:szCs w:val="20"/>
              </w:rPr>
              <w:t xml:space="preserve"> (cm)</w:t>
            </w:r>
          </w:p>
        </w:tc>
        <w:tc>
          <w:tcPr>
            <w:tcW w:w="574" w:type="pct"/>
            <w:noWrap/>
            <w:vAlign w:val="center"/>
          </w:tcPr>
          <w:p w14:paraId="21062E23" w14:textId="26EAD59B"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38.8 ± 5.0</w:t>
            </w:r>
          </w:p>
        </w:tc>
        <w:tc>
          <w:tcPr>
            <w:tcW w:w="610" w:type="pct"/>
            <w:noWrap/>
            <w:vAlign w:val="center"/>
          </w:tcPr>
          <w:p w14:paraId="0524CAD0" w14:textId="3E1255DC"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39.</w:t>
            </w:r>
            <w:r w:rsidR="00C50584">
              <w:rPr>
                <w:rFonts w:ascii="Times New Roman" w:hAnsi="Times New Roman" w:cs="Times New Roman"/>
                <w:color w:val="000000"/>
                <w:sz w:val="20"/>
                <w:szCs w:val="20"/>
              </w:rPr>
              <w:t>3</w:t>
            </w:r>
            <w:r w:rsidRPr="003E1C9A">
              <w:rPr>
                <w:rFonts w:ascii="Times New Roman" w:hAnsi="Times New Roman" w:cs="Times New Roman"/>
                <w:color w:val="000000"/>
                <w:sz w:val="20"/>
                <w:szCs w:val="20"/>
              </w:rPr>
              <w:t xml:space="preserve"> ± </w:t>
            </w:r>
            <w:r w:rsidR="00C50584">
              <w:rPr>
                <w:rFonts w:ascii="Times New Roman" w:hAnsi="Times New Roman" w:cs="Times New Roman"/>
                <w:color w:val="000000"/>
                <w:sz w:val="20"/>
                <w:szCs w:val="20"/>
              </w:rPr>
              <w:t>6.0</w:t>
            </w:r>
          </w:p>
        </w:tc>
        <w:tc>
          <w:tcPr>
            <w:tcW w:w="660" w:type="pct"/>
            <w:noWrap/>
            <w:vAlign w:val="center"/>
          </w:tcPr>
          <w:p w14:paraId="6F8535B9" w14:textId="2D273017"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39.1 ± 5.0</w:t>
            </w:r>
          </w:p>
        </w:tc>
        <w:tc>
          <w:tcPr>
            <w:tcW w:w="608" w:type="pct"/>
            <w:tcBorders>
              <w:right w:val="single" w:sz="4" w:space="0" w:color="auto"/>
            </w:tcBorders>
            <w:vAlign w:val="center"/>
          </w:tcPr>
          <w:p w14:paraId="6AD1BE05" w14:textId="4871DC9E" w:rsidR="00D810AE" w:rsidRPr="003E1C9A" w:rsidRDefault="00D810AE" w:rsidP="00094FFC">
            <w:pPr>
              <w:adjustRightInd w:val="0"/>
              <w:jc w:val="center"/>
              <w:rPr>
                <w:rFonts w:ascii="Times New Roman" w:hAnsi="Times New Roman" w:cs="Times New Roman"/>
                <w:color w:val="000000"/>
                <w:sz w:val="20"/>
                <w:szCs w:val="20"/>
              </w:rPr>
            </w:pPr>
            <w:r w:rsidRPr="003E1C9A">
              <w:rPr>
                <w:rFonts w:ascii="Times New Roman" w:hAnsi="Times New Roman" w:cs="Times New Roman"/>
                <w:color w:val="000000"/>
                <w:sz w:val="20"/>
                <w:szCs w:val="20"/>
              </w:rPr>
              <w:t>38.</w:t>
            </w:r>
            <w:r w:rsidR="00C50584">
              <w:rPr>
                <w:rFonts w:ascii="Times New Roman" w:hAnsi="Times New Roman" w:cs="Times New Roman"/>
                <w:color w:val="000000"/>
                <w:sz w:val="20"/>
                <w:szCs w:val="20"/>
              </w:rPr>
              <w:t>8</w:t>
            </w:r>
            <w:r w:rsidRPr="003E1C9A">
              <w:rPr>
                <w:rFonts w:ascii="Times New Roman" w:hAnsi="Times New Roman" w:cs="Times New Roman"/>
                <w:color w:val="000000"/>
                <w:sz w:val="20"/>
                <w:szCs w:val="20"/>
              </w:rPr>
              <w:t xml:space="preserve"> ± 5.8</w:t>
            </w:r>
          </w:p>
        </w:tc>
        <w:tc>
          <w:tcPr>
            <w:tcW w:w="468" w:type="pct"/>
            <w:tcBorders>
              <w:left w:val="single" w:sz="4" w:space="0" w:color="auto"/>
            </w:tcBorders>
            <w:noWrap/>
            <w:vAlign w:val="center"/>
          </w:tcPr>
          <w:p w14:paraId="646AE1D5" w14:textId="54894C0D"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0.08</w:t>
            </w:r>
          </w:p>
        </w:tc>
        <w:tc>
          <w:tcPr>
            <w:tcW w:w="492" w:type="pct"/>
            <w:noWrap/>
            <w:vAlign w:val="center"/>
          </w:tcPr>
          <w:p w14:paraId="73668A4F" w14:textId="56110A10" w:rsidR="00D810AE" w:rsidRPr="003E1C9A"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0.07</w:t>
            </w:r>
          </w:p>
        </w:tc>
        <w:tc>
          <w:tcPr>
            <w:tcW w:w="410" w:type="pct"/>
            <w:noWrap/>
            <w:vAlign w:val="center"/>
          </w:tcPr>
          <w:p w14:paraId="3FD4E20C" w14:textId="0BD899FE" w:rsidR="00D810AE" w:rsidRPr="003E1C9A" w:rsidRDefault="0041439D"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0.07</w:t>
            </w:r>
          </w:p>
        </w:tc>
        <w:tc>
          <w:tcPr>
            <w:tcW w:w="457" w:type="pct"/>
            <w:vAlign w:val="center"/>
          </w:tcPr>
          <w:p w14:paraId="64F0CF2F" w14:textId="779D76E5" w:rsidR="00D810AE" w:rsidRPr="003E1C9A" w:rsidRDefault="0041439D"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0.08</w:t>
            </w:r>
          </w:p>
        </w:tc>
      </w:tr>
      <w:tr w:rsidR="00094FFC" w:rsidRPr="003E1C9A" w14:paraId="41558F59" w14:textId="77777777" w:rsidTr="004F5C80">
        <w:trPr>
          <w:trHeight w:val="444"/>
          <w:jc w:val="center"/>
        </w:trPr>
        <w:tc>
          <w:tcPr>
            <w:tcW w:w="721" w:type="pct"/>
            <w:noWrap/>
            <w:vAlign w:val="center"/>
          </w:tcPr>
          <w:p w14:paraId="13FB1433" w14:textId="5C9F4671" w:rsidR="00D810AE" w:rsidRPr="003E1C9A" w:rsidRDefault="00D810AE" w:rsidP="00094FFC">
            <w:pPr>
              <w:adjustRightInd w:val="0"/>
              <w:rPr>
                <w:rFonts w:ascii="Times New Roman" w:hAnsi="Times New Roman" w:cs="Times New Roman"/>
                <w:bCs/>
                <w:sz w:val="20"/>
                <w:szCs w:val="20"/>
              </w:rPr>
            </w:pPr>
            <w:r w:rsidRPr="003E1C9A">
              <w:rPr>
                <w:rFonts w:ascii="Times New Roman" w:hAnsi="Times New Roman" w:cs="Times New Roman"/>
                <w:bCs/>
                <w:sz w:val="20"/>
                <w:szCs w:val="20"/>
              </w:rPr>
              <w:t>PP</w:t>
            </w:r>
            <w:r w:rsidR="007A217E">
              <w:rPr>
                <w:rFonts w:ascii="Times New Roman" w:hAnsi="Times New Roman" w:cs="Times New Roman"/>
                <w:bCs/>
                <w:sz w:val="20"/>
                <w:szCs w:val="20"/>
              </w:rPr>
              <w:t xml:space="preserve"> (W)</w:t>
            </w:r>
          </w:p>
        </w:tc>
        <w:tc>
          <w:tcPr>
            <w:tcW w:w="574" w:type="pct"/>
            <w:noWrap/>
            <w:vAlign w:val="center"/>
          </w:tcPr>
          <w:p w14:paraId="2242B495" w14:textId="3D79C6EE"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5080.3 ± 992.</w:t>
            </w:r>
            <w:r w:rsidR="009D0F90">
              <w:rPr>
                <w:rFonts w:ascii="Times New Roman" w:hAnsi="Times New Roman" w:cs="Times New Roman"/>
                <w:color w:val="000000"/>
                <w:sz w:val="20"/>
                <w:szCs w:val="20"/>
              </w:rPr>
              <w:t>2</w:t>
            </w:r>
          </w:p>
        </w:tc>
        <w:tc>
          <w:tcPr>
            <w:tcW w:w="610" w:type="pct"/>
            <w:noWrap/>
            <w:vAlign w:val="center"/>
          </w:tcPr>
          <w:p w14:paraId="7416799D" w14:textId="37FB6F0F"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5361.5 ± 1108.0</w:t>
            </w:r>
          </w:p>
        </w:tc>
        <w:tc>
          <w:tcPr>
            <w:tcW w:w="660" w:type="pct"/>
            <w:noWrap/>
            <w:vAlign w:val="center"/>
          </w:tcPr>
          <w:p w14:paraId="1D4472CD" w14:textId="43E07594"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5205.3 ± 998.5</w:t>
            </w:r>
          </w:p>
        </w:tc>
        <w:tc>
          <w:tcPr>
            <w:tcW w:w="608" w:type="pct"/>
            <w:tcBorders>
              <w:right w:val="single" w:sz="4" w:space="0" w:color="auto"/>
            </w:tcBorders>
            <w:vAlign w:val="center"/>
          </w:tcPr>
          <w:p w14:paraId="7180D695" w14:textId="2B9BC744" w:rsidR="00D810AE" w:rsidRPr="003E1C9A" w:rsidRDefault="00D810AE" w:rsidP="00094FFC">
            <w:pPr>
              <w:adjustRightInd w:val="0"/>
              <w:jc w:val="center"/>
              <w:rPr>
                <w:rFonts w:ascii="Times New Roman" w:hAnsi="Times New Roman" w:cs="Times New Roman"/>
                <w:color w:val="000000"/>
                <w:sz w:val="20"/>
                <w:szCs w:val="20"/>
              </w:rPr>
            </w:pPr>
            <w:r w:rsidRPr="003E1C9A">
              <w:rPr>
                <w:rFonts w:ascii="Times New Roman" w:hAnsi="Times New Roman" w:cs="Times New Roman"/>
                <w:color w:val="000000"/>
                <w:sz w:val="20"/>
                <w:szCs w:val="20"/>
              </w:rPr>
              <w:t>5277.</w:t>
            </w:r>
            <w:r w:rsidR="00C50584">
              <w:rPr>
                <w:rFonts w:ascii="Times New Roman" w:hAnsi="Times New Roman" w:cs="Times New Roman"/>
                <w:color w:val="000000"/>
                <w:sz w:val="20"/>
                <w:szCs w:val="20"/>
              </w:rPr>
              <w:t>1</w:t>
            </w:r>
            <w:r w:rsidRPr="003E1C9A">
              <w:rPr>
                <w:rFonts w:ascii="Times New Roman" w:hAnsi="Times New Roman" w:cs="Times New Roman"/>
                <w:color w:val="000000"/>
                <w:sz w:val="20"/>
                <w:szCs w:val="20"/>
              </w:rPr>
              <w:t xml:space="preserve"> ± 1247.</w:t>
            </w:r>
            <w:r w:rsidR="009D0F90">
              <w:rPr>
                <w:rFonts w:ascii="Times New Roman" w:hAnsi="Times New Roman" w:cs="Times New Roman"/>
                <w:color w:val="000000"/>
                <w:sz w:val="20"/>
                <w:szCs w:val="20"/>
              </w:rPr>
              <w:t>5</w:t>
            </w:r>
          </w:p>
        </w:tc>
        <w:tc>
          <w:tcPr>
            <w:tcW w:w="468" w:type="pct"/>
            <w:tcBorders>
              <w:left w:val="single" w:sz="4" w:space="0" w:color="auto"/>
            </w:tcBorders>
            <w:noWrap/>
            <w:vAlign w:val="center"/>
          </w:tcPr>
          <w:p w14:paraId="65F4D233" w14:textId="14B896B5"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0.27</w:t>
            </w:r>
          </w:p>
        </w:tc>
        <w:tc>
          <w:tcPr>
            <w:tcW w:w="492" w:type="pct"/>
            <w:noWrap/>
            <w:vAlign w:val="center"/>
          </w:tcPr>
          <w:p w14:paraId="7C30E36A" w14:textId="35985A43" w:rsidR="00D810AE" w:rsidRPr="003E1C9A"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0.06</w:t>
            </w:r>
          </w:p>
        </w:tc>
        <w:tc>
          <w:tcPr>
            <w:tcW w:w="410" w:type="pct"/>
            <w:noWrap/>
            <w:vAlign w:val="center"/>
          </w:tcPr>
          <w:p w14:paraId="7A914121" w14:textId="645533B1" w:rsidR="00D810AE" w:rsidRPr="003E1C9A" w:rsidRDefault="0041439D" w:rsidP="00094FFC">
            <w:pPr>
              <w:adjustRightInd w:val="0"/>
              <w:jc w:val="center"/>
              <w:rPr>
                <w:rFonts w:ascii="Times New Roman" w:hAnsi="Times New Roman" w:cs="Times New Roman"/>
                <w:sz w:val="20"/>
                <w:szCs w:val="20"/>
              </w:rPr>
            </w:pPr>
            <w:r>
              <w:rPr>
                <w:rFonts w:ascii="Times New Roman" w:hAnsi="Times New Roman" w:cs="Times New Roman"/>
                <w:sz w:val="20"/>
                <w:szCs w:val="20"/>
              </w:rPr>
              <w:t>0.13</w:t>
            </w:r>
          </w:p>
        </w:tc>
        <w:tc>
          <w:tcPr>
            <w:tcW w:w="457" w:type="pct"/>
            <w:vAlign w:val="center"/>
          </w:tcPr>
          <w:p w14:paraId="317C9749" w14:textId="3D2E258F" w:rsidR="00D810AE" w:rsidRPr="003E1C9A" w:rsidRDefault="0041439D"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0.07</w:t>
            </w:r>
          </w:p>
        </w:tc>
      </w:tr>
      <w:tr w:rsidR="00094FFC" w:rsidRPr="003E1C9A" w14:paraId="31F91D1D" w14:textId="77777777" w:rsidTr="004F5C80">
        <w:trPr>
          <w:trHeight w:val="444"/>
          <w:jc w:val="center"/>
        </w:trPr>
        <w:tc>
          <w:tcPr>
            <w:tcW w:w="721" w:type="pct"/>
            <w:noWrap/>
            <w:vAlign w:val="center"/>
          </w:tcPr>
          <w:p w14:paraId="428E99D7" w14:textId="25504EEF" w:rsidR="00D810AE" w:rsidRPr="003E1C9A" w:rsidRDefault="00D810AE" w:rsidP="00094FFC">
            <w:pPr>
              <w:adjustRightInd w:val="0"/>
              <w:rPr>
                <w:rFonts w:ascii="Times New Roman" w:hAnsi="Times New Roman" w:cs="Times New Roman"/>
                <w:bCs/>
                <w:sz w:val="20"/>
                <w:szCs w:val="20"/>
              </w:rPr>
            </w:pPr>
            <w:proofErr w:type="spellStart"/>
            <w:r w:rsidRPr="003E1C9A">
              <w:rPr>
                <w:rFonts w:ascii="Times New Roman" w:hAnsi="Times New Roman" w:cs="Times New Roman"/>
                <w:bCs/>
                <w:sz w:val="20"/>
                <w:szCs w:val="20"/>
              </w:rPr>
              <w:t>RSI</w:t>
            </w:r>
            <w:r w:rsidRPr="003E1C9A">
              <w:rPr>
                <w:rFonts w:ascii="Times New Roman" w:hAnsi="Times New Roman" w:cs="Times New Roman"/>
                <w:bCs/>
                <w:sz w:val="20"/>
                <w:szCs w:val="20"/>
                <w:vertAlign w:val="subscript"/>
              </w:rPr>
              <w:t>Mod</w:t>
            </w:r>
            <w:proofErr w:type="spellEnd"/>
            <w:r w:rsidRPr="003E1C9A">
              <w:rPr>
                <w:rFonts w:ascii="Times New Roman" w:hAnsi="Times New Roman" w:cs="Times New Roman"/>
                <w:bCs/>
                <w:sz w:val="20"/>
                <w:szCs w:val="20"/>
                <w:vertAlign w:val="subscript"/>
              </w:rPr>
              <w:t xml:space="preserve"> </w:t>
            </w:r>
            <w:r w:rsidRPr="003E1C9A">
              <w:rPr>
                <w:rFonts w:ascii="Times New Roman" w:hAnsi="Times New Roman" w:cs="Times New Roman"/>
                <w:bCs/>
                <w:sz w:val="20"/>
                <w:szCs w:val="20"/>
              </w:rPr>
              <w:t>(m/s)</w:t>
            </w:r>
          </w:p>
        </w:tc>
        <w:tc>
          <w:tcPr>
            <w:tcW w:w="574" w:type="pct"/>
            <w:noWrap/>
            <w:vAlign w:val="center"/>
          </w:tcPr>
          <w:p w14:paraId="73B09974" w14:textId="246ADC7B"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0.54 ± 0.12</w:t>
            </w:r>
          </w:p>
        </w:tc>
        <w:tc>
          <w:tcPr>
            <w:tcW w:w="610" w:type="pct"/>
            <w:noWrap/>
            <w:vAlign w:val="center"/>
          </w:tcPr>
          <w:p w14:paraId="58FBFADD" w14:textId="32992ADC"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0.56 ± 0.15</w:t>
            </w:r>
          </w:p>
        </w:tc>
        <w:tc>
          <w:tcPr>
            <w:tcW w:w="660" w:type="pct"/>
            <w:noWrap/>
            <w:vAlign w:val="center"/>
          </w:tcPr>
          <w:p w14:paraId="55D3D6B6" w14:textId="6185867F"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0.54 ± 0.12</w:t>
            </w:r>
          </w:p>
        </w:tc>
        <w:tc>
          <w:tcPr>
            <w:tcW w:w="608" w:type="pct"/>
            <w:tcBorders>
              <w:right w:val="single" w:sz="4" w:space="0" w:color="auto"/>
            </w:tcBorders>
            <w:vAlign w:val="center"/>
          </w:tcPr>
          <w:p w14:paraId="1779A780" w14:textId="1C8F083B" w:rsidR="00D810AE" w:rsidRPr="003E1C9A" w:rsidRDefault="00D810AE" w:rsidP="00094FFC">
            <w:pPr>
              <w:adjustRightInd w:val="0"/>
              <w:jc w:val="center"/>
              <w:rPr>
                <w:rFonts w:ascii="Times New Roman" w:hAnsi="Times New Roman" w:cs="Times New Roman"/>
                <w:color w:val="000000"/>
                <w:sz w:val="20"/>
                <w:szCs w:val="20"/>
              </w:rPr>
            </w:pPr>
            <w:r w:rsidRPr="003E1C9A">
              <w:rPr>
                <w:rFonts w:ascii="Times New Roman" w:hAnsi="Times New Roman" w:cs="Times New Roman"/>
                <w:color w:val="000000"/>
                <w:sz w:val="20"/>
                <w:szCs w:val="20"/>
              </w:rPr>
              <w:t>0.59 ± 0.24</w:t>
            </w:r>
          </w:p>
        </w:tc>
        <w:tc>
          <w:tcPr>
            <w:tcW w:w="468" w:type="pct"/>
            <w:tcBorders>
              <w:left w:val="single" w:sz="4" w:space="0" w:color="auto"/>
            </w:tcBorders>
            <w:noWrap/>
            <w:vAlign w:val="center"/>
          </w:tcPr>
          <w:p w14:paraId="3AE0E992" w14:textId="5B4B2AE9"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0.17</w:t>
            </w:r>
          </w:p>
        </w:tc>
        <w:tc>
          <w:tcPr>
            <w:tcW w:w="492" w:type="pct"/>
            <w:noWrap/>
            <w:vAlign w:val="center"/>
          </w:tcPr>
          <w:p w14:paraId="616D5DA1" w14:textId="30CB871F" w:rsidR="00D810AE" w:rsidRPr="003E1C9A"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0.25</w:t>
            </w:r>
          </w:p>
        </w:tc>
        <w:tc>
          <w:tcPr>
            <w:tcW w:w="410" w:type="pct"/>
            <w:noWrap/>
            <w:vAlign w:val="center"/>
          </w:tcPr>
          <w:p w14:paraId="3BADD04A" w14:textId="586D5315" w:rsidR="00D810AE" w:rsidRPr="003E1C9A" w:rsidRDefault="0041439D"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0.02</w:t>
            </w:r>
          </w:p>
        </w:tc>
        <w:tc>
          <w:tcPr>
            <w:tcW w:w="457" w:type="pct"/>
            <w:vAlign w:val="center"/>
          </w:tcPr>
          <w:p w14:paraId="161C88D1" w14:textId="419B0C5A" w:rsidR="00D810AE" w:rsidRPr="003E1C9A" w:rsidRDefault="00A64F63" w:rsidP="00094FFC">
            <w:pPr>
              <w:adjustRightInd w:val="0"/>
              <w:jc w:val="center"/>
              <w:rPr>
                <w:rFonts w:ascii="Times New Roman" w:hAnsi="Times New Roman" w:cs="Times New Roman"/>
                <w:sz w:val="20"/>
                <w:szCs w:val="20"/>
              </w:rPr>
            </w:pPr>
            <w:r>
              <w:rPr>
                <w:rFonts w:ascii="Times New Roman" w:hAnsi="Times New Roman" w:cs="Times New Roman"/>
                <w:sz w:val="20"/>
                <w:szCs w:val="20"/>
              </w:rPr>
              <w:t>0.14</w:t>
            </w:r>
          </w:p>
        </w:tc>
      </w:tr>
      <w:tr w:rsidR="00094FFC" w:rsidRPr="003E1C9A" w14:paraId="155C81CB" w14:textId="77777777" w:rsidTr="004F5C80">
        <w:trPr>
          <w:trHeight w:val="444"/>
          <w:jc w:val="center"/>
        </w:trPr>
        <w:tc>
          <w:tcPr>
            <w:tcW w:w="721" w:type="pct"/>
            <w:tcBorders>
              <w:bottom w:val="single" w:sz="4" w:space="0" w:color="auto"/>
            </w:tcBorders>
            <w:noWrap/>
            <w:vAlign w:val="center"/>
          </w:tcPr>
          <w:p w14:paraId="116B03DA" w14:textId="313297F5" w:rsidR="00D810AE" w:rsidRPr="003E1C9A" w:rsidRDefault="000628B0" w:rsidP="00094FFC">
            <w:pPr>
              <w:adjustRightInd w:val="0"/>
              <w:rPr>
                <w:rFonts w:ascii="Times New Roman" w:hAnsi="Times New Roman" w:cs="Times New Roman"/>
                <w:bCs/>
                <w:sz w:val="20"/>
                <w:szCs w:val="20"/>
              </w:rPr>
            </w:pPr>
            <w:r>
              <w:rPr>
                <w:rFonts w:ascii="Times New Roman" w:hAnsi="Times New Roman" w:cs="Times New Roman"/>
                <w:bCs/>
                <w:sz w:val="20"/>
                <w:szCs w:val="20"/>
              </w:rPr>
              <w:t>Body Mass</w:t>
            </w:r>
            <w:r w:rsidR="00D810AE">
              <w:rPr>
                <w:rFonts w:ascii="Times New Roman" w:hAnsi="Times New Roman" w:cs="Times New Roman"/>
                <w:bCs/>
                <w:sz w:val="20"/>
                <w:szCs w:val="20"/>
              </w:rPr>
              <w:t xml:space="preserve"> (kg)</w:t>
            </w:r>
          </w:p>
        </w:tc>
        <w:tc>
          <w:tcPr>
            <w:tcW w:w="574" w:type="pct"/>
            <w:tcBorders>
              <w:bottom w:val="single" w:sz="4" w:space="0" w:color="auto"/>
            </w:tcBorders>
            <w:noWrap/>
            <w:vAlign w:val="center"/>
          </w:tcPr>
          <w:p w14:paraId="517F8DA6" w14:textId="5ABBEDAC"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92.26 ± 10.65</w:t>
            </w:r>
            <w:r w:rsidR="00267709" w:rsidRPr="00514D79">
              <w:rPr>
                <w:rFonts w:ascii="Times New Roman" w:hAnsi="Times New Roman" w:cs="Times New Roman"/>
                <w:color w:val="000000" w:themeColor="text1"/>
                <w:sz w:val="20"/>
                <w:szCs w:val="20"/>
              </w:rPr>
              <w:t>†</w:t>
            </w:r>
          </w:p>
        </w:tc>
        <w:tc>
          <w:tcPr>
            <w:tcW w:w="610" w:type="pct"/>
            <w:tcBorders>
              <w:bottom w:val="single" w:sz="4" w:space="0" w:color="auto"/>
            </w:tcBorders>
            <w:noWrap/>
            <w:vAlign w:val="center"/>
          </w:tcPr>
          <w:p w14:paraId="2569EFC6" w14:textId="68645C30"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92.27 ± 10.68</w:t>
            </w:r>
          </w:p>
        </w:tc>
        <w:tc>
          <w:tcPr>
            <w:tcW w:w="660" w:type="pct"/>
            <w:tcBorders>
              <w:bottom w:val="single" w:sz="4" w:space="0" w:color="auto"/>
            </w:tcBorders>
            <w:noWrap/>
            <w:vAlign w:val="center"/>
          </w:tcPr>
          <w:p w14:paraId="6C2049EE" w14:textId="522583CC" w:rsidR="00D810AE" w:rsidRPr="00514D79" w:rsidRDefault="00D810AE" w:rsidP="00094FFC">
            <w:pPr>
              <w:adjustRightInd w:val="0"/>
              <w:jc w:val="center"/>
              <w:rPr>
                <w:rFonts w:ascii="Times New Roman" w:hAnsi="Times New Roman" w:cs="Times New Roman"/>
                <w:color w:val="000000" w:themeColor="text1"/>
                <w:sz w:val="20"/>
                <w:szCs w:val="20"/>
              </w:rPr>
            </w:pPr>
            <w:r w:rsidRPr="00514D79">
              <w:rPr>
                <w:rFonts w:ascii="Times New Roman" w:hAnsi="Times New Roman" w:cs="Times New Roman"/>
                <w:color w:val="000000" w:themeColor="text1"/>
                <w:sz w:val="20"/>
                <w:szCs w:val="20"/>
              </w:rPr>
              <w:t>92.92 ± 10.12</w:t>
            </w:r>
            <w:r w:rsidR="00267709" w:rsidRPr="00514D79">
              <w:rPr>
                <w:rFonts w:ascii="Times New Roman" w:hAnsi="Times New Roman" w:cs="Times New Roman"/>
                <w:color w:val="000000" w:themeColor="text1"/>
                <w:sz w:val="20"/>
                <w:szCs w:val="20"/>
              </w:rPr>
              <w:t>†</w:t>
            </w:r>
          </w:p>
        </w:tc>
        <w:tc>
          <w:tcPr>
            <w:tcW w:w="608" w:type="pct"/>
            <w:tcBorders>
              <w:bottom w:val="single" w:sz="4" w:space="0" w:color="auto"/>
              <w:right w:val="single" w:sz="4" w:space="0" w:color="auto"/>
            </w:tcBorders>
            <w:vAlign w:val="center"/>
          </w:tcPr>
          <w:p w14:paraId="08E52588" w14:textId="26712FBE" w:rsidR="00D810AE" w:rsidRPr="003E1C9A" w:rsidRDefault="00D810AE" w:rsidP="00094FFC">
            <w:pPr>
              <w:adjustRightInd w:val="0"/>
              <w:jc w:val="center"/>
              <w:rPr>
                <w:rFonts w:ascii="Times New Roman" w:hAnsi="Times New Roman" w:cs="Times New Roman"/>
                <w:color w:val="000000"/>
                <w:sz w:val="20"/>
                <w:szCs w:val="20"/>
              </w:rPr>
            </w:pPr>
            <w:r w:rsidRPr="003E1C9A">
              <w:rPr>
                <w:rFonts w:ascii="Times New Roman" w:hAnsi="Times New Roman" w:cs="Times New Roman"/>
                <w:color w:val="000000"/>
                <w:sz w:val="20"/>
                <w:szCs w:val="20"/>
              </w:rPr>
              <w:t>91.46 ± 9.88</w:t>
            </w:r>
          </w:p>
        </w:tc>
        <w:tc>
          <w:tcPr>
            <w:tcW w:w="468" w:type="pct"/>
            <w:tcBorders>
              <w:left w:val="single" w:sz="4" w:space="0" w:color="auto"/>
              <w:bottom w:val="single" w:sz="4" w:space="0" w:color="auto"/>
            </w:tcBorders>
            <w:noWrap/>
            <w:vAlign w:val="center"/>
          </w:tcPr>
          <w:p w14:paraId="2DC128D9" w14:textId="563B5C88" w:rsidR="00D810AE" w:rsidRPr="003E1C9A" w:rsidRDefault="00D810AE" w:rsidP="00094FFC">
            <w:pPr>
              <w:adjustRightInd w:val="0"/>
              <w:jc w:val="center"/>
              <w:rPr>
                <w:rFonts w:ascii="Times New Roman" w:hAnsi="Times New Roman" w:cs="Times New Roman"/>
                <w:sz w:val="20"/>
                <w:szCs w:val="20"/>
              </w:rPr>
            </w:pPr>
            <w:r w:rsidRPr="003E1C9A">
              <w:rPr>
                <w:rFonts w:ascii="Times New Roman" w:hAnsi="Times New Roman" w:cs="Times New Roman"/>
                <w:color w:val="000000"/>
                <w:sz w:val="20"/>
                <w:szCs w:val="20"/>
              </w:rPr>
              <w:t>0.00</w:t>
            </w:r>
          </w:p>
        </w:tc>
        <w:tc>
          <w:tcPr>
            <w:tcW w:w="492" w:type="pct"/>
            <w:tcBorders>
              <w:bottom w:val="single" w:sz="4" w:space="0" w:color="auto"/>
            </w:tcBorders>
            <w:noWrap/>
            <w:vAlign w:val="center"/>
          </w:tcPr>
          <w:p w14:paraId="6648CA32" w14:textId="37E05D93" w:rsidR="00D810AE" w:rsidRPr="003E1C9A" w:rsidRDefault="00D810AE" w:rsidP="00094FFC">
            <w:pPr>
              <w:adjustRightInd w:val="0"/>
              <w:jc w:val="center"/>
              <w:rPr>
                <w:rFonts w:ascii="Times New Roman" w:hAnsi="Times New Roman" w:cs="Times New Roman"/>
                <w:sz w:val="20"/>
                <w:szCs w:val="20"/>
              </w:rPr>
            </w:pPr>
            <w:r>
              <w:rPr>
                <w:rFonts w:ascii="Times New Roman" w:hAnsi="Times New Roman" w:cs="Times New Roman"/>
                <w:sz w:val="20"/>
                <w:szCs w:val="20"/>
              </w:rPr>
              <w:t>0.15</w:t>
            </w:r>
          </w:p>
        </w:tc>
        <w:tc>
          <w:tcPr>
            <w:tcW w:w="410" w:type="pct"/>
            <w:tcBorders>
              <w:bottom w:val="single" w:sz="4" w:space="0" w:color="auto"/>
            </w:tcBorders>
            <w:noWrap/>
            <w:vAlign w:val="center"/>
          </w:tcPr>
          <w:p w14:paraId="1181D74E" w14:textId="509648F8" w:rsidR="00D810AE" w:rsidRPr="003E1C9A" w:rsidRDefault="00A64F63"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0.06</w:t>
            </w:r>
          </w:p>
        </w:tc>
        <w:tc>
          <w:tcPr>
            <w:tcW w:w="457" w:type="pct"/>
            <w:vAlign w:val="center"/>
          </w:tcPr>
          <w:p w14:paraId="3D2D7778" w14:textId="7095E871" w:rsidR="00D810AE" w:rsidRPr="003E1C9A" w:rsidRDefault="00A64F63" w:rsidP="00094FFC">
            <w:pPr>
              <w:adjustRightInd w:val="0"/>
              <w:jc w:val="center"/>
              <w:rPr>
                <w:rFonts w:ascii="Times New Roman" w:hAnsi="Times New Roman" w:cs="Times New Roman"/>
                <w:sz w:val="20"/>
                <w:szCs w:val="20"/>
              </w:rPr>
            </w:pPr>
            <w:r>
              <w:rPr>
                <w:rFonts w:ascii="Times New Roman" w:hAnsi="Times New Roman" w:cs="Times New Roman"/>
                <w:sz w:val="20"/>
                <w:szCs w:val="20"/>
              </w:rPr>
              <w:t>0.08</w:t>
            </w:r>
          </w:p>
        </w:tc>
      </w:tr>
      <w:tr w:rsidR="00DC068E" w:rsidRPr="003E1C9A" w14:paraId="52D39617" w14:textId="77777777" w:rsidTr="00364347">
        <w:trPr>
          <w:trHeight w:val="444"/>
          <w:jc w:val="center"/>
        </w:trPr>
        <w:tc>
          <w:tcPr>
            <w:tcW w:w="5000" w:type="pct"/>
            <w:gridSpan w:val="9"/>
            <w:tcBorders>
              <w:top w:val="single" w:sz="4" w:space="0" w:color="auto"/>
            </w:tcBorders>
            <w:noWrap/>
            <w:vAlign w:val="center"/>
          </w:tcPr>
          <w:p w14:paraId="2633EFCD" w14:textId="202AD3EA" w:rsidR="00DC068E" w:rsidRPr="00F01B19" w:rsidRDefault="00687A0B" w:rsidP="00514D79">
            <w:pPr>
              <w:adjustRightInd w:val="0"/>
              <w:rPr>
                <w:rFonts w:ascii="Times New Roman" w:hAnsi="Times New Roman" w:cs="Times New Roman"/>
                <w:sz w:val="18"/>
                <w:szCs w:val="18"/>
                <w:vertAlign w:val="superscript"/>
              </w:rPr>
            </w:pPr>
            <w:r w:rsidRPr="00F01B19">
              <w:rPr>
                <w:rFonts w:ascii="Times New Roman" w:hAnsi="Times New Roman" w:cs="Times New Roman"/>
                <w:sz w:val="18"/>
                <w:szCs w:val="18"/>
              </w:rPr>
              <w:t>Data presented as Mean</w:t>
            </w:r>
            <w:r w:rsidR="00694E65" w:rsidRPr="00F01B19">
              <w:rPr>
                <w:rFonts w:ascii="Times New Roman" w:hAnsi="Times New Roman" w:cs="Times New Roman"/>
                <w:sz w:val="18"/>
                <w:szCs w:val="18"/>
              </w:rPr>
              <w:t xml:space="preserve"> ± Standard Deviation. </w:t>
            </w:r>
            <w:r w:rsidR="00966EA7" w:rsidRPr="00F01B19">
              <w:rPr>
                <w:rFonts w:ascii="Times New Roman" w:hAnsi="Times New Roman" w:cs="Times New Roman"/>
                <w:sz w:val="18"/>
                <w:szCs w:val="18"/>
              </w:rPr>
              <w:t xml:space="preserve">Conc = Concentric; MF = Mean Force; MP = Mean Power; PF = Peak Force; CT = Contraction Time; </w:t>
            </w:r>
            <w:proofErr w:type="spellStart"/>
            <w:r w:rsidR="00966EA7" w:rsidRPr="00F01B19">
              <w:rPr>
                <w:rFonts w:ascii="Times New Roman" w:hAnsi="Times New Roman" w:cs="Times New Roman"/>
                <w:sz w:val="18"/>
                <w:szCs w:val="18"/>
              </w:rPr>
              <w:t>Ecc</w:t>
            </w:r>
            <w:proofErr w:type="spellEnd"/>
            <w:r w:rsidR="00966EA7" w:rsidRPr="00F01B19">
              <w:rPr>
                <w:rFonts w:ascii="Times New Roman" w:hAnsi="Times New Roman" w:cs="Times New Roman"/>
                <w:sz w:val="18"/>
                <w:szCs w:val="18"/>
              </w:rPr>
              <w:t xml:space="preserve"> = Eccentric; MBF = Mean Braking Force; </w:t>
            </w:r>
            <w:proofErr w:type="spellStart"/>
            <w:r w:rsidR="00966EA7" w:rsidRPr="00F01B19">
              <w:rPr>
                <w:rFonts w:ascii="Times New Roman" w:hAnsi="Times New Roman" w:cs="Times New Roman"/>
                <w:sz w:val="18"/>
                <w:szCs w:val="18"/>
              </w:rPr>
              <w:t>MDecF</w:t>
            </w:r>
            <w:proofErr w:type="spellEnd"/>
            <w:r w:rsidR="00966EA7" w:rsidRPr="00F01B19">
              <w:rPr>
                <w:rFonts w:ascii="Times New Roman" w:hAnsi="Times New Roman" w:cs="Times New Roman"/>
                <w:sz w:val="18"/>
                <w:szCs w:val="18"/>
              </w:rPr>
              <w:t xml:space="preserve"> = Mean Deceleration Force; PP = Peak Power; FT = Flight Time; </w:t>
            </w:r>
            <w:r w:rsidR="00F01B19" w:rsidRPr="00F01B19">
              <w:rPr>
                <w:rFonts w:ascii="Times New Roman" w:hAnsi="Times New Roman" w:cs="Times New Roman"/>
                <w:sz w:val="18"/>
                <w:szCs w:val="18"/>
              </w:rPr>
              <w:t xml:space="preserve">F@0V = Force at Zero Velocity; JH = Jump Height; </w:t>
            </w:r>
            <w:proofErr w:type="spellStart"/>
            <w:r w:rsidR="00F01B19" w:rsidRPr="00F01B19">
              <w:rPr>
                <w:rFonts w:ascii="Times New Roman" w:hAnsi="Times New Roman" w:cs="Times New Roman"/>
                <w:sz w:val="18"/>
                <w:szCs w:val="18"/>
              </w:rPr>
              <w:t>RSI</w:t>
            </w:r>
            <w:r w:rsidR="00F01B19" w:rsidRPr="00F01B19">
              <w:rPr>
                <w:rFonts w:ascii="Times New Roman" w:hAnsi="Times New Roman" w:cs="Times New Roman"/>
                <w:sz w:val="18"/>
                <w:szCs w:val="18"/>
                <w:vertAlign w:val="subscript"/>
              </w:rPr>
              <w:t>Mod</w:t>
            </w:r>
            <w:proofErr w:type="spellEnd"/>
            <w:r w:rsidR="00F01B19" w:rsidRPr="00F01B19">
              <w:rPr>
                <w:rFonts w:ascii="Times New Roman" w:hAnsi="Times New Roman" w:cs="Times New Roman"/>
                <w:sz w:val="18"/>
                <w:szCs w:val="18"/>
              </w:rPr>
              <w:t xml:space="preserve"> = Reactive Stren</w:t>
            </w:r>
            <w:r w:rsidR="00D4541F">
              <w:rPr>
                <w:rFonts w:ascii="Times New Roman" w:hAnsi="Times New Roman" w:cs="Times New Roman"/>
                <w:sz w:val="18"/>
                <w:szCs w:val="18"/>
              </w:rPr>
              <w:t>g</w:t>
            </w:r>
            <w:r w:rsidR="00F01B19" w:rsidRPr="00F01B19">
              <w:rPr>
                <w:rFonts w:ascii="Times New Roman" w:hAnsi="Times New Roman" w:cs="Times New Roman"/>
                <w:sz w:val="18"/>
                <w:szCs w:val="18"/>
              </w:rPr>
              <w:t xml:space="preserve">th Index Modified; kg = kilograms; m = meters; </w:t>
            </w:r>
            <w:proofErr w:type="spellStart"/>
            <w:r w:rsidR="00F01B19" w:rsidRPr="00F01B19">
              <w:rPr>
                <w:rFonts w:ascii="Times New Roman" w:hAnsi="Times New Roman" w:cs="Times New Roman"/>
                <w:sz w:val="18"/>
                <w:szCs w:val="18"/>
              </w:rPr>
              <w:t>ms</w:t>
            </w:r>
            <w:proofErr w:type="spellEnd"/>
            <w:r w:rsidR="00F01B19" w:rsidRPr="00F01B19">
              <w:rPr>
                <w:rFonts w:ascii="Times New Roman" w:hAnsi="Times New Roman" w:cs="Times New Roman"/>
                <w:sz w:val="18"/>
                <w:szCs w:val="18"/>
              </w:rPr>
              <w:t xml:space="preserve"> = milliseconds; </w:t>
            </w:r>
            <w:r w:rsidR="00F01B19">
              <w:rPr>
                <w:rFonts w:ascii="Times New Roman" w:hAnsi="Times New Roman" w:cs="Times New Roman"/>
                <w:sz w:val="18"/>
                <w:szCs w:val="18"/>
              </w:rPr>
              <w:t xml:space="preserve">N = Newtons; W = Watts; </w:t>
            </w:r>
            <w:r w:rsidR="00694E65" w:rsidRPr="00F01B19">
              <w:rPr>
                <w:rFonts w:ascii="Times New Roman" w:hAnsi="Times New Roman" w:cs="Times New Roman"/>
                <w:sz w:val="18"/>
                <w:szCs w:val="18"/>
              </w:rPr>
              <w:t xml:space="preserve">Pre = Pre-Practice; Post = Post-Practice; </w:t>
            </w:r>
            <w:r w:rsidR="00DF6371" w:rsidRPr="00F01B19">
              <w:rPr>
                <w:rFonts w:ascii="Times New Roman" w:hAnsi="Times New Roman" w:cs="Times New Roman"/>
                <w:bCs/>
                <w:i/>
                <w:sz w:val="18"/>
                <w:szCs w:val="18"/>
                <w:lang w:bidi="en-US"/>
              </w:rPr>
              <w:t xml:space="preserve">d = </w:t>
            </w:r>
            <w:r w:rsidR="00DF6371" w:rsidRPr="00F01B19">
              <w:rPr>
                <w:rFonts w:ascii="Times New Roman" w:hAnsi="Times New Roman" w:cs="Times New Roman"/>
                <w:bCs/>
                <w:sz w:val="18"/>
                <w:szCs w:val="18"/>
                <w:lang w:bidi="en-US"/>
              </w:rPr>
              <w:t>Cohen’s</w:t>
            </w:r>
            <w:r w:rsidR="00514D79">
              <w:rPr>
                <w:rFonts w:ascii="Times New Roman" w:hAnsi="Times New Roman" w:cs="Times New Roman"/>
                <w:bCs/>
                <w:sz w:val="18"/>
                <w:szCs w:val="18"/>
                <w:lang w:bidi="en-US"/>
              </w:rPr>
              <w:t xml:space="preserve">; </w:t>
            </w:r>
            <w:r w:rsidR="00514D79">
              <w:rPr>
                <w:rFonts w:ascii="Times New Roman" w:hAnsi="Times New Roman" w:cs="Times New Roman"/>
                <w:sz w:val="20"/>
                <w:szCs w:val="20"/>
                <w:lang w:bidi="en-US"/>
              </w:rPr>
              <w:t>* = Significant difference between weeks; † = Average of Week 1 and Week 4 Pre significantly different than average of Week 1 and Week 4 Post;</w:t>
            </w:r>
            <w:r w:rsidR="00514D79" w:rsidRPr="00F01B19">
              <w:rPr>
                <w:rFonts w:ascii="Times New Roman" w:hAnsi="Times New Roman" w:cs="Times New Roman"/>
                <w:bCs/>
                <w:i/>
                <w:sz w:val="18"/>
                <w:szCs w:val="18"/>
                <w:lang w:bidi="en-US"/>
              </w:rPr>
              <w:t xml:space="preserve"> </w:t>
            </w:r>
            <w:r w:rsidR="00DF6371" w:rsidRPr="00F01B19">
              <w:rPr>
                <w:rFonts w:ascii="Times New Roman" w:hAnsi="Times New Roman" w:cs="Times New Roman"/>
                <w:bCs/>
                <w:i/>
                <w:sz w:val="18"/>
                <w:szCs w:val="18"/>
                <w:lang w:bidi="en-US"/>
              </w:rPr>
              <w:t>d</w:t>
            </w:r>
            <w:r w:rsidR="00DF6371" w:rsidRPr="00F01B19">
              <w:rPr>
                <w:rFonts w:ascii="Times New Roman" w:hAnsi="Times New Roman" w:cs="Times New Roman"/>
                <w:bCs/>
                <w:sz w:val="18"/>
                <w:szCs w:val="18"/>
                <w:lang w:bidi="en-US"/>
              </w:rPr>
              <w:t xml:space="preserve">, interpreted as </w:t>
            </w:r>
            <w:r w:rsidR="00DF6371" w:rsidRPr="00F01B19">
              <w:rPr>
                <w:rFonts w:ascii="Times New Roman" w:hAnsi="Times New Roman" w:cs="Times New Roman"/>
                <w:sz w:val="18"/>
                <w:szCs w:val="18"/>
                <w:lang w:bidi="en-US"/>
              </w:rPr>
              <w:t>trivial (0–0.19), small (0.20–0.49), medium (0.50–0.79), and large (≥ 0.80).</w:t>
            </w:r>
          </w:p>
        </w:tc>
      </w:tr>
    </w:tbl>
    <w:p w14:paraId="5A12D335" w14:textId="29E79CC2" w:rsidR="00364347" w:rsidRDefault="00364347" w:rsidP="008D7C02">
      <w:pPr>
        <w:spacing w:line="480" w:lineRule="auto"/>
        <w:rPr>
          <w:rFonts w:ascii="Times New Roman" w:hAnsi="Times New Roman" w:cs="Times New Roman"/>
        </w:rPr>
      </w:pPr>
    </w:p>
    <w:p w14:paraId="21C78D42" w14:textId="52F29ABE" w:rsidR="003718C2" w:rsidRDefault="003718C2" w:rsidP="003832A2">
      <w:pPr>
        <w:spacing w:line="480" w:lineRule="auto"/>
        <w:rPr>
          <w:rFonts w:ascii="Times New Roman" w:hAnsi="Times New Roman" w:cs="Times New Roman"/>
        </w:rPr>
      </w:pPr>
    </w:p>
    <w:p w14:paraId="260FE118" w14:textId="77777777" w:rsidR="003718C2" w:rsidRDefault="003718C2" w:rsidP="008D7C02">
      <w:pPr>
        <w:spacing w:line="480" w:lineRule="auto"/>
        <w:rPr>
          <w:rFonts w:ascii="Times New Roman" w:hAnsi="Times New Roman" w:cs="Times New Roman"/>
        </w:rPr>
      </w:pPr>
    </w:p>
    <w:p w14:paraId="7D500BA0" w14:textId="6F3297FD" w:rsidR="00B35DCD" w:rsidRPr="00F571A7" w:rsidRDefault="000B4E6F" w:rsidP="00F829B9">
      <w:pPr>
        <w:pStyle w:val="Heading2"/>
      </w:pPr>
      <w:bookmarkStart w:id="76" w:name="_Toc99267643"/>
      <w:r w:rsidRPr="00F571A7">
        <w:lastRenderedPageBreak/>
        <w:t>CMJ Performance Results Relative to Body Mass</w:t>
      </w:r>
      <w:bookmarkEnd w:id="76"/>
    </w:p>
    <w:p w14:paraId="7C260D12" w14:textId="69214105" w:rsidR="00364347" w:rsidRDefault="00153A14" w:rsidP="00F829B9">
      <w:pPr>
        <w:spacing w:line="480" w:lineRule="auto"/>
        <w:ind w:firstLine="720"/>
        <w:jc w:val="both"/>
        <w:rPr>
          <w:rFonts w:ascii="Times New Roman" w:hAnsi="Times New Roman" w:cs="Times New Roman"/>
        </w:rPr>
      </w:pPr>
      <w:r>
        <w:rPr>
          <w:rFonts w:ascii="Times New Roman" w:hAnsi="Times New Roman" w:cs="Times New Roman"/>
        </w:rPr>
        <w:t xml:space="preserve">The overall descriptive statistics of the CMJ variables relative to Body Mass are outlined in Table 4. </w:t>
      </w:r>
      <w:r w:rsidR="003114A5" w:rsidRPr="00FD7BCA">
        <w:rPr>
          <w:rFonts w:ascii="Times New Roman" w:hAnsi="Times New Roman" w:cs="Times New Roman"/>
        </w:rPr>
        <w:t xml:space="preserve">There were no significant </w:t>
      </w:r>
      <w:r w:rsidR="00C26528" w:rsidRPr="00FD7BCA">
        <w:rPr>
          <w:rFonts w:ascii="Times New Roman" w:hAnsi="Times New Roman" w:cs="Times New Roman"/>
        </w:rPr>
        <w:t>main effects of Week detected</w:t>
      </w:r>
      <w:r w:rsidR="00C26528">
        <w:rPr>
          <w:rFonts w:ascii="Times New Roman" w:hAnsi="Times New Roman" w:cs="Times New Roman"/>
        </w:rPr>
        <w:t xml:space="preserve"> </w:t>
      </w:r>
      <w:r w:rsidR="00087C6B">
        <w:rPr>
          <w:rFonts w:ascii="Times New Roman" w:hAnsi="Times New Roman" w:cs="Times New Roman"/>
        </w:rPr>
        <w:t>in any of the</w:t>
      </w:r>
      <w:r w:rsidR="000B4E6F">
        <w:rPr>
          <w:rFonts w:ascii="Times New Roman" w:hAnsi="Times New Roman" w:cs="Times New Roman"/>
        </w:rPr>
        <w:t xml:space="preserve"> </w:t>
      </w:r>
      <w:r w:rsidR="00087C6B">
        <w:rPr>
          <w:rFonts w:ascii="Times New Roman" w:hAnsi="Times New Roman" w:cs="Times New Roman"/>
        </w:rPr>
        <w:t xml:space="preserve">variables relative to Body Mass in the CMJs, including </w:t>
      </w:r>
      <w:proofErr w:type="spellStart"/>
      <w:r w:rsidR="00087C6B">
        <w:rPr>
          <w:rFonts w:ascii="Times New Roman" w:hAnsi="Times New Roman" w:cs="Times New Roman"/>
        </w:rPr>
        <w:t>ConcMF</w:t>
      </w:r>
      <w:proofErr w:type="spellEnd"/>
      <w:r w:rsidR="0071518D">
        <w:rPr>
          <w:rFonts w:ascii="Times New Roman" w:hAnsi="Times New Roman" w:cs="Times New Roman"/>
        </w:rPr>
        <w:t xml:space="preserve"> (p = </w:t>
      </w:r>
      <w:r w:rsidR="002557B6">
        <w:rPr>
          <w:rFonts w:ascii="Times New Roman" w:hAnsi="Times New Roman" w:cs="Times New Roman"/>
        </w:rPr>
        <w:t>0.481</w:t>
      </w:r>
      <w:r w:rsidR="0071518D">
        <w:rPr>
          <w:rFonts w:ascii="Times New Roman" w:hAnsi="Times New Roman" w:cs="Times New Roman"/>
        </w:rPr>
        <w:t>)</w:t>
      </w:r>
      <w:r w:rsidR="00087C6B">
        <w:rPr>
          <w:rFonts w:ascii="Times New Roman" w:hAnsi="Times New Roman" w:cs="Times New Roman"/>
        </w:rPr>
        <w:t xml:space="preserve">, </w:t>
      </w:r>
      <w:proofErr w:type="spellStart"/>
      <w:r w:rsidR="0071518D">
        <w:rPr>
          <w:rFonts w:ascii="Times New Roman" w:hAnsi="Times New Roman" w:cs="Times New Roman"/>
        </w:rPr>
        <w:t>ConcMP</w:t>
      </w:r>
      <w:proofErr w:type="spellEnd"/>
      <w:r w:rsidR="00AF44B9">
        <w:rPr>
          <w:rFonts w:ascii="Times New Roman" w:hAnsi="Times New Roman" w:cs="Times New Roman"/>
        </w:rPr>
        <w:t xml:space="preserve"> (p = </w:t>
      </w:r>
      <w:r w:rsidR="002557B6">
        <w:rPr>
          <w:rFonts w:ascii="Times New Roman" w:hAnsi="Times New Roman" w:cs="Times New Roman"/>
        </w:rPr>
        <w:t>0.612</w:t>
      </w:r>
      <w:r w:rsidR="00AF44B9">
        <w:rPr>
          <w:rFonts w:ascii="Times New Roman" w:hAnsi="Times New Roman" w:cs="Times New Roman"/>
        </w:rPr>
        <w:t>)</w:t>
      </w:r>
      <w:r w:rsidR="0071518D">
        <w:rPr>
          <w:rFonts w:ascii="Times New Roman" w:hAnsi="Times New Roman" w:cs="Times New Roman"/>
        </w:rPr>
        <w:t xml:space="preserve">, </w:t>
      </w:r>
      <w:proofErr w:type="spellStart"/>
      <w:r w:rsidR="0071518D">
        <w:rPr>
          <w:rFonts w:ascii="Times New Roman" w:hAnsi="Times New Roman" w:cs="Times New Roman"/>
        </w:rPr>
        <w:t>ConcPF</w:t>
      </w:r>
      <w:proofErr w:type="spellEnd"/>
      <w:r w:rsidR="00AF44B9">
        <w:rPr>
          <w:rFonts w:ascii="Times New Roman" w:hAnsi="Times New Roman" w:cs="Times New Roman"/>
        </w:rPr>
        <w:t xml:space="preserve"> (p =</w:t>
      </w:r>
      <w:r w:rsidR="002557B6">
        <w:rPr>
          <w:rFonts w:ascii="Times New Roman" w:hAnsi="Times New Roman" w:cs="Times New Roman"/>
        </w:rPr>
        <w:t xml:space="preserve"> 0.448</w:t>
      </w:r>
      <w:r w:rsidR="00AF44B9">
        <w:rPr>
          <w:rFonts w:ascii="Times New Roman" w:hAnsi="Times New Roman" w:cs="Times New Roman"/>
        </w:rPr>
        <w:t>)</w:t>
      </w:r>
      <w:r w:rsidR="0071518D">
        <w:rPr>
          <w:rFonts w:ascii="Times New Roman" w:hAnsi="Times New Roman" w:cs="Times New Roman"/>
        </w:rPr>
        <w:t xml:space="preserve">, </w:t>
      </w:r>
      <w:proofErr w:type="spellStart"/>
      <w:r w:rsidR="0071518D">
        <w:rPr>
          <w:rFonts w:ascii="Times New Roman" w:hAnsi="Times New Roman" w:cs="Times New Roman"/>
        </w:rPr>
        <w:t>EccMBF</w:t>
      </w:r>
      <w:proofErr w:type="spellEnd"/>
      <w:r w:rsidR="00AF44B9">
        <w:rPr>
          <w:rFonts w:ascii="Times New Roman" w:hAnsi="Times New Roman" w:cs="Times New Roman"/>
        </w:rPr>
        <w:t xml:space="preserve"> (p =</w:t>
      </w:r>
      <w:r w:rsidR="002557B6">
        <w:rPr>
          <w:rFonts w:ascii="Times New Roman" w:hAnsi="Times New Roman" w:cs="Times New Roman"/>
        </w:rPr>
        <w:t xml:space="preserve"> 0.216</w:t>
      </w:r>
      <w:r w:rsidR="00AF44B9">
        <w:rPr>
          <w:rFonts w:ascii="Times New Roman" w:hAnsi="Times New Roman" w:cs="Times New Roman"/>
        </w:rPr>
        <w:t>)</w:t>
      </w:r>
      <w:r w:rsidR="0071518D">
        <w:rPr>
          <w:rFonts w:ascii="Times New Roman" w:hAnsi="Times New Roman" w:cs="Times New Roman"/>
        </w:rPr>
        <w:t xml:space="preserve">, </w:t>
      </w:r>
      <w:proofErr w:type="spellStart"/>
      <w:r w:rsidR="0071518D">
        <w:rPr>
          <w:rFonts w:ascii="Times New Roman" w:hAnsi="Times New Roman" w:cs="Times New Roman"/>
        </w:rPr>
        <w:t>EccMDecF</w:t>
      </w:r>
      <w:proofErr w:type="spellEnd"/>
      <w:r w:rsidR="004078C4">
        <w:rPr>
          <w:rFonts w:ascii="Times New Roman" w:hAnsi="Times New Roman" w:cs="Times New Roman"/>
        </w:rPr>
        <w:t xml:space="preserve"> (p =</w:t>
      </w:r>
      <w:r w:rsidR="002557B6">
        <w:rPr>
          <w:rFonts w:ascii="Times New Roman" w:hAnsi="Times New Roman" w:cs="Times New Roman"/>
        </w:rPr>
        <w:t xml:space="preserve"> 0.765</w:t>
      </w:r>
      <w:r w:rsidR="004078C4">
        <w:rPr>
          <w:rFonts w:ascii="Times New Roman" w:hAnsi="Times New Roman" w:cs="Times New Roman"/>
        </w:rPr>
        <w:t>)</w:t>
      </w:r>
      <w:r w:rsidR="0071518D">
        <w:rPr>
          <w:rFonts w:ascii="Times New Roman" w:hAnsi="Times New Roman" w:cs="Times New Roman"/>
        </w:rPr>
        <w:t xml:space="preserve">, </w:t>
      </w:r>
      <w:proofErr w:type="spellStart"/>
      <w:r w:rsidR="0071518D">
        <w:rPr>
          <w:rFonts w:ascii="Times New Roman" w:hAnsi="Times New Roman" w:cs="Times New Roman"/>
        </w:rPr>
        <w:t>EccMF</w:t>
      </w:r>
      <w:proofErr w:type="spellEnd"/>
      <w:r w:rsidR="004078C4">
        <w:rPr>
          <w:rFonts w:ascii="Times New Roman" w:hAnsi="Times New Roman" w:cs="Times New Roman"/>
        </w:rPr>
        <w:t xml:space="preserve"> (p =</w:t>
      </w:r>
      <w:r w:rsidR="002557B6">
        <w:rPr>
          <w:rFonts w:ascii="Times New Roman" w:hAnsi="Times New Roman" w:cs="Times New Roman"/>
        </w:rPr>
        <w:t xml:space="preserve"> 0.481</w:t>
      </w:r>
      <w:r w:rsidR="004078C4">
        <w:rPr>
          <w:rFonts w:ascii="Times New Roman" w:hAnsi="Times New Roman" w:cs="Times New Roman"/>
        </w:rPr>
        <w:t>)</w:t>
      </w:r>
      <w:r w:rsidR="0071518D">
        <w:rPr>
          <w:rFonts w:ascii="Times New Roman" w:hAnsi="Times New Roman" w:cs="Times New Roman"/>
        </w:rPr>
        <w:t xml:space="preserve">, </w:t>
      </w:r>
      <w:proofErr w:type="spellStart"/>
      <w:r w:rsidR="0071518D">
        <w:rPr>
          <w:rFonts w:ascii="Times New Roman" w:hAnsi="Times New Roman" w:cs="Times New Roman"/>
        </w:rPr>
        <w:t>EccMP</w:t>
      </w:r>
      <w:proofErr w:type="spellEnd"/>
      <w:r w:rsidR="00B86025">
        <w:rPr>
          <w:rFonts w:ascii="Times New Roman" w:hAnsi="Times New Roman" w:cs="Times New Roman"/>
        </w:rPr>
        <w:t xml:space="preserve"> (p =</w:t>
      </w:r>
      <w:r w:rsidR="002557B6">
        <w:rPr>
          <w:rFonts w:ascii="Times New Roman" w:hAnsi="Times New Roman" w:cs="Times New Roman"/>
        </w:rPr>
        <w:t xml:space="preserve"> 0.832</w:t>
      </w:r>
      <w:r w:rsidR="00B86025">
        <w:rPr>
          <w:rFonts w:ascii="Times New Roman" w:hAnsi="Times New Roman" w:cs="Times New Roman"/>
        </w:rPr>
        <w:t>)</w:t>
      </w:r>
      <w:r w:rsidR="0071518D">
        <w:rPr>
          <w:rFonts w:ascii="Times New Roman" w:hAnsi="Times New Roman" w:cs="Times New Roman"/>
        </w:rPr>
        <w:t xml:space="preserve">, </w:t>
      </w:r>
      <w:proofErr w:type="spellStart"/>
      <w:r w:rsidR="0071518D">
        <w:rPr>
          <w:rFonts w:ascii="Times New Roman" w:hAnsi="Times New Roman" w:cs="Times New Roman"/>
        </w:rPr>
        <w:t>EccPF</w:t>
      </w:r>
      <w:proofErr w:type="spellEnd"/>
      <w:r w:rsidR="00B86025">
        <w:rPr>
          <w:rFonts w:ascii="Times New Roman" w:hAnsi="Times New Roman" w:cs="Times New Roman"/>
        </w:rPr>
        <w:t xml:space="preserve"> (p =</w:t>
      </w:r>
      <w:r w:rsidR="002557B6">
        <w:rPr>
          <w:rFonts w:ascii="Times New Roman" w:hAnsi="Times New Roman" w:cs="Times New Roman"/>
        </w:rPr>
        <w:t xml:space="preserve"> 0.382</w:t>
      </w:r>
      <w:r w:rsidR="00B86025">
        <w:rPr>
          <w:rFonts w:ascii="Times New Roman" w:hAnsi="Times New Roman" w:cs="Times New Roman"/>
        </w:rPr>
        <w:t>)</w:t>
      </w:r>
      <w:r w:rsidR="0071518D">
        <w:rPr>
          <w:rFonts w:ascii="Times New Roman" w:hAnsi="Times New Roman" w:cs="Times New Roman"/>
        </w:rPr>
        <w:t xml:space="preserve">, </w:t>
      </w:r>
      <w:proofErr w:type="spellStart"/>
      <w:r w:rsidR="0071518D">
        <w:rPr>
          <w:rFonts w:ascii="Times New Roman" w:hAnsi="Times New Roman" w:cs="Times New Roman"/>
        </w:rPr>
        <w:t>EccPP</w:t>
      </w:r>
      <w:proofErr w:type="spellEnd"/>
      <w:r w:rsidR="00EC2A31">
        <w:rPr>
          <w:rFonts w:ascii="Times New Roman" w:hAnsi="Times New Roman" w:cs="Times New Roman"/>
        </w:rPr>
        <w:t xml:space="preserve"> (p =</w:t>
      </w:r>
      <w:r w:rsidR="002557B6">
        <w:rPr>
          <w:rFonts w:ascii="Times New Roman" w:hAnsi="Times New Roman" w:cs="Times New Roman"/>
        </w:rPr>
        <w:t xml:space="preserve"> 0.959</w:t>
      </w:r>
      <w:r w:rsidR="00EC2A31">
        <w:rPr>
          <w:rFonts w:ascii="Times New Roman" w:hAnsi="Times New Roman" w:cs="Times New Roman"/>
        </w:rPr>
        <w:t>)</w:t>
      </w:r>
      <w:r w:rsidR="0071518D">
        <w:rPr>
          <w:rFonts w:ascii="Times New Roman" w:hAnsi="Times New Roman" w:cs="Times New Roman"/>
        </w:rPr>
        <w:t>, F@0V</w:t>
      </w:r>
      <w:r w:rsidR="00EC2A31">
        <w:rPr>
          <w:rFonts w:ascii="Times New Roman" w:hAnsi="Times New Roman" w:cs="Times New Roman"/>
        </w:rPr>
        <w:t xml:space="preserve"> (p =</w:t>
      </w:r>
      <w:r w:rsidR="002557B6">
        <w:rPr>
          <w:rFonts w:ascii="Times New Roman" w:hAnsi="Times New Roman" w:cs="Times New Roman"/>
        </w:rPr>
        <w:t xml:space="preserve"> 0.373</w:t>
      </w:r>
      <w:r w:rsidR="00EC2A31">
        <w:rPr>
          <w:rFonts w:ascii="Times New Roman" w:hAnsi="Times New Roman" w:cs="Times New Roman"/>
        </w:rPr>
        <w:t>)</w:t>
      </w:r>
      <w:r w:rsidR="0071518D">
        <w:rPr>
          <w:rFonts w:ascii="Times New Roman" w:hAnsi="Times New Roman" w:cs="Times New Roman"/>
        </w:rPr>
        <w:t>, and PP</w:t>
      </w:r>
      <w:r w:rsidR="00EC2A31">
        <w:rPr>
          <w:rFonts w:ascii="Times New Roman" w:hAnsi="Times New Roman" w:cs="Times New Roman"/>
        </w:rPr>
        <w:t xml:space="preserve"> (p =</w:t>
      </w:r>
      <w:r w:rsidR="002557B6">
        <w:rPr>
          <w:rFonts w:ascii="Times New Roman" w:hAnsi="Times New Roman" w:cs="Times New Roman"/>
        </w:rPr>
        <w:t xml:space="preserve"> 0.771</w:t>
      </w:r>
      <w:r w:rsidR="00EC2A31">
        <w:rPr>
          <w:rFonts w:ascii="Times New Roman" w:hAnsi="Times New Roman" w:cs="Times New Roman"/>
        </w:rPr>
        <w:t>)</w:t>
      </w:r>
      <w:r w:rsidR="0071518D">
        <w:rPr>
          <w:rFonts w:ascii="Times New Roman" w:hAnsi="Times New Roman" w:cs="Times New Roman"/>
        </w:rPr>
        <w:t xml:space="preserve">. </w:t>
      </w:r>
    </w:p>
    <w:p w14:paraId="07EA55A8" w14:textId="6268B011" w:rsidR="00437DAD" w:rsidRDefault="000B4E6F" w:rsidP="00F829B9">
      <w:pPr>
        <w:spacing w:line="480" w:lineRule="auto"/>
        <w:ind w:firstLine="720"/>
        <w:jc w:val="both"/>
        <w:rPr>
          <w:rFonts w:ascii="Times New Roman" w:hAnsi="Times New Roman" w:cs="Times New Roman"/>
        </w:rPr>
      </w:pPr>
      <w:r>
        <w:rPr>
          <w:rFonts w:ascii="Times New Roman" w:hAnsi="Times New Roman" w:cs="Times New Roman"/>
        </w:rPr>
        <w:t>Additionally, there were no significant main effects of Time presented in any of the CMJ variables relative to Body Mass</w:t>
      </w:r>
      <w:r w:rsidR="0080561D">
        <w:rPr>
          <w:rFonts w:ascii="Times New Roman" w:hAnsi="Times New Roman" w:cs="Times New Roman"/>
        </w:rPr>
        <w:t xml:space="preserve">, including </w:t>
      </w:r>
      <w:proofErr w:type="spellStart"/>
      <w:r w:rsidR="0080561D">
        <w:rPr>
          <w:rFonts w:ascii="Times New Roman" w:hAnsi="Times New Roman" w:cs="Times New Roman"/>
        </w:rPr>
        <w:t>ConcMF</w:t>
      </w:r>
      <w:proofErr w:type="spellEnd"/>
      <w:r w:rsidR="0080561D">
        <w:rPr>
          <w:rFonts w:ascii="Times New Roman" w:hAnsi="Times New Roman" w:cs="Times New Roman"/>
        </w:rPr>
        <w:t xml:space="preserve"> (p = 0.206), </w:t>
      </w:r>
      <w:proofErr w:type="spellStart"/>
      <w:r w:rsidR="0080561D">
        <w:rPr>
          <w:rFonts w:ascii="Times New Roman" w:hAnsi="Times New Roman" w:cs="Times New Roman"/>
        </w:rPr>
        <w:t>ConcMP</w:t>
      </w:r>
      <w:proofErr w:type="spellEnd"/>
      <w:r w:rsidR="0080561D">
        <w:rPr>
          <w:rFonts w:ascii="Times New Roman" w:hAnsi="Times New Roman" w:cs="Times New Roman"/>
        </w:rPr>
        <w:t xml:space="preserve"> (p = 0.460), </w:t>
      </w:r>
      <w:proofErr w:type="spellStart"/>
      <w:r w:rsidR="0080561D">
        <w:rPr>
          <w:rFonts w:ascii="Times New Roman" w:hAnsi="Times New Roman" w:cs="Times New Roman"/>
        </w:rPr>
        <w:t>ConcPF</w:t>
      </w:r>
      <w:proofErr w:type="spellEnd"/>
      <w:r w:rsidR="0080561D">
        <w:rPr>
          <w:rFonts w:ascii="Times New Roman" w:hAnsi="Times New Roman" w:cs="Times New Roman"/>
        </w:rPr>
        <w:t xml:space="preserve"> (p = 0.091), </w:t>
      </w:r>
      <w:proofErr w:type="spellStart"/>
      <w:r w:rsidR="0080561D">
        <w:rPr>
          <w:rFonts w:ascii="Times New Roman" w:hAnsi="Times New Roman" w:cs="Times New Roman"/>
        </w:rPr>
        <w:t>EccMBF</w:t>
      </w:r>
      <w:proofErr w:type="spellEnd"/>
      <w:r w:rsidR="0080561D">
        <w:rPr>
          <w:rFonts w:ascii="Times New Roman" w:hAnsi="Times New Roman" w:cs="Times New Roman"/>
        </w:rPr>
        <w:t xml:space="preserve"> (p = 0.946), </w:t>
      </w:r>
      <w:proofErr w:type="spellStart"/>
      <w:r w:rsidR="0080561D">
        <w:rPr>
          <w:rFonts w:ascii="Times New Roman" w:hAnsi="Times New Roman" w:cs="Times New Roman"/>
        </w:rPr>
        <w:t>EccMDecF</w:t>
      </w:r>
      <w:proofErr w:type="spellEnd"/>
      <w:r w:rsidR="0080561D">
        <w:rPr>
          <w:rFonts w:ascii="Times New Roman" w:hAnsi="Times New Roman" w:cs="Times New Roman"/>
        </w:rPr>
        <w:t xml:space="preserve"> (p = 0.831), </w:t>
      </w:r>
      <w:proofErr w:type="spellStart"/>
      <w:r w:rsidR="0080561D">
        <w:rPr>
          <w:rFonts w:ascii="Times New Roman" w:hAnsi="Times New Roman" w:cs="Times New Roman"/>
        </w:rPr>
        <w:t>EccMF</w:t>
      </w:r>
      <w:proofErr w:type="spellEnd"/>
      <w:r w:rsidR="0080561D">
        <w:rPr>
          <w:rFonts w:ascii="Times New Roman" w:hAnsi="Times New Roman" w:cs="Times New Roman"/>
        </w:rPr>
        <w:t xml:space="preserve"> (p = 0.181), </w:t>
      </w:r>
      <w:proofErr w:type="spellStart"/>
      <w:r w:rsidR="0080561D">
        <w:rPr>
          <w:rFonts w:ascii="Times New Roman" w:hAnsi="Times New Roman" w:cs="Times New Roman"/>
        </w:rPr>
        <w:t>EccMP</w:t>
      </w:r>
      <w:proofErr w:type="spellEnd"/>
      <w:r w:rsidR="0080561D">
        <w:rPr>
          <w:rFonts w:ascii="Times New Roman" w:hAnsi="Times New Roman" w:cs="Times New Roman"/>
        </w:rPr>
        <w:t xml:space="preserve"> (p = 0.108), </w:t>
      </w:r>
      <w:proofErr w:type="spellStart"/>
      <w:r w:rsidR="0080561D">
        <w:rPr>
          <w:rFonts w:ascii="Times New Roman" w:hAnsi="Times New Roman" w:cs="Times New Roman"/>
        </w:rPr>
        <w:t>EccPF</w:t>
      </w:r>
      <w:proofErr w:type="spellEnd"/>
      <w:r w:rsidR="0080561D">
        <w:rPr>
          <w:rFonts w:ascii="Times New Roman" w:hAnsi="Times New Roman" w:cs="Times New Roman"/>
        </w:rPr>
        <w:t xml:space="preserve"> (p = 0.459), </w:t>
      </w:r>
      <w:proofErr w:type="spellStart"/>
      <w:r w:rsidR="0080561D">
        <w:rPr>
          <w:rFonts w:ascii="Times New Roman" w:hAnsi="Times New Roman" w:cs="Times New Roman"/>
        </w:rPr>
        <w:t>EccPP</w:t>
      </w:r>
      <w:proofErr w:type="spellEnd"/>
      <w:r w:rsidR="0080561D">
        <w:rPr>
          <w:rFonts w:ascii="Times New Roman" w:hAnsi="Times New Roman" w:cs="Times New Roman"/>
        </w:rPr>
        <w:t xml:space="preserve"> (p = 0.581), F@0V (p = 0.485), and PP (p = 0.062).</w:t>
      </w:r>
    </w:p>
    <w:p w14:paraId="6DCFF95E" w14:textId="007C01CC" w:rsidR="0043224B" w:rsidRDefault="0043224B" w:rsidP="00F829B9">
      <w:pPr>
        <w:spacing w:line="480" w:lineRule="auto"/>
        <w:ind w:firstLine="720"/>
        <w:jc w:val="both"/>
        <w:rPr>
          <w:rFonts w:ascii="Times New Roman" w:hAnsi="Times New Roman" w:cs="Times New Roman"/>
        </w:rPr>
      </w:pPr>
      <w:r>
        <w:rPr>
          <w:rFonts w:ascii="Times New Roman" w:hAnsi="Times New Roman" w:cs="Times New Roman"/>
        </w:rPr>
        <w:t xml:space="preserve">Furthermore, no significant Week </w:t>
      </w:r>
      <w:r w:rsidRPr="008F5D8D">
        <w:rPr>
          <w:rFonts w:ascii="Times New Roman" w:eastAsia="Calibri" w:hAnsi="Times New Roman" w:cs="Times New Roman"/>
        </w:rPr>
        <w:t>×</w:t>
      </w:r>
      <w:r>
        <w:rPr>
          <w:rFonts w:ascii="Times New Roman" w:eastAsia="Calibri" w:hAnsi="Times New Roman" w:cs="Times New Roman"/>
        </w:rPr>
        <w:t xml:space="preserve"> Time </w:t>
      </w:r>
      <w:r>
        <w:rPr>
          <w:rFonts w:ascii="Times New Roman" w:hAnsi="Times New Roman" w:cs="Times New Roman"/>
        </w:rPr>
        <w:t xml:space="preserve">interactions were exhibited in any of the CMJ variables relative to Body Mass, including </w:t>
      </w:r>
      <w:proofErr w:type="spellStart"/>
      <w:r>
        <w:rPr>
          <w:rFonts w:ascii="Times New Roman" w:hAnsi="Times New Roman" w:cs="Times New Roman"/>
        </w:rPr>
        <w:t>ConcMF</w:t>
      </w:r>
      <w:proofErr w:type="spellEnd"/>
      <w:r>
        <w:rPr>
          <w:rFonts w:ascii="Times New Roman" w:hAnsi="Times New Roman" w:cs="Times New Roman"/>
        </w:rPr>
        <w:t xml:space="preserve"> (p = 0.</w:t>
      </w:r>
      <w:r w:rsidR="00CD2602">
        <w:rPr>
          <w:rFonts w:ascii="Times New Roman" w:hAnsi="Times New Roman" w:cs="Times New Roman"/>
        </w:rPr>
        <w:t>127</w:t>
      </w:r>
      <w:r>
        <w:rPr>
          <w:rFonts w:ascii="Times New Roman" w:hAnsi="Times New Roman" w:cs="Times New Roman"/>
        </w:rPr>
        <w:t xml:space="preserve">), </w:t>
      </w:r>
      <w:proofErr w:type="spellStart"/>
      <w:r>
        <w:rPr>
          <w:rFonts w:ascii="Times New Roman" w:hAnsi="Times New Roman" w:cs="Times New Roman"/>
        </w:rPr>
        <w:t>ConcMP</w:t>
      </w:r>
      <w:proofErr w:type="spellEnd"/>
      <w:r>
        <w:rPr>
          <w:rFonts w:ascii="Times New Roman" w:hAnsi="Times New Roman" w:cs="Times New Roman"/>
        </w:rPr>
        <w:t xml:space="preserve"> (p = 0.</w:t>
      </w:r>
      <w:r w:rsidR="00CD2602">
        <w:rPr>
          <w:rFonts w:ascii="Times New Roman" w:hAnsi="Times New Roman" w:cs="Times New Roman"/>
        </w:rPr>
        <w:t>134</w:t>
      </w:r>
      <w:r>
        <w:rPr>
          <w:rFonts w:ascii="Times New Roman" w:hAnsi="Times New Roman" w:cs="Times New Roman"/>
        </w:rPr>
        <w:t xml:space="preserve">), </w:t>
      </w:r>
      <w:proofErr w:type="spellStart"/>
      <w:r>
        <w:rPr>
          <w:rFonts w:ascii="Times New Roman" w:hAnsi="Times New Roman" w:cs="Times New Roman"/>
        </w:rPr>
        <w:t>ConcPF</w:t>
      </w:r>
      <w:proofErr w:type="spellEnd"/>
      <w:r>
        <w:rPr>
          <w:rFonts w:ascii="Times New Roman" w:hAnsi="Times New Roman" w:cs="Times New Roman"/>
        </w:rPr>
        <w:t xml:space="preserve"> (p = 0.</w:t>
      </w:r>
      <w:r w:rsidR="00CD2602">
        <w:rPr>
          <w:rFonts w:ascii="Times New Roman" w:hAnsi="Times New Roman" w:cs="Times New Roman"/>
        </w:rPr>
        <w:t>141</w:t>
      </w:r>
      <w:r>
        <w:rPr>
          <w:rFonts w:ascii="Times New Roman" w:hAnsi="Times New Roman" w:cs="Times New Roman"/>
        </w:rPr>
        <w:t xml:space="preserve">), </w:t>
      </w:r>
      <w:proofErr w:type="spellStart"/>
      <w:r>
        <w:rPr>
          <w:rFonts w:ascii="Times New Roman" w:hAnsi="Times New Roman" w:cs="Times New Roman"/>
        </w:rPr>
        <w:t>EccMBF</w:t>
      </w:r>
      <w:proofErr w:type="spellEnd"/>
      <w:r>
        <w:rPr>
          <w:rFonts w:ascii="Times New Roman" w:hAnsi="Times New Roman" w:cs="Times New Roman"/>
        </w:rPr>
        <w:t xml:space="preserve"> (p = 0.</w:t>
      </w:r>
      <w:r w:rsidR="00CD2602">
        <w:rPr>
          <w:rFonts w:ascii="Times New Roman" w:hAnsi="Times New Roman" w:cs="Times New Roman"/>
        </w:rPr>
        <w:t>603</w:t>
      </w:r>
      <w:r>
        <w:rPr>
          <w:rFonts w:ascii="Times New Roman" w:hAnsi="Times New Roman" w:cs="Times New Roman"/>
        </w:rPr>
        <w:t xml:space="preserve">), </w:t>
      </w:r>
      <w:proofErr w:type="spellStart"/>
      <w:r>
        <w:rPr>
          <w:rFonts w:ascii="Times New Roman" w:hAnsi="Times New Roman" w:cs="Times New Roman"/>
        </w:rPr>
        <w:t>EccMDecF</w:t>
      </w:r>
      <w:proofErr w:type="spellEnd"/>
      <w:r>
        <w:rPr>
          <w:rFonts w:ascii="Times New Roman" w:hAnsi="Times New Roman" w:cs="Times New Roman"/>
        </w:rPr>
        <w:t xml:space="preserve"> (p = 0.</w:t>
      </w:r>
      <w:r w:rsidR="00CD2602">
        <w:rPr>
          <w:rFonts w:ascii="Times New Roman" w:hAnsi="Times New Roman" w:cs="Times New Roman"/>
        </w:rPr>
        <w:t>358</w:t>
      </w:r>
      <w:r>
        <w:rPr>
          <w:rFonts w:ascii="Times New Roman" w:hAnsi="Times New Roman" w:cs="Times New Roman"/>
        </w:rPr>
        <w:t xml:space="preserve">), </w:t>
      </w:r>
      <w:proofErr w:type="spellStart"/>
      <w:r>
        <w:rPr>
          <w:rFonts w:ascii="Times New Roman" w:hAnsi="Times New Roman" w:cs="Times New Roman"/>
        </w:rPr>
        <w:t>EccMF</w:t>
      </w:r>
      <w:proofErr w:type="spellEnd"/>
      <w:r>
        <w:rPr>
          <w:rFonts w:ascii="Times New Roman" w:hAnsi="Times New Roman" w:cs="Times New Roman"/>
        </w:rPr>
        <w:t xml:space="preserve"> (p = 0.</w:t>
      </w:r>
      <w:r w:rsidR="00CD2602">
        <w:rPr>
          <w:rFonts w:ascii="Times New Roman" w:hAnsi="Times New Roman" w:cs="Times New Roman"/>
        </w:rPr>
        <w:t>751</w:t>
      </w:r>
      <w:r>
        <w:rPr>
          <w:rFonts w:ascii="Times New Roman" w:hAnsi="Times New Roman" w:cs="Times New Roman"/>
        </w:rPr>
        <w:t xml:space="preserve">), </w:t>
      </w:r>
      <w:proofErr w:type="spellStart"/>
      <w:r>
        <w:rPr>
          <w:rFonts w:ascii="Times New Roman" w:hAnsi="Times New Roman" w:cs="Times New Roman"/>
        </w:rPr>
        <w:t>EccMP</w:t>
      </w:r>
      <w:proofErr w:type="spellEnd"/>
      <w:r>
        <w:rPr>
          <w:rFonts w:ascii="Times New Roman" w:hAnsi="Times New Roman" w:cs="Times New Roman"/>
        </w:rPr>
        <w:t xml:space="preserve"> (p = 0.</w:t>
      </w:r>
      <w:r w:rsidR="00CD2602">
        <w:rPr>
          <w:rFonts w:ascii="Times New Roman" w:hAnsi="Times New Roman" w:cs="Times New Roman"/>
        </w:rPr>
        <w:t>358</w:t>
      </w:r>
      <w:r>
        <w:rPr>
          <w:rFonts w:ascii="Times New Roman" w:hAnsi="Times New Roman" w:cs="Times New Roman"/>
        </w:rPr>
        <w:t xml:space="preserve">), </w:t>
      </w:r>
      <w:proofErr w:type="spellStart"/>
      <w:r>
        <w:rPr>
          <w:rFonts w:ascii="Times New Roman" w:hAnsi="Times New Roman" w:cs="Times New Roman"/>
        </w:rPr>
        <w:t>EccPF</w:t>
      </w:r>
      <w:proofErr w:type="spellEnd"/>
      <w:r>
        <w:rPr>
          <w:rFonts w:ascii="Times New Roman" w:hAnsi="Times New Roman" w:cs="Times New Roman"/>
        </w:rPr>
        <w:t xml:space="preserve"> (p = 0.</w:t>
      </w:r>
      <w:r w:rsidR="00CD2602">
        <w:rPr>
          <w:rFonts w:ascii="Times New Roman" w:hAnsi="Times New Roman" w:cs="Times New Roman"/>
        </w:rPr>
        <w:t>139</w:t>
      </w:r>
      <w:r>
        <w:rPr>
          <w:rFonts w:ascii="Times New Roman" w:hAnsi="Times New Roman" w:cs="Times New Roman"/>
        </w:rPr>
        <w:t xml:space="preserve">), </w:t>
      </w:r>
      <w:proofErr w:type="spellStart"/>
      <w:r>
        <w:rPr>
          <w:rFonts w:ascii="Times New Roman" w:hAnsi="Times New Roman" w:cs="Times New Roman"/>
        </w:rPr>
        <w:t>EccPP</w:t>
      </w:r>
      <w:proofErr w:type="spellEnd"/>
      <w:r>
        <w:rPr>
          <w:rFonts w:ascii="Times New Roman" w:hAnsi="Times New Roman" w:cs="Times New Roman"/>
        </w:rPr>
        <w:t xml:space="preserve"> (p = 0.</w:t>
      </w:r>
      <w:r w:rsidR="00CD2602">
        <w:rPr>
          <w:rFonts w:ascii="Times New Roman" w:hAnsi="Times New Roman" w:cs="Times New Roman"/>
        </w:rPr>
        <w:t>548</w:t>
      </w:r>
      <w:r>
        <w:rPr>
          <w:rFonts w:ascii="Times New Roman" w:hAnsi="Times New Roman" w:cs="Times New Roman"/>
        </w:rPr>
        <w:t>), F@0V (p = 0.</w:t>
      </w:r>
      <w:r w:rsidR="00CD2602">
        <w:rPr>
          <w:rFonts w:ascii="Times New Roman" w:hAnsi="Times New Roman" w:cs="Times New Roman"/>
        </w:rPr>
        <w:t>142</w:t>
      </w:r>
      <w:r>
        <w:rPr>
          <w:rFonts w:ascii="Times New Roman" w:hAnsi="Times New Roman" w:cs="Times New Roman"/>
        </w:rPr>
        <w:t>), and PP (p = 0.</w:t>
      </w:r>
      <w:r w:rsidR="00CD2602">
        <w:rPr>
          <w:rFonts w:ascii="Times New Roman" w:hAnsi="Times New Roman" w:cs="Times New Roman"/>
        </w:rPr>
        <w:t>237</w:t>
      </w:r>
      <w:r>
        <w:rPr>
          <w:rFonts w:ascii="Times New Roman" w:hAnsi="Times New Roman" w:cs="Times New Roman"/>
        </w:rPr>
        <w:t>).</w:t>
      </w:r>
    </w:p>
    <w:p w14:paraId="65377149" w14:textId="7BE31B1F" w:rsidR="0043224B" w:rsidRDefault="0043224B" w:rsidP="0080561D">
      <w:pPr>
        <w:spacing w:line="480" w:lineRule="auto"/>
        <w:ind w:firstLine="720"/>
        <w:rPr>
          <w:rFonts w:ascii="Times New Roman" w:hAnsi="Times New Roman" w:cs="Times New Roman"/>
        </w:rPr>
      </w:pPr>
    </w:p>
    <w:p w14:paraId="52946A7F" w14:textId="22C67C41" w:rsidR="001163A2" w:rsidRDefault="001163A2" w:rsidP="0080561D">
      <w:pPr>
        <w:spacing w:line="480" w:lineRule="auto"/>
        <w:ind w:firstLine="720"/>
        <w:rPr>
          <w:rFonts w:ascii="Times New Roman" w:hAnsi="Times New Roman" w:cs="Times New Roman"/>
        </w:rPr>
      </w:pPr>
    </w:p>
    <w:p w14:paraId="33999597" w14:textId="260CA2BD" w:rsidR="001163A2" w:rsidRDefault="001163A2" w:rsidP="0080561D">
      <w:pPr>
        <w:spacing w:line="480" w:lineRule="auto"/>
        <w:ind w:firstLine="720"/>
        <w:rPr>
          <w:rFonts w:ascii="Times New Roman" w:hAnsi="Times New Roman" w:cs="Times New Roman"/>
        </w:rPr>
      </w:pPr>
    </w:p>
    <w:p w14:paraId="4DCC012E" w14:textId="2656175B" w:rsidR="001163A2" w:rsidRDefault="001163A2" w:rsidP="0080561D">
      <w:pPr>
        <w:spacing w:line="480" w:lineRule="auto"/>
        <w:ind w:firstLine="720"/>
        <w:rPr>
          <w:rFonts w:ascii="Times New Roman" w:hAnsi="Times New Roman" w:cs="Times New Roman"/>
        </w:rPr>
      </w:pPr>
    </w:p>
    <w:p w14:paraId="4FCAC923" w14:textId="31931DB4" w:rsidR="001163A2" w:rsidRDefault="001163A2" w:rsidP="0080561D">
      <w:pPr>
        <w:spacing w:line="480" w:lineRule="auto"/>
        <w:ind w:firstLine="720"/>
        <w:rPr>
          <w:rFonts w:ascii="Times New Roman" w:hAnsi="Times New Roman" w:cs="Times New Roman"/>
        </w:rPr>
      </w:pPr>
    </w:p>
    <w:p w14:paraId="73E761FF" w14:textId="0EA76B27" w:rsidR="001163A2" w:rsidRDefault="001163A2" w:rsidP="0080561D">
      <w:pPr>
        <w:spacing w:line="480" w:lineRule="auto"/>
        <w:ind w:firstLine="720"/>
        <w:rPr>
          <w:rFonts w:ascii="Times New Roman" w:hAnsi="Times New Roman" w:cs="Times New Roman"/>
        </w:rPr>
      </w:pPr>
    </w:p>
    <w:p w14:paraId="47C65FDB" w14:textId="2058203D" w:rsidR="001163A2" w:rsidRDefault="001163A2" w:rsidP="0080561D">
      <w:pPr>
        <w:spacing w:line="480" w:lineRule="auto"/>
        <w:ind w:firstLine="720"/>
        <w:rPr>
          <w:rFonts w:ascii="Times New Roman" w:hAnsi="Times New Roman" w:cs="Times New Roman"/>
        </w:rPr>
      </w:pPr>
    </w:p>
    <w:p w14:paraId="059241A5" w14:textId="30B45C1D" w:rsidR="001163A2" w:rsidRDefault="001163A2" w:rsidP="002E259B">
      <w:pPr>
        <w:spacing w:line="480" w:lineRule="auto"/>
        <w:rPr>
          <w:rFonts w:ascii="Times New Roman" w:hAnsi="Times New Roman" w:cs="Times New Roman"/>
        </w:rPr>
      </w:pPr>
    </w:p>
    <w:p w14:paraId="123E7F0F" w14:textId="77777777" w:rsidR="005D7181" w:rsidRDefault="005D7181" w:rsidP="002E259B">
      <w:pPr>
        <w:spacing w:line="480" w:lineRule="auto"/>
        <w:rPr>
          <w:rFonts w:ascii="Times New Roman" w:hAnsi="Times New Roman" w:cs="Times New Roman"/>
        </w:rPr>
      </w:pPr>
    </w:p>
    <w:p w14:paraId="0FBE13ED" w14:textId="7A42B93F" w:rsidR="004F5C80" w:rsidRPr="004F5C80" w:rsidRDefault="004F5C80" w:rsidP="004F5C80">
      <w:pPr>
        <w:pStyle w:val="Caption"/>
        <w:keepNext/>
        <w:rPr>
          <w:rFonts w:ascii="Times New Roman" w:hAnsi="Times New Roman"/>
        </w:rPr>
      </w:pPr>
      <w:bookmarkStart w:id="77" w:name="_Toc93726100"/>
      <w:r w:rsidRPr="004F5C80">
        <w:rPr>
          <w:rFonts w:ascii="Times New Roman" w:hAnsi="Times New Roman"/>
        </w:rPr>
        <w:lastRenderedPageBreak/>
        <w:t xml:space="preserve">Table </w:t>
      </w:r>
      <w:r w:rsidRPr="004F5C80">
        <w:rPr>
          <w:rFonts w:ascii="Times New Roman" w:hAnsi="Times New Roman"/>
        </w:rPr>
        <w:fldChar w:fldCharType="begin"/>
      </w:r>
      <w:r w:rsidRPr="004F5C80">
        <w:rPr>
          <w:rFonts w:ascii="Times New Roman" w:hAnsi="Times New Roman"/>
        </w:rPr>
        <w:instrText xml:space="preserve"> SEQ Table \* ARABIC </w:instrText>
      </w:r>
      <w:r w:rsidRPr="004F5C80">
        <w:rPr>
          <w:rFonts w:ascii="Times New Roman" w:hAnsi="Times New Roman"/>
        </w:rPr>
        <w:fldChar w:fldCharType="separate"/>
      </w:r>
      <w:r w:rsidR="002101E0">
        <w:rPr>
          <w:rFonts w:ascii="Times New Roman" w:hAnsi="Times New Roman"/>
          <w:noProof/>
        </w:rPr>
        <w:t>4</w:t>
      </w:r>
      <w:r w:rsidRPr="004F5C80">
        <w:rPr>
          <w:rFonts w:ascii="Times New Roman" w:hAnsi="Times New Roman"/>
        </w:rPr>
        <w:fldChar w:fldCharType="end"/>
      </w:r>
      <w:r w:rsidRPr="004F5C80">
        <w:rPr>
          <w:rFonts w:ascii="Times New Roman" w:hAnsi="Times New Roman"/>
        </w:rPr>
        <w:t>. Countermovement Jump Descriptive Statistics Relative to Body Mass.</w:t>
      </w:r>
      <w:bookmarkEnd w:id="77"/>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1080"/>
        <w:gridCol w:w="1170"/>
        <w:gridCol w:w="1080"/>
        <w:gridCol w:w="1170"/>
        <w:gridCol w:w="900"/>
        <w:gridCol w:w="900"/>
        <w:gridCol w:w="719"/>
        <w:gridCol w:w="811"/>
      </w:tblGrid>
      <w:tr w:rsidR="00EC2A31" w:rsidRPr="0071710E" w14:paraId="796004E0" w14:textId="77777777" w:rsidTr="00EC2A31">
        <w:trPr>
          <w:trHeight w:val="471"/>
          <w:jc w:val="center"/>
        </w:trPr>
        <w:tc>
          <w:tcPr>
            <w:tcW w:w="817" w:type="pct"/>
            <w:tcBorders>
              <w:top w:val="single" w:sz="12" w:space="0" w:color="auto"/>
            </w:tcBorders>
            <w:noWrap/>
            <w:vAlign w:val="center"/>
            <w:hideMark/>
          </w:tcPr>
          <w:p w14:paraId="701510F4" w14:textId="77777777" w:rsidR="00F072F2" w:rsidRPr="0071710E" w:rsidRDefault="00F072F2" w:rsidP="00474036">
            <w:pPr>
              <w:adjustRightInd w:val="0"/>
              <w:ind w:firstLine="720"/>
              <w:jc w:val="center"/>
              <w:rPr>
                <w:rFonts w:ascii="Times New Roman" w:hAnsi="Times New Roman" w:cs="Times New Roman"/>
                <w:sz w:val="20"/>
                <w:szCs w:val="20"/>
              </w:rPr>
            </w:pPr>
          </w:p>
        </w:tc>
        <w:tc>
          <w:tcPr>
            <w:tcW w:w="1202" w:type="pct"/>
            <w:gridSpan w:val="2"/>
            <w:tcBorders>
              <w:top w:val="single" w:sz="12" w:space="0" w:color="auto"/>
            </w:tcBorders>
            <w:noWrap/>
            <w:vAlign w:val="center"/>
            <w:hideMark/>
          </w:tcPr>
          <w:p w14:paraId="73385AB2" w14:textId="77777777" w:rsidR="00F072F2" w:rsidRPr="0071710E" w:rsidRDefault="00F072F2" w:rsidP="00474036">
            <w:pPr>
              <w:adjustRightInd w:val="0"/>
              <w:jc w:val="center"/>
              <w:rPr>
                <w:rFonts w:ascii="Times New Roman" w:hAnsi="Times New Roman" w:cs="Times New Roman"/>
                <w:sz w:val="20"/>
                <w:szCs w:val="20"/>
              </w:rPr>
            </w:pPr>
            <w:r w:rsidRPr="0071710E">
              <w:rPr>
                <w:rFonts w:ascii="Times New Roman" w:hAnsi="Times New Roman" w:cs="Times New Roman"/>
                <w:sz w:val="20"/>
                <w:szCs w:val="20"/>
              </w:rPr>
              <w:t>Week 1</w:t>
            </w:r>
          </w:p>
        </w:tc>
        <w:tc>
          <w:tcPr>
            <w:tcW w:w="1202" w:type="pct"/>
            <w:gridSpan w:val="2"/>
            <w:tcBorders>
              <w:top w:val="single" w:sz="12" w:space="0" w:color="auto"/>
            </w:tcBorders>
            <w:vAlign w:val="center"/>
          </w:tcPr>
          <w:p w14:paraId="53FC5AD2" w14:textId="77777777" w:rsidR="00F072F2" w:rsidRPr="0071710E" w:rsidRDefault="00F072F2" w:rsidP="00474036">
            <w:pPr>
              <w:adjustRightInd w:val="0"/>
              <w:jc w:val="center"/>
              <w:rPr>
                <w:rFonts w:ascii="Times New Roman" w:hAnsi="Times New Roman" w:cs="Times New Roman"/>
                <w:sz w:val="20"/>
                <w:szCs w:val="20"/>
              </w:rPr>
            </w:pPr>
            <w:r w:rsidRPr="0071710E">
              <w:rPr>
                <w:rFonts w:ascii="Times New Roman" w:hAnsi="Times New Roman" w:cs="Times New Roman"/>
                <w:sz w:val="20"/>
                <w:szCs w:val="20"/>
              </w:rPr>
              <w:t>Week 4</w:t>
            </w:r>
          </w:p>
        </w:tc>
        <w:tc>
          <w:tcPr>
            <w:tcW w:w="962" w:type="pct"/>
            <w:gridSpan w:val="2"/>
            <w:tcBorders>
              <w:top w:val="single" w:sz="12" w:space="0" w:color="auto"/>
              <w:left w:val="nil"/>
            </w:tcBorders>
            <w:noWrap/>
            <w:vAlign w:val="center"/>
            <w:hideMark/>
          </w:tcPr>
          <w:p w14:paraId="13350362" w14:textId="77777777" w:rsidR="00F072F2" w:rsidRPr="0071710E" w:rsidRDefault="00F072F2" w:rsidP="00474036">
            <w:pPr>
              <w:adjustRightInd w:val="0"/>
              <w:jc w:val="center"/>
              <w:rPr>
                <w:rFonts w:ascii="Times New Roman" w:hAnsi="Times New Roman" w:cs="Times New Roman"/>
                <w:sz w:val="20"/>
                <w:szCs w:val="20"/>
              </w:rPr>
            </w:pPr>
            <w:r w:rsidRPr="0071710E">
              <w:rPr>
                <w:rFonts w:ascii="Times New Roman" w:hAnsi="Times New Roman" w:cs="Times New Roman"/>
                <w:sz w:val="20"/>
                <w:szCs w:val="20"/>
              </w:rPr>
              <w:t>Pre to Post Effect (</w:t>
            </w:r>
            <w:r w:rsidRPr="0071710E">
              <w:rPr>
                <w:rFonts w:ascii="Times New Roman" w:hAnsi="Times New Roman" w:cs="Times New Roman"/>
                <w:i/>
                <w:iCs/>
                <w:sz w:val="20"/>
                <w:szCs w:val="20"/>
              </w:rPr>
              <w:t>d</w:t>
            </w:r>
            <w:r w:rsidRPr="0071710E">
              <w:rPr>
                <w:rFonts w:ascii="Times New Roman" w:hAnsi="Times New Roman" w:cs="Times New Roman"/>
                <w:sz w:val="20"/>
                <w:szCs w:val="20"/>
              </w:rPr>
              <w:t>)</w:t>
            </w:r>
          </w:p>
        </w:tc>
        <w:tc>
          <w:tcPr>
            <w:tcW w:w="817" w:type="pct"/>
            <w:gridSpan w:val="2"/>
            <w:tcBorders>
              <w:top w:val="single" w:sz="12" w:space="0" w:color="auto"/>
              <w:left w:val="nil"/>
            </w:tcBorders>
            <w:vAlign w:val="center"/>
          </w:tcPr>
          <w:p w14:paraId="73CF78F3" w14:textId="77777777" w:rsidR="00F072F2" w:rsidRPr="0071710E" w:rsidRDefault="00F072F2" w:rsidP="00474036">
            <w:pPr>
              <w:adjustRightInd w:val="0"/>
              <w:jc w:val="center"/>
              <w:rPr>
                <w:rFonts w:ascii="Times New Roman" w:hAnsi="Times New Roman" w:cs="Times New Roman"/>
                <w:sz w:val="20"/>
                <w:szCs w:val="20"/>
              </w:rPr>
            </w:pPr>
            <w:r w:rsidRPr="0071710E">
              <w:rPr>
                <w:rFonts w:ascii="Times New Roman" w:hAnsi="Times New Roman" w:cs="Times New Roman"/>
                <w:sz w:val="20"/>
                <w:szCs w:val="20"/>
              </w:rPr>
              <w:t>Week 1 to Week 4 Effect (</w:t>
            </w:r>
            <w:r w:rsidRPr="0071710E">
              <w:rPr>
                <w:rFonts w:ascii="Times New Roman" w:hAnsi="Times New Roman" w:cs="Times New Roman"/>
                <w:i/>
                <w:iCs/>
                <w:sz w:val="20"/>
                <w:szCs w:val="20"/>
              </w:rPr>
              <w:t>d</w:t>
            </w:r>
            <w:r w:rsidRPr="0071710E">
              <w:rPr>
                <w:rFonts w:ascii="Times New Roman" w:hAnsi="Times New Roman" w:cs="Times New Roman"/>
                <w:sz w:val="20"/>
                <w:szCs w:val="20"/>
              </w:rPr>
              <w:t>)</w:t>
            </w:r>
          </w:p>
        </w:tc>
      </w:tr>
      <w:tr w:rsidR="00B95D02" w:rsidRPr="0071710E" w14:paraId="1B1A8FAE" w14:textId="77777777" w:rsidTr="00B95D02">
        <w:trPr>
          <w:trHeight w:val="444"/>
          <w:jc w:val="center"/>
        </w:trPr>
        <w:tc>
          <w:tcPr>
            <w:tcW w:w="817" w:type="pct"/>
            <w:tcBorders>
              <w:bottom w:val="single" w:sz="4" w:space="0" w:color="auto"/>
            </w:tcBorders>
            <w:noWrap/>
            <w:vAlign w:val="center"/>
            <w:hideMark/>
          </w:tcPr>
          <w:p w14:paraId="6E6F393D" w14:textId="77777777" w:rsidR="004E3626" w:rsidRDefault="00F072F2" w:rsidP="00474036">
            <w:pPr>
              <w:adjustRightInd w:val="0"/>
              <w:rPr>
                <w:rFonts w:ascii="Times New Roman" w:hAnsi="Times New Roman" w:cs="Times New Roman"/>
                <w:sz w:val="20"/>
                <w:szCs w:val="20"/>
              </w:rPr>
            </w:pPr>
            <w:r w:rsidRPr="0071710E">
              <w:rPr>
                <w:rFonts w:ascii="Times New Roman" w:hAnsi="Times New Roman" w:cs="Times New Roman"/>
                <w:sz w:val="20"/>
                <w:szCs w:val="20"/>
              </w:rPr>
              <w:t>Variable</w:t>
            </w:r>
            <w:r w:rsidR="004E3626">
              <w:rPr>
                <w:rFonts w:ascii="Times New Roman" w:hAnsi="Times New Roman" w:cs="Times New Roman"/>
                <w:sz w:val="20"/>
                <w:szCs w:val="20"/>
              </w:rPr>
              <w:t xml:space="preserve"> </w:t>
            </w:r>
          </w:p>
          <w:p w14:paraId="73A7F64A" w14:textId="50B5EDC3" w:rsidR="00F072F2" w:rsidRPr="0071710E" w:rsidRDefault="004E3626" w:rsidP="00474036">
            <w:pPr>
              <w:adjustRightInd w:val="0"/>
              <w:rPr>
                <w:rFonts w:ascii="Times New Roman" w:hAnsi="Times New Roman" w:cs="Times New Roman"/>
                <w:sz w:val="20"/>
                <w:szCs w:val="20"/>
              </w:rPr>
            </w:pPr>
            <w:r>
              <w:rPr>
                <w:rFonts w:ascii="Times New Roman" w:hAnsi="Times New Roman" w:cs="Times New Roman"/>
                <w:sz w:val="20"/>
                <w:szCs w:val="20"/>
              </w:rPr>
              <w:t>(n = 13)</w:t>
            </w:r>
          </w:p>
        </w:tc>
        <w:tc>
          <w:tcPr>
            <w:tcW w:w="577" w:type="pct"/>
            <w:tcBorders>
              <w:bottom w:val="single" w:sz="4" w:space="0" w:color="auto"/>
            </w:tcBorders>
            <w:noWrap/>
            <w:vAlign w:val="center"/>
            <w:hideMark/>
          </w:tcPr>
          <w:p w14:paraId="0DA06AE6" w14:textId="77777777" w:rsidR="00F072F2" w:rsidRPr="0071710E" w:rsidRDefault="00F072F2" w:rsidP="00474036">
            <w:pPr>
              <w:adjustRightInd w:val="0"/>
              <w:jc w:val="center"/>
              <w:rPr>
                <w:rFonts w:ascii="Times New Roman" w:hAnsi="Times New Roman" w:cs="Times New Roman"/>
                <w:sz w:val="20"/>
                <w:szCs w:val="20"/>
              </w:rPr>
            </w:pPr>
            <w:r w:rsidRPr="0071710E">
              <w:rPr>
                <w:rFonts w:ascii="Times New Roman" w:hAnsi="Times New Roman" w:cs="Times New Roman"/>
                <w:sz w:val="20"/>
                <w:szCs w:val="20"/>
              </w:rPr>
              <w:t>Pre</w:t>
            </w:r>
          </w:p>
        </w:tc>
        <w:tc>
          <w:tcPr>
            <w:tcW w:w="625" w:type="pct"/>
            <w:tcBorders>
              <w:bottom w:val="single" w:sz="4" w:space="0" w:color="auto"/>
            </w:tcBorders>
            <w:noWrap/>
            <w:vAlign w:val="center"/>
            <w:hideMark/>
          </w:tcPr>
          <w:p w14:paraId="5E31B053" w14:textId="77777777" w:rsidR="00F072F2" w:rsidRPr="0071710E" w:rsidRDefault="00F072F2" w:rsidP="00474036">
            <w:pPr>
              <w:adjustRightInd w:val="0"/>
              <w:jc w:val="center"/>
              <w:rPr>
                <w:rFonts w:ascii="Times New Roman" w:hAnsi="Times New Roman" w:cs="Times New Roman"/>
                <w:sz w:val="20"/>
                <w:szCs w:val="20"/>
              </w:rPr>
            </w:pPr>
            <w:r w:rsidRPr="0071710E">
              <w:rPr>
                <w:rFonts w:ascii="Times New Roman" w:hAnsi="Times New Roman" w:cs="Times New Roman"/>
                <w:sz w:val="20"/>
                <w:szCs w:val="20"/>
              </w:rPr>
              <w:t>Post</w:t>
            </w:r>
          </w:p>
        </w:tc>
        <w:tc>
          <w:tcPr>
            <w:tcW w:w="577" w:type="pct"/>
            <w:tcBorders>
              <w:bottom w:val="single" w:sz="4" w:space="0" w:color="auto"/>
            </w:tcBorders>
            <w:noWrap/>
            <w:vAlign w:val="center"/>
            <w:hideMark/>
          </w:tcPr>
          <w:p w14:paraId="334657E4" w14:textId="77777777" w:rsidR="00F072F2" w:rsidRPr="0071710E" w:rsidRDefault="00F072F2" w:rsidP="00474036">
            <w:pPr>
              <w:adjustRightInd w:val="0"/>
              <w:jc w:val="center"/>
              <w:rPr>
                <w:rFonts w:ascii="Times New Roman" w:hAnsi="Times New Roman" w:cs="Times New Roman"/>
                <w:sz w:val="20"/>
                <w:szCs w:val="20"/>
              </w:rPr>
            </w:pPr>
            <w:r w:rsidRPr="0071710E">
              <w:rPr>
                <w:rFonts w:ascii="Times New Roman" w:hAnsi="Times New Roman" w:cs="Times New Roman"/>
                <w:sz w:val="20"/>
                <w:szCs w:val="20"/>
              </w:rPr>
              <w:t>Pre</w:t>
            </w:r>
          </w:p>
        </w:tc>
        <w:tc>
          <w:tcPr>
            <w:tcW w:w="625" w:type="pct"/>
            <w:tcBorders>
              <w:bottom w:val="single" w:sz="4" w:space="0" w:color="auto"/>
            </w:tcBorders>
            <w:vAlign w:val="center"/>
          </w:tcPr>
          <w:p w14:paraId="2CA68359" w14:textId="77777777" w:rsidR="00F072F2" w:rsidRPr="0071710E" w:rsidRDefault="00F072F2" w:rsidP="00474036">
            <w:pPr>
              <w:adjustRightInd w:val="0"/>
              <w:jc w:val="center"/>
              <w:rPr>
                <w:rFonts w:ascii="Times New Roman" w:hAnsi="Times New Roman" w:cs="Times New Roman"/>
                <w:sz w:val="20"/>
                <w:szCs w:val="20"/>
              </w:rPr>
            </w:pPr>
            <w:r w:rsidRPr="0071710E">
              <w:rPr>
                <w:rFonts w:ascii="Times New Roman" w:hAnsi="Times New Roman" w:cs="Times New Roman"/>
                <w:sz w:val="20"/>
                <w:szCs w:val="20"/>
              </w:rPr>
              <w:t>Post</w:t>
            </w:r>
          </w:p>
        </w:tc>
        <w:tc>
          <w:tcPr>
            <w:tcW w:w="481" w:type="pct"/>
            <w:tcBorders>
              <w:left w:val="nil"/>
              <w:bottom w:val="single" w:sz="4" w:space="0" w:color="auto"/>
            </w:tcBorders>
            <w:noWrap/>
            <w:vAlign w:val="center"/>
            <w:hideMark/>
          </w:tcPr>
          <w:p w14:paraId="0B09A5AF" w14:textId="77777777" w:rsidR="00F072F2" w:rsidRPr="0071710E" w:rsidRDefault="00F072F2" w:rsidP="00474036">
            <w:pPr>
              <w:adjustRightInd w:val="0"/>
              <w:jc w:val="center"/>
              <w:rPr>
                <w:rFonts w:ascii="Times New Roman" w:hAnsi="Times New Roman" w:cs="Times New Roman"/>
                <w:sz w:val="20"/>
                <w:szCs w:val="20"/>
              </w:rPr>
            </w:pPr>
            <w:r w:rsidRPr="0071710E">
              <w:rPr>
                <w:rFonts w:ascii="Times New Roman" w:hAnsi="Times New Roman" w:cs="Times New Roman"/>
                <w:sz w:val="20"/>
                <w:szCs w:val="20"/>
              </w:rPr>
              <w:t>Week 1</w:t>
            </w:r>
          </w:p>
        </w:tc>
        <w:tc>
          <w:tcPr>
            <w:tcW w:w="481" w:type="pct"/>
            <w:tcBorders>
              <w:bottom w:val="single" w:sz="4" w:space="0" w:color="auto"/>
            </w:tcBorders>
            <w:noWrap/>
            <w:vAlign w:val="center"/>
            <w:hideMark/>
          </w:tcPr>
          <w:p w14:paraId="0C25CE78" w14:textId="77777777" w:rsidR="00F072F2" w:rsidRPr="0071710E" w:rsidRDefault="00F072F2" w:rsidP="00474036">
            <w:pPr>
              <w:adjustRightInd w:val="0"/>
              <w:jc w:val="center"/>
              <w:rPr>
                <w:rFonts w:ascii="Times New Roman" w:hAnsi="Times New Roman" w:cs="Times New Roman"/>
                <w:sz w:val="20"/>
                <w:szCs w:val="20"/>
              </w:rPr>
            </w:pPr>
            <w:r w:rsidRPr="0071710E">
              <w:rPr>
                <w:rFonts w:ascii="Times New Roman" w:hAnsi="Times New Roman" w:cs="Times New Roman"/>
                <w:sz w:val="20"/>
                <w:szCs w:val="20"/>
              </w:rPr>
              <w:t>Week 4</w:t>
            </w:r>
          </w:p>
        </w:tc>
        <w:tc>
          <w:tcPr>
            <w:tcW w:w="384" w:type="pct"/>
            <w:tcBorders>
              <w:bottom w:val="single" w:sz="4" w:space="0" w:color="auto"/>
            </w:tcBorders>
            <w:noWrap/>
            <w:vAlign w:val="center"/>
            <w:hideMark/>
          </w:tcPr>
          <w:p w14:paraId="216E854C" w14:textId="77777777" w:rsidR="00F072F2" w:rsidRPr="0071710E" w:rsidRDefault="00F072F2" w:rsidP="00474036">
            <w:pPr>
              <w:adjustRightInd w:val="0"/>
              <w:jc w:val="center"/>
              <w:rPr>
                <w:rFonts w:ascii="Times New Roman" w:hAnsi="Times New Roman" w:cs="Times New Roman"/>
                <w:sz w:val="20"/>
                <w:szCs w:val="20"/>
              </w:rPr>
            </w:pPr>
            <w:r w:rsidRPr="0071710E">
              <w:rPr>
                <w:rFonts w:ascii="Times New Roman" w:hAnsi="Times New Roman" w:cs="Times New Roman"/>
                <w:sz w:val="20"/>
                <w:szCs w:val="20"/>
              </w:rPr>
              <w:t>Pre to Pre</w:t>
            </w:r>
          </w:p>
        </w:tc>
        <w:tc>
          <w:tcPr>
            <w:tcW w:w="433" w:type="pct"/>
            <w:tcBorders>
              <w:bottom w:val="single" w:sz="4" w:space="0" w:color="auto"/>
            </w:tcBorders>
            <w:vAlign w:val="center"/>
          </w:tcPr>
          <w:p w14:paraId="27FC74D3" w14:textId="77777777" w:rsidR="00F072F2" w:rsidRPr="0071710E" w:rsidRDefault="00F072F2" w:rsidP="00474036">
            <w:pPr>
              <w:adjustRightInd w:val="0"/>
              <w:jc w:val="center"/>
              <w:rPr>
                <w:rFonts w:ascii="Times New Roman" w:hAnsi="Times New Roman" w:cs="Times New Roman"/>
                <w:sz w:val="20"/>
                <w:szCs w:val="20"/>
              </w:rPr>
            </w:pPr>
            <w:r w:rsidRPr="0071710E">
              <w:rPr>
                <w:rFonts w:ascii="Times New Roman" w:hAnsi="Times New Roman" w:cs="Times New Roman"/>
                <w:sz w:val="20"/>
                <w:szCs w:val="20"/>
              </w:rPr>
              <w:t>Post to Post</w:t>
            </w:r>
          </w:p>
        </w:tc>
      </w:tr>
      <w:tr w:rsidR="0025042B" w:rsidRPr="0071710E" w14:paraId="7F7BAAC2" w14:textId="77777777" w:rsidTr="00B95D02">
        <w:trPr>
          <w:trHeight w:val="444"/>
          <w:jc w:val="center"/>
        </w:trPr>
        <w:tc>
          <w:tcPr>
            <w:tcW w:w="817" w:type="pct"/>
            <w:tcBorders>
              <w:top w:val="single" w:sz="4" w:space="0" w:color="auto"/>
            </w:tcBorders>
            <w:noWrap/>
            <w:vAlign w:val="center"/>
            <w:hideMark/>
          </w:tcPr>
          <w:p w14:paraId="6506D58F" w14:textId="1DD3CA3E" w:rsidR="00E34EC9" w:rsidRPr="0071710E" w:rsidRDefault="00E34EC9" w:rsidP="00E34EC9">
            <w:pPr>
              <w:adjustRightInd w:val="0"/>
              <w:rPr>
                <w:rFonts w:ascii="Times New Roman" w:hAnsi="Times New Roman" w:cs="Times New Roman"/>
                <w:sz w:val="20"/>
                <w:szCs w:val="20"/>
              </w:rPr>
            </w:pPr>
            <w:proofErr w:type="spellStart"/>
            <w:r w:rsidRPr="0071710E">
              <w:rPr>
                <w:rFonts w:ascii="Times New Roman" w:hAnsi="Times New Roman" w:cs="Times New Roman"/>
                <w:bCs/>
                <w:sz w:val="20"/>
                <w:szCs w:val="20"/>
              </w:rPr>
              <w:t>ConcMF</w:t>
            </w:r>
            <w:proofErr w:type="spellEnd"/>
            <w:r w:rsidRPr="0071710E">
              <w:rPr>
                <w:rFonts w:ascii="Times New Roman" w:hAnsi="Times New Roman" w:cs="Times New Roman"/>
                <w:bCs/>
                <w:sz w:val="20"/>
                <w:szCs w:val="20"/>
              </w:rPr>
              <w:t xml:space="preserve"> (N</w:t>
            </w:r>
            <w:r w:rsidR="007A217E">
              <w:rPr>
                <w:rFonts w:ascii="Times New Roman" w:hAnsi="Times New Roman" w:cs="Times New Roman"/>
                <w:bCs/>
                <w:sz w:val="20"/>
                <w:szCs w:val="20"/>
              </w:rPr>
              <w:t>/kg</w:t>
            </w:r>
            <w:r w:rsidRPr="0071710E">
              <w:rPr>
                <w:rFonts w:ascii="Times New Roman" w:hAnsi="Times New Roman" w:cs="Times New Roman"/>
                <w:bCs/>
                <w:sz w:val="20"/>
                <w:szCs w:val="20"/>
              </w:rPr>
              <w:t>)</w:t>
            </w:r>
          </w:p>
        </w:tc>
        <w:tc>
          <w:tcPr>
            <w:tcW w:w="577" w:type="pct"/>
            <w:tcBorders>
              <w:top w:val="single" w:sz="4" w:space="0" w:color="auto"/>
            </w:tcBorders>
            <w:noWrap/>
            <w:vAlign w:val="center"/>
          </w:tcPr>
          <w:p w14:paraId="523BB680" w14:textId="091AFE20"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21.2 ± 2.</w:t>
            </w:r>
            <w:r w:rsidR="00526D0E">
              <w:rPr>
                <w:rFonts w:ascii="Times New Roman" w:hAnsi="Times New Roman" w:cs="Times New Roman"/>
                <w:color w:val="000000"/>
                <w:sz w:val="20"/>
                <w:szCs w:val="20"/>
              </w:rPr>
              <w:t>6</w:t>
            </w:r>
          </w:p>
        </w:tc>
        <w:tc>
          <w:tcPr>
            <w:tcW w:w="625" w:type="pct"/>
            <w:tcBorders>
              <w:top w:val="single" w:sz="4" w:space="0" w:color="auto"/>
            </w:tcBorders>
            <w:noWrap/>
            <w:vAlign w:val="center"/>
          </w:tcPr>
          <w:p w14:paraId="57D52763" w14:textId="20421981"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21.8 ± 3.1</w:t>
            </w:r>
          </w:p>
        </w:tc>
        <w:tc>
          <w:tcPr>
            <w:tcW w:w="577" w:type="pct"/>
            <w:tcBorders>
              <w:top w:val="single" w:sz="4" w:space="0" w:color="auto"/>
            </w:tcBorders>
            <w:noWrap/>
            <w:vAlign w:val="center"/>
          </w:tcPr>
          <w:p w14:paraId="2754E778" w14:textId="04045EB6"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21.</w:t>
            </w:r>
            <w:r w:rsidR="00526D0E">
              <w:rPr>
                <w:rFonts w:ascii="Times New Roman" w:hAnsi="Times New Roman" w:cs="Times New Roman"/>
                <w:color w:val="000000"/>
                <w:sz w:val="20"/>
                <w:szCs w:val="20"/>
              </w:rPr>
              <w:t>4</w:t>
            </w:r>
            <w:r w:rsidRPr="0071710E">
              <w:rPr>
                <w:rFonts w:ascii="Times New Roman" w:hAnsi="Times New Roman" w:cs="Times New Roman"/>
                <w:color w:val="000000"/>
                <w:sz w:val="20"/>
                <w:szCs w:val="20"/>
              </w:rPr>
              <w:t xml:space="preserve"> ± 2.7</w:t>
            </w:r>
          </w:p>
        </w:tc>
        <w:tc>
          <w:tcPr>
            <w:tcW w:w="625" w:type="pct"/>
            <w:tcBorders>
              <w:top w:val="single" w:sz="4" w:space="0" w:color="auto"/>
              <w:right w:val="single" w:sz="4" w:space="0" w:color="auto"/>
            </w:tcBorders>
            <w:vAlign w:val="center"/>
          </w:tcPr>
          <w:p w14:paraId="7F40ACA6" w14:textId="36B2279C" w:rsidR="00E34EC9" w:rsidRPr="0071710E" w:rsidRDefault="00E34EC9" w:rsidP="00E34EC9">
            <w:pPr>
              <w:adjustRightInd w:val="0"/>
              <w:jc w:val="center"/>
              <w:rPr>
                <w:rFonts w:ascii="Times New Roman" w:hAnsi="Times New Roman" w:cs="Times New Roman"/>
                <w:color w:val="000000"/>
                <w:sz w:val="20"/>
                <w:szCs w:val="20"/>
              </w:rPr>
            </w:pPr>
            <w:r w:rsidRPr="0071710E">
              <w:rPr>
                <w:rFonts w:ascii="Times New Roman" w:hAnsi="Times New Roman" w:cs="Times New Roman"/>
                <w:color w:val="000000"/>
                <w:sz w:val="20"/>
                <w:szCs w:val="20"/>
              </w:rPr>
              <w:t>21.4 ± 3.1</w:t>
            </w:r>
          </w:p>
        </w:tc>
        <w:tc>
          <w:tcPr>
            <w:tcW w:w="481" w:type="pct"/>
            <w:tcBorders>
              <w:top w:val="single" w:sz="4" w:space="0" w:color="auto"/>
              <w:left w:val="single" w:sz="4" w:space="0" w:color="auto"/>
            </w:tcBorders>
            <w:noWrap/>
            <w:vAlign w:val="center"/>
          </w:tcPr>
          <w:p w14:paraId="6F2C5623" w14:textId="74992ACB"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0.21</w:t>
            </w:r>
          </w:p>
        </w:tc>
        <w:tc>
          <w:tcPr>
            <w:tcW w:w="481" w:type="pct"/>
            <w:tcBorders>
              <w:top w:val="single" w:sz="4" w:space="0" w:color="auto"/>
            </w:tcBorders>
            <w:noWrap/>
            <w:vAlign w:val="center"/>
          </w:tcPr>
          <w:p w14:paraId="12F1640B" w14:textId="49E92092"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0.02</w:t>
            </w:r>
          </w:p>
        </w:tc>
        <w:tc>
          <w:tcPr>
            <w:tcW w:w="384" w:type="pct"/>
            <w:tcBorders>
              <w:top w:val="single" w:sz="4" w:space="0" w:color="auto"/>
            </w:tcBorders>
            <w:noWrap/>
            <w:vAlign w:val="center"/>
          </w:tcPr>
          <w:p w14:paraId="5197C00E" w14:textId="249C54C7"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0.06</w:t>
            </w:r>
          </w:p>
        </w:tc>
        <w:tc>
          <w:tcPr>
            <w:tcW w:w="433" w:type="pct"/>
            <w:tcBorders>
              <w:top w:val="single" w:sz="4" w:space="0" w:color="auto"/>
            </w:tcBorders>
            <w:vAlign w:val="center"/>
          </w:tcPr>
          <w:p w14:paraId="45AFAC8E" w14:textId="42004F50"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0.13</w:t>
            </w:r>
          </w:p>
        </w:tc>
      </w:tr>
      <w:tr w:rsidR="0025042B" w:rsidRPr="0071710E" w14:paraId="185AB6F3" w14:textId="77777777" w:rsidTr="00B95D02">
        <w:trPr>
          <w:trHeight w:val="444"/>
          <w:jc w:val="center"/>
        </w:trPr>
        <w:tc>
          <w:tcPr>
            <w:tcW w:w="817" w:type="pct"/>
            <w:vAlign w:val="center"/>
            <w:hideMark/>
          </w:tcPr>
          <w:p w14:paraId="4652D940" w14:textId="08F1FE55" w:rsidR="00E34EC9" w:rsidRPr="0071710E" w:rsidRDefault="00E34EC9" w:rsidP="00E34EC9">
            <w:pPr>
              <w:adjustRightInd w:val="0"/>
              <w:rPr>
                <w:rFonts w:ascii="Times New Roman" w:hAnsi="Times New Roman" w:cs="Times New Roman"/>
                <w:sz w:val="20"/>
                <w:szCs w:val="20"/>
              </w:rPr>
            </w:pPr>
            <w:proofErr w:type="spellStart"/>
            <w:r w:rsidRPr="0071710E">
              <w:rPr>
                <w:rFonts w:ascii="Times New Roman" w:hAnsi="Times New Roman" w:cs="Times New Roman"/>
                <w:bCs/>
                <w:sz w:val="20"/>
                <w:szCs w:val="20"/>
              </w:rPr>
              <w:t>ConcMP</w:t>
            </w:r>
            <w:proofErr w:type="spellEnd"/>
            <w:r w:rsidRPr="0071710E">
              <w:rPr>
                <w:rFonts w:ascii="Times New Roman" w:hAnsi="Times New Roman" w:cs="Times New Roman"/>
                <w:bCs/>
                <w:sz w:val="20"/>
                <w:szCs w:val="20"/>
              </w:rPr>
              <w:t xml:space="preserve"> (W</w:t>
            </w:r>
            <w:r w:rsidR="007A217E">
              <w:rPr>
                <w:rFonts w:ascii="Times New Roman" w:hAnsi="Times New Roman" w:cs="Times New Roman"/>
                <w:bCs/>
                <w:sz w:val="20"/>
                <w:szCs w:val="20"/>
              </w:rPr>
              <w:t>/kg</w:t>
            </w:r>
            <w:r w:rsidRPr="0071710E">
              <w:rPr>
                <w:rFonts w:ascii="Times New Roman" w:hAnsi="Times New Roman" w:cs="Times New Roman"/>
                <w:bCs/>
                <w:sz w:val="20"/>
                <w:szCs w:val="20"/>
              </w:rPr>
              <w:t>)</w:t>
            </w:r>
          </w:p>
        </w:tc>
        <w:tc>
          <w:tcPr>
            <w:tcW w:w="577" w:type="pct"/>
            <w:noWrap/>
            <w:vAlign w:val="center"/>
          </w:tcPr>
          <w:p w14:paraId="736540FE" w14:textId="36B0465A"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31.</w:t>
            </w:r>
            <w:r w:rsidR="00526D0E">
              <w:rPr>
                <w:rFonts w:ascii="Times New Roman" w:hAnsi="Times New Roman" w:cs="Times New Roman"/>
                <w:color w:val="000000"/>
                <w:sz w:val="20"/>
                <w:szCs w:val="20"/>
              </w:rPr>
              <w:t>3</w:t>
            </w:r>
            <w:r w:rsidRPr="0071710E">
              <w:rPr>
                <w:rFonts w:ascii="Times New Roman" w:hAnsi="Times New Roman" w:cs="Times New Roman"/>
                <w:color w:val="000000"/>
                <w:sz w:val="20"/>
                <w:szCs w:val="20"/>
              </w:rPr>
              <w:t xml:space="preserve"> ± 5.4</w:t>
            </w:r>
          </w:p>
        </w:tc>
        <w:tc>
          <w:tcPr>
            <w:tcW w:w="625" w:type="pct"/>
            <w:noWrap/>
            <w:vAlign w:val="center"/>
          </w:tcPr>
          <w:p w14:paraId="0E7B3AD3" w14:textId="4CECC6BB"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32.5 ± 7.2</w:t>
            </w:r>
          </w:p>
        </w:tc>
        <w:tc>
          <w:tcPr>
            <w:tcW w:w="577" w:type="pct"/>
            <w:noWrap/>
            <w:vAlign w:val="center"/>
          </w:tcPr>
          <w:p w14:paraId="288C6F85" w14:textId="74D2D8A2"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 xml:space="preserve">31.6 ± </w:t>
            </w:r>
            <w:r w:rsidR="00A253C7">
              <w:rPr>
                <w:rFonts w:ascii="Times New Roman" w:hAnsi="Times New Roman" w:cs="Times New Roman"/>
                <w:color w:val="000000"/>
                <w:sz w:val="20"/>
                <w:szCs w:val="20"/>
              </w:rPr>
              <w:t>6.0</w:t>
            </w:r>
          </w:p>
        </w:tc>
        <w:tc>
          <w:tcPr>
            <w:tcW w:w="625" w:type="pct"/>
            <w:tcBorders>
              <w:right w:val="single" w:sz="4" w:space="0" w:color="auto"/>
            </w:tcBorders>
            <w:vAlign w:val="center"/>
          </w:tcPr>
          <w:p w14:paraId="2E9F0401" w14:textId="63F14739" w:rsidR="00E34EC9" w:rsidRPr="0071710E" w:rsidRDefault="00E34EC9" w:rsidP="00E34EC9">
            <w:pPr>
              <w:adjustRightInd w:val="0"/>
              <w:jc w:val="center"/>
              <w:rPr>
                <w:rFonts w:ascii="Times New Roman" w:hAnsi="Times New Roman" w:cs="Times New Roman"/>
                <w:color w:val="000000"/>
                <w:sz w:val="20"/>
                <w:szCs w:val="20"/>
              </w:rPr>
            </w:pPr>
            <w:r w:rsidRPr="0071710E">
              <w:rPr>
                <w:rFonts w:ascii="Times New Roman" w:hAnsi="Times New Roman" w:cs="Times New Roman"/>
                <w:color w:val="000000"/>
                <w:sz w:val="20"/>
                <w:szCs w:val="20"/>
              </w:rPr>
              <w:t>31.5 ± 7.</w:t>
            </w:r>
            <w:r w:rsidR="00A253C7">
              <w:rPr>
                <w:rFonts w:ascii="Times New Roman" w:hAnsi="Times New Roman" w:cs="Times New Roman"/>
                <w:color w:val="000000"/>
                <w:sz w:val="20"/>
                <w:szCs w:val="20"/>
              </w:rPr>
              <w:t>7</w:t>
            </w:r>
          </w:p>
        </w:tc>
        <w:tc>
          <w:tcPr>
            <w:tcW w:w="481" w:type="pct"/>
            <w:tcBorders>
              <w:left w:val="single" w:sz="4" w:space="0" w:color="auto"/>
            </w:tcBorders>
            <w:noWrap/>
            <w:vAlign w:val="center"/>
          </w:tcPr>
          <w:p w14:paraId="2569672B" w14:textId="330B9FDD"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0.19</w:t>
            </w:r>
          </w:p>
        </w:tc>
        <w:tc>
          <w:tcPr>
            <w:tcW w:w="481" w:type="pct"/>
            <w:noWrap/>
            <w:vAlign w:val="center"/>
          </w:tcPr>
          <w:p w14:paraId="57A79710" w14:textId="6D8BC7F3"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0.01</w:t>
            </w:r>
          </w:p>
        </w:tc>
        <w:tc>
          <w:tcPr>
            <w:tcW w:w="384" w:type="pct"/>
            <w:noWrap/>
            <w:vAlign w:val="center"/>
          </w:tcPr>
          <w:p w14:paraId="535B34BA" w14:textId="1C6D0AF8"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0.06</w:t>
            </w:r>
          </w:p>
        </w:tc>
        <w:tc>
          <w:tcPr>
            <w:tcW w:w="433" w:type="pct"/>
            <w:vAlign w:val="center"/>
          </w:tcPr>
          <w:p w14:paraId="6D029D55" w14:textId="20EF778C"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0.13</w:t>
            </w:r>
          </w:p>
        </w:tc>
      </w:tr>
      <w:tr w:rsidR="0025042B" w:rsidRPr="0071710E" w14:paraId="58B409AF" w14:textId="77777777" w:rsidTr="00B95D02">
        <w:trPr>
          <w:trHeight w:val="444"/>
          <w:jc w:val="center"/>
        </w:trPr>
        <w:tc>
          <w:tcPr>
            <w:tcW w:w="817" w:type="pct"/>
            <w:noWrap/>
            <w:vAlign w:val="center"/>
            <w:hideMark/>
          </w:tcPr>
          <w:p w14:paraId="6B293F7F" w14:textId="150E238A" w:rsidR="00E34EC9" w:rsidRPr="0071710E" w:rsidRDefault="00E34EC9" w:rsidP="00E34EC9">
            <w:pPr>
              <w:adjustRightInd w:val="0"/>
              <w:rPr>
                <w:rFonts w:ascii="Times New Roman" w:hAnsi="Times New Roman" w:cs="Times New Roman"/>
                <w:sz w:val="20"/>
                <w:szCs w:val="20"/>
              </w:rPr>
            </w:pPr>
            <w:proofErr w:type="spellStart"/>
            <w:r w:rsidRPr="0071710E">
              <w:rPr>
                <w:rFonts w:ascii="Times New Roman" w:hAnsi="Times New Roman" w:cs="Times New Roman"/>
                <w:bCs/>
                <w:sz w:val="20"/>
                <w:szCs w:val="20"/>
              </w:rPr>
              <w:t>ConcPF</w:t>
            </w:r>
            <w:proofErr w:type="spellEnd"/>
            <w:r w:rsidRPr="0071710E">
              <w:rPr>
                <w:rFonts w:ascii="Times New Roman" w:hAnsi="Times New Roman" w:cs="Times New Roman"/>
                <w:bCs/>
                <w:sz w:val="20"/>
                <w:szCs w:val="20"/>
              </w:rPr>
              <w:t xml:space="preserve"> (N</w:t>
            </w:r>
            <w:r w:rsidR="007A217E">
              <w:rPr>
                <w:rFonts w:ascii="Times New Roman" w:hAnsi="Times New Roman" w:cs="Times New Roman"/>
                <w:bCs/>
                <w:sz w:val="20"/>
                <w:szCs w:val="20"/>
              </w:rPr>
              <w:t>/kg</w:t>
            </w:r>
            <w:r w:rsidRPr="0071710E">
              <w:rPr>
                <w:rFonts w:ascii="Times New Roman" w:hAnsi="Times New Roman" w:cs="Times New Roman"/>
                <w:bCs/>
                <w:sz w:val="20"/>
                <w:szCs w:val="20"/>
              </w:rPr>
              <w:t>)</w:t>
            </w:r>
          </w:p>
        </w:tc>
        <w:tc>
          <w:tcPr>
            <w:tcW w:w="577" w:type="pct"/>
            <w:noWrap/>
            <w:vAlign w:val="center"/>
          </w:tcPr>
          <w:p w14:paraId="2875E652" w14:textId="6A5A3ACA"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26.</w:t>
            </w:r>
            <w:r w:rsidR="00A253C7">
              <w:rPr>
                <w:rFonts w:ascii="Times New Roman" w:hAnsi="Times New Roman" w:cs="Times New Roman"/>
                <w:color w:val="000000"/>
                <w:sz w:val="20"/>
                <w:szCs w:val="20"/>
              </w:rPr>
              <w:t>1</w:t>
            </w:r>
            <w:r w:rsidRPr="0071710E">
              <w:rPr>
                <w:rFonts w:ascii="Times New Roman" w:hAnsi="Times New Roman" w:cs="Times New Roman"/>
                <w:color w:val="000000"/>
                <w:sz w:val="20"/>
                <w:szCs w:val="20"/>
              </w:rPr>
              <w:t xml:space="preserve"> ± 3.</w:t>
            </w:r>
            <w:r w:rsidR="00A253C7">
              <w:rPr>
                <w:rFonts w:ascii="Times New Roman" w:hAnsi="Times New Roman" w:cs="Times New Roman"/>
                <w:color w:val="000000"/>
                <w:sz w:val="20"/>
                <w:szCs w:val="20"/>
              </w:rPr>
              <w:t>9</w:t>
            </w:r>
          </w:p>
        </w:tc>
        <w:tc>
          <w:tcPr>
            <w:tcW w:w="625" w:type="pct"/>
            <w:noWrap/>
            <w:vAlign w:val="center"/>
          </w:tcPr>
          <w:p w14:paraId="4E11A2F1" w14:textId="45CC4334"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27.4 ± 5.0</w:t>
            </w:r>
          </w:p>
        </w:tc>
        <w:tc>
          <w:tcPr>
            <w:tcW w:w="577" w:type="pct"/>
            <w:noWrap/>
            <w:vAlign w:val="center"/>
          </w:tcPr>
          <w:p w14:paraId="15A4D883" w14:textId="3F298E48"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 xml:space="preserve">26.5 ± </w:t>
            </w:r>
            <w:r w:rsidR="00A253C7">
              <w:rPr>
                <w:rFonts w:ascii="Times New Roman" w:hAnsi="Times New Roman" w:cs="Times New Roman"/>
                <w:color w:val="000000"/>
                <w:sz w:val="20"/>
                <w:szCs w:val="20"/>
              </w:rPr>
              <w:t>4.0</w:t>
            </w:r>
          </w:p>
        </w:tc>
        <w:tc>
          <w:tcPr>
            <w:tcW w:w="625" w:type="pct"/>
            <w:tcBorders>
              <w:right w:val="single" w:sz="4" w:space="0" w:color="auto"/>
            </w:tcBorders>
            <w:vAlign w:val="center"/>
          </w:tcPr>
          <w:p w14:paraId="7012CEB6" w14:textId="38443979" w:rsidR="00E34EC9" w:rsidRPr="0071710E" w:rsidRDefault="00E34EC9" w:rsidP="00E34EC9">
            <w:pPr>
              <w:adjustRightInd w:val="0"/>
              <w:jc w:val="center"/>
              <w:rPr>
                <w:rFonts w:ascii="Times New Roman" w:hAnsi="Times New Roman" w:cs="Times New Roman"/>
                <w:color w:val="000000"/>
                <w:sz w:val="20"/>
                <w:szCs w:val="20"/>
              </w:rPr>
            </w:pPr>
            <w:r w:rsidRPr="0071710E">
              <w:rPr>
                <w:rFonts w:ascii="Times New Roman" w:hAnsi="Times New Roman" w:cs="Times New Roman"/>
                <w:color w:val="000000"/>
                <w:sz w:val="20"/>
                <w:szCs w:val="20"/>
              </w:rPr>
              <w:t>27.2 ± 4.92</w:t>
            </w:r>
          </w:p>
        </w:tc>
        <w:tc>
          <w:tcPr>
            <w:tcW w:w="481" w:type="pct"/>
            <w:tcBorders>
              <w:left w:val="single" w:sz="4" w:space="0" w:color="auto"/>
            </w:tcBorders>
            <w:noWrap/>
            <w:vAlign w:val="center"/>
          </w:tcPr>
          <w:p w14:paraId="1C911401" w14:textId="6000AD56"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0.30</w:t>
            </w:r>
          </w:p>
        </w:tc>
        <w:tc>
          <w:tcPr>
            <w:tcW w:w="481" w:type="pct"/>
            <w:noWrap/>
            <w:vAlign w:val="center"/>
          </w:tcPr>
          <w:p w14:paraId="04B935D2" w14:textId="0F93526A"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0.15</w:t>
            </w:r>
          </w:p>
        </w:tc>
        <w:tc>
          <w:tcPr>
            <w:tcW w:w="384" w:type="pct"/>
            <w:noWrap/>
            <w:vAlign w:val="center"/>
          </w:tcPr>
          <w:p w14:paraId="50526964" w14:textId="1E4A9A2C"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0.12</w:t>
            </w:r>
          </w:p>
        </w:tc>
        <w:tc>
          <w:tcPr>
            <w:tcW w:w="433" w:type="pct"/>
            <w:vAlign w:val="center"/>
          </w:tcPr>
          <w:p w14:paraId="04A212B3" w14:textId="1DC9F447" w:rsidR="00E34EC9" w:rsidRPr="0071710E" w:rsidRDefault="00E34EC9" w:rsidP="00E34EC9">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0.04</w:t>
            </w:r>
          </w:p>
        </w:tc>
      </w:tr>
      <w:tr w:rsidR="0025042B" w:rsidRPr="0071710E" w14:paraId="1CAE863C" w14:textId="77777777" w:rsidTr="00B95D02">
        <w:trPr>
          <w:trHeight w:val="444"/>
          <w:jc w:val="center"/>
        </w:trPr>
        <w:tc>
          <w:tcPr>
            <w:tcW w:w="817" w:type="pct"/>
            <w:noWrap/>
            <w:vAlign w:val="center"/>
            <w:hideMark/>
          </w:tcPr>
          <w:p w14:paraId="347093A5" w14:textId="6FABB4EE" w:rsidR="0078551B" w:rsidRPr="0071710E" w:rsidRDefault="0078551B" w:rsidP="0078551B">
            <w:pPr>
              <w:adjustRightInd w:val="0"/>
              <w:rPr>
                <w:rFonts w:ascii="Times New Roman" w:hAnsi="Times New Roman" w:cs="Times New Roman"/>
                <w:sz w:val="20"/>
                <w:szCs w:val="20"/>
              </w:rPr>
            </w:pPr>
            <w:proofErr w:type="spellStart"/>
            <w:r w:rsidRPr="003E1C9A">
              <w:rPr>
                <w:rFonts w:ascii="Times New Roman" w:hAnsi="Times New Roman" w:cs="Times New Roman"/>
                <w:sz w:val="20"/>
                <w:szCs w:val="20"/>
              </w:rPr>
              <w:t>EccMBF</w:t>
            </w:r>
            <w:proofErr w:type="spellEnd"/>
            <w:r>
              <w:rPr>
                <w:rFonts w:ascii="Times New Roman" w:hAnsi="Times New Roman" w:cs="Times New Roman"/>
                <w:sz w:val="20"/>
                <w:szCs w:val="20"/>
              </w:rPr>
              <w:t xml:space="preserve"> (N/kg)</w:t>
            </w:r>
          </w:p>
        </w:tc>
        <w:tc>
          <w:tcPr>
            <w:tcW w:w="577" w:type="pct"/>
            <w:noWrap/>
            <w:vAlign w:val="center"/>
          </w:tcPr>
          <w:p w14:paraId="5DDCECC4" w14:textId="66E86429"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12.</w:t>
            </w:r>
            <w:r w:rsidR="00A253C7">
              <w:rPr>
                <w:rFonts w:ascii="Times New Roman" w:hAnsi="Times New Roman" w:cs="Times New Roman"/>
                <w:color w:val="000000"/>
                <w:sz w:val="20"/>
                <w:szCs w:val="20"/>
              </w:rPr>
              <w:t>4</w:t>
            </w:r>
            <w:r w:rsidRPr="0071710E">
              <w:rPr>
                <w:rFonts w:ascii="Times New Roman" w:hAnsi="Times New Roman" w:cs="Times New Roman"/>
                <w:color w:val="000000"/>
                <w:sz w:val="20"/>
                <w:szCs w:val="20"/>
              </w:rPr>
              <w:t xml:space="preserve"> ± 0.9</w:t>
            </w:r>
          </w:p>
        </w:tc>
        <w:tc>
          <w:tcPr>
            <w:tcW w:w="625" w:type="pct"/>
            <w:noWrap/>
            <w:vAlign w:val="center"/>
          </w:tcPr>
          <w:p w14:paraId="7F741482" w14:textId="765CC70F"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12.</w:t>
            </w:r>
            <w:r w:rsidR="00A253C7">
              <w:rPr>
                <w:rFonts w:ascii="Times New Roman" w:hAnsi="Times New Roman" w:cs="Times New Roman"/>
                <w:color w:val="000000"/>
                <w:sz w:val="20"/>
                <w:szCs w:val="20"/>
              </w:rPr>
              <w:t>3</w:t>
            </w:r>
            <w:r w:rsidRPr="0071710E">
              <w:rPr>
                <w:rFonts w:ascii="Times New Roman" w:hAnsi="Times New Roman" w:cs="Times New Roman"/>
                <w:color w:val="000000"/>
                <w:sz w:val="20"/>
                <w:szCs w:val="20"/>
              </w:rPr>
              <w:t xml:space="preserve"> ± 0.</w:t>
            </w:r>
            <w:r w:rsidR="00A253C7">
              <w:rPr>
                <w:rFonts w:ascii="Times New Roman" w:hAnsi="Times New Roman" w:cs="Times New Roman"/>
                <w:color w:val="000000"/>
                <w:sz w:val="20"/>
                <w:szCs w:val="20"/>
              </w:rPr>
              <w:t>7</w:t>
            </w:r>
          </w:p>
        </w:tc>
        <w:tc>
          <w:tcPr>
            <w:tcW w:w="577" w:type="pct"/>
            <w:noWrap/>
            <w:vAlign w:val="center"/>
          </w:tcPr>
          <w:p w14:paraId="2343C25A" w14:textId="19AA7BF8"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12.1 ± 0.6</w:t>
            </w:r>
          </w:p>
        </w:tc>
        <w:tc>
          <w:tcPr>
            <w:tcW w:w="625" w:type="pct"/>
            <w:tcBorders>
              <w:right w:val="single" w:sz="4" w:space="0" w:color="auto"/>
            </w:tcBorders>
            <w:vAlign w:val="center"/>
          </w:tcPr>
          <w:p w14:paraId="7983CBBC" w14:textId="3D4FAA1A" w:rsidR="0078551B" w:rsidRPr="0071710E" w:rsidRDefault="0078551B" w:rsidP="0078551B">
            <w:pPr>
              <w:adjustRightInd w:val="0"/>
              <w:jc w:val="center"/>
              <w:rPr>
                <w:rFonts w:ascii="Times New Roman" w:hAnsi="Times New Roman" w:cs="Times New Roman"/>
                <w:color w:val="000000"/>
                <w:sz w:val="20"/>
                <w:szCs w:val="20"/>
              </w:rPr>
            </w:pPr>
            <w:r w:rsidRPr="0071710E">
              <w:rPr>
                <w:rFonts w:ascii="Times New Roman" w:hAnsi="Times New Roman" w:cs="Times New Roman"/>
                <w:color w:val="000000"/>
                <w:sz w:val="20"/>
                <w:szCs w:val="20"/>
              </w:rPr>
              <w:t>12.</w:t>
            </w:r>
            <w:r w:rsidR="00A253C7">
              <w:rPr>
                <w:rFonts w:ascii="Times New Roman" w:hAnsi="Times New Roman" w:cs="Times New Roman"/>
                <w:color w:val="000000"/>
                <w:sz w:val="20"/>
                <w:szCs w:val="20"/>
              </w:rPr>
              <w:t>2</w:t>
            </w:r>
            <w:r w:rsidRPr="0071710E">
              <w:rPr>
                <w:rFonts w:ascii="Times New Roman" w:hAnsi="Times New Roman" w:cs="Times New Roman"/>
                <w:color w:val="000000"/>
                <w:sz w:val="20"/>
                <w:szCs w:val="20"/>
              </w:rPr>
              <w:t xml:space="preserve"> ± 0.7</w:t>
            </w:r>
          </w:p>
        </w:tc>
        <w:tc>
          <w:tcPr>
            <w:tcW w:w="481" w:type="pct"/>
            <w:tcBorders>
              <w:left w:val="single" w:sz="4" w:space="0" w:color="auto"/>
            </w:tcBorders>
            <w:noWrap/>
            <w:vAlign w:val="center"/>
          </w:tcPr>
          <w:p w14:paraId="502BF1B8" w14:textId="467F2D57"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0.08</w:t>
            </w:r>
          </w:p>
        </w:tc>
        <w:tc>
          <w:tcPr>
            <w:tcW w:w="481" w:type="pct"/>
            <w:noWrap/>
            <w:vAlign w:val="center"/>
          </w:tcPr>
          <w:p w14:paraId="40E4F497" w14:textId="21CD6A07"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0.07</w:t>
            </w:r>
          </w:p>
        </w:tc>
        <w:tc>
          <w:tcPr>
            <w:tcW w:w="384" w:type="pct"/>
            <w:noWrap/>
            <w:vAlign w:val="center"/>
          </w:tcPr>
          <w:p w14:paraId="2A88090B" w14:textId="04FC2FF8"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0.28</w:t>
            </w:r>
          </w:p>
        </w:tc>
        <w:tc>
          <w:tcPr>
            <w:tcW w:w="433" w:type="pct"/>
            <w:vAlign w:val="center"/>
          </w:tcPr>
          <w:p w14:paraId="3FCFA9B6" w14:textId="73F3A36E"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0.15</w:t>
            </w:r>
          </w:p>
        </w:tc>
      </w:tr>
      <w:tr w:rsidR="0025042B" w:rsidRPr="0071710E" w14:paraId="7A13EED6" w14:textId="77777777" w:rsidTr="00B95D02">
        <w:trPr>
          <w:trHeight w:val="444"/>
          <w:jc w:val="center"/>
        </w:trPr>
        <w:tc>
          <w:tcPr>
            <w:tcW w:w="817" w:type="pct"/>
            <w:noWrap/>
            <w:vAlign w:val="center"/>
          </w:tcPr>
          <w:p w14:paraId="6E605A7A" w14:textId="1888592E" w:rsidR="0078551B" w:rsidRPr="0071710E" w:rsidRDefault="0078551B" w:rsidP="0078551B">
            <w:pPr>
              <w:adjustRightInd w:val="0"/>
              <w:rPr>
                <w:rFonts w:ascii="Times New Roman" w:hAnsi="Times New Roman" w:cs="Times New Roman"/>
                <w:bCs/>
                <w:sz w:val="20"/>
                <w:szCs w:val="20"/>
              </w:rPr>
            </w:pPr>
            <w:proofErr w:type="spellStart"/>
            <w:r w:rsidRPr="003E1C9A">
              <w:rPr>
                <w:rFonts w:ascii="Times New Roman" w:hAnsi="Times New Roman" w:cs="Times New Roman"/>
                <w:bCs/>
                <w:sz w:val="20"/>
                <w:szCs w:val="20"/>
              </w:rPr>
              <w:t>EccMDecF</w:t>
            </w:r>
            <w:proofErr w:type="spellEnd"/>
            <w:r>
              <w:rPr>
                <w:rFonts w:ascii="Times New Roman" w:hAnsi="Times New Roman" w:cs="Times New Roman"/>
                <w:bCs/>
                <w:sz w:val="20"/>
                <w:szCs w:val="20"/>
              </w:rPr>
              <w:t xml:space="preserve"> (N/kg)</w:t>
            </w:r>
          </w:p>
        </w:tc>
        <w:tc>
          <w:tcPr>
            <w:tcW w:w="577" w:type="pct"/>
            <w:noWrap/>
            <w:vAlign w:val="center"/>
          </w:tcPr>
          <w:p w14:paraId="017BDA62" w14:textId="72BBAE58" w:rsidR="0078551B" w:rsidRPr="0071710E" w:rsidRDefault="00A253C7" w:rsidP="0078551B">
            <w:pPr>
              <w:adjustRightInd w:val="0"/>
              <w:jc w:val="center"/>
              <w:rPr>
                <w:rFonts w:ascii="Times New Roman" w:hAnsi="Times New Roman" w:cs="Times New Roman"/>
                <w:sz w:val="20"/>
                <w:szCs w:val="20"/>
              </w:rPr>
            </w:pPr>
            <w:r>
              <w:rPr>
                <w:rFonts w:ascii="Times New Roman" w:hAnsi="Times New Roman" w:cs="Times New Roman"/>
                <w:color w:val="000000"/>
                <w:sz w:val="20"/>
                <w:szCs w:val="20"/>
              </w:rPr>
              <w:t>18.0</w:t>
            </w:r>
            <w:r w:rsidR="0078551B" w:rsidRPr="0071710E">
              <w:rPr>
                <w:rFonts w:ascii="Times New Roman" w:hAnsi="Times New Roman" w:cs="Times New Roman"/>
                <w:color w:val="000000"/>
                <w:sz w:val="20"/>
                <w:szCs w:val="20"/>
              </w:rPr>
              <w:t xml:space="preserve"> ± 2.</w:t>
            </w:r>
            <w:r>
              <w:rPr>
                <w:rFonts w:ascii="Times New Roman" w:hAnsi="Times New Roman" w:cs="Times New Roman"/>
                <w:color w:val="000000"/>
                <w:sz w:val="20"/>
                <w:szCs w:val="20"/>
              </w:rPr>
              <w:t>1</w:t>
            </w:r>
          </w:p>
        </w:tc>
        <w:tc>
          <w:tcPr>
            <w:tcW w:w="625" w:type="pct"/>
            <w:noWrap/>
            <w:vAlign w:val="center"/>
          </w:tcPr>
          <w:p w14:paraId="07758FFC" w14:textId="03F55D76"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18.</w:t>
            </w:r>
            <w:r w:rsidR="00A253C7">
              <w:rPr>
                <w:rFonts w:ascii="Times New Roman" w:hAnsi="Times New Roman" w:cs="Times New Roman"/>
                <w:color w:val="000000"/>
                <w:sz w:val="20"/>
                <w:szCs w:val="20"/>
              </w:rPr>
              <w:t>3</w:t>
            </w:r>
            <w:r w:rsidRPr="0071710E">
              <w:rPr>
                <w:rFonts w:ascii="Times New Roman" w:hAnsi="Times New Roman" w:cs="Times New Roman"/>
                <w:color w:val="000000"/>
                <w:sz w:val="20"/>
                <w:szCs w:val="20"/>
              </w:rPr>
              <w:t xml:space="preserve"> ± 2.6</w:t>
            </w:r>
          </w:p>
        </w:tc>
        <w:tc>
          <w:tcPr>
            <w:tcW w:w="577" w:type="pct"/>
            <w:noWrap/>
            <w:vAlign w:val="center"/>
          </w:tcPr>
          <w:p w14:paraId="44217ABC" w14:textId="4DCECBA8"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18.1 ± 2.</w:t>
            </w:r>
            <w:r w:rsidR="00A253C7">
              <w:rPr>
                <w:rFonts w:ascii="Times New Roman" w:hAnsi="Times New Roman" w:cs="Times New Roman"/>
                <w:color w:val="000000"/>
                <w:sz w:val="20"/>
                <w:szCs w:val="20"/>
              </w:rPr>
              <w:t>3</w:t>
            </w:r>
          </w:p>
        </w:tc>
        <w:tc>
          <w:tcPr>
            <w:tcW w:w="625" w:type="pct"/>
            <w:tcBorders>
              <w:right w:val="single" w:sz="4" w:space="0" w:color="auto"/>
            </w:tcBorders>
            <w:vAlign w:val="center"/>
          </w:tcPr>
          <w:p w14:paraId="536E4883" w14:textId="198BD066" w:rsidR="0078551B" w:rsidRPr="0071710E" w:rsidRDefault="0078551B" w:rsidP="0078551B">
            <w:pPr>
              <w:adjustRightInd w:val="0"/>
              <w:jc w:val="center"/>
              <w:rPr>
                <w:rFonts w:ascii="Times New Roman" w:hAnsi="Times New Roman" w:cs="Times New Roman"/>
                <w:color w:val="000000"/>
                <w:sz w:val="20"/>
                <w:szCs w:val="20"/>
              </w:rPr>
            </w:pPr>
            <w:r w:rsidRPr="0071710E">
              <w:rPr>
                <w:rFonts w:ascii="Times New Roman" w:hAnsi="Times New Roman" w:cs="Times New Roman"/>
                <w:color w:val="000000"/>
                <w:sz w:val="20"/>
                <w:szCs w:val="20"/>
              </w:rPr>
              <w:t>17.9 ± 2.3</w:t>
            </w:r>
          </w:p>
        </w:tc>
        <w:tc>
          <w:tcPr>
            <w:tcW w:w="481" w:type="pct"/>
            <w:tcBorders>
              <w:left w:val="single" w:sz="4" w:space="0" w:color="auto"/>
            </w:tcBorders>
            <w:noWrap/>
            <w:vAlign w:val="center"/>
          </w:tcPr>
          <w:p w14:paraId="48E0B363" w14:textId="1506A419"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0.14</w:t>
            </w:r>
          </w:p>
        </w:tc>
        <w:tc>
          <w:tcPr>
            <w:tcW w:w="481" w:type="pct"/>
            <w:noWrap/>
            <w:vAlign w:val="center"/>
          </w:tcPr>
          <w:p w14:paraId="6F4EC915" w14:textId="6B782899"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0.09</w:t>
            </w:r>
          </w:p>
        </w:tc>
        <w:tc>
          <w:tcPr>
            <w:tcW w:w="384" w:type="pct"/>
            <w:noWrap/>
            <w:vAlign w:val="center"/>
          </w:tcPr>
          <w:p w14:paraId="3C852EF4" w14:textId="2F0947CD"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0.07</w:t>
            </w:r>
          </w:p>
        </w:tc>
        <w:tc>
          <w:tcPr>
            <w:tcW w:w="433" w:type="pct"/>
            <w:vAlign w:val="center"/>
          </w:tcPr>
          <w:p w14:paraId="5C671816" w14:textId="64D1B7E2"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0.16</w:t>
            </w:r>
          </w:p>
        </w:tc>
      </w:tr>
      <w:tr w:rsidR="0025042B" w:rsidRPr="0071710E" w14:paraId="671D8B5F" w14:textId="77777777" w:rsidTr="00B95D02">
        <w:trPr>
          <w:trHeight w:val="444"/>
          <w:jc w:val="center"/>
        </w:trPr>
        <w:tc>
          <w:tcPr>
            <w:tcW w:w="817" w:type="pct"/>
            <w:vAlign w:val="center"/>
            <w:hideMark/>
          </w:tcPr>
          <w:p w14:paraId="69BE88B1" w14:textId="03606094" w:rsidR="0078551B" w:rsidRPr="0071710E" w:rsidRDefault="0078551B" w:rsidP="0078551B">
            <w:pPr>
              <w:adjustRightInd w:val="0"/>
              <w:rPr>
                <w:rFonts w:ascii="Times New Roman" w:hAnsi="Times New Roman" w:cs="Times New Roman"/>
                <w:sz w:val="20"/>
                <w:szCs w:val="20"/>
              </w:rPr>
            </w:pPr>
            <w:proofErr w:type="spellStart"/>
            <w:r w:rsidRPr="003E1C9A">
              <w:rPr>
                <w:rFonts w:ascii="Times New Roman" w:hAnsi="Times New Roman" w:cs="Times New Roman"/>
                <w:bCs/>
                <w:sz w:val="20"/>
                <w:szCs w:val="20"/>
              </w:rPr>
              <w:t>EccMF</w:t>
            </w:r>
            <w:proofErr w:type="spellEnd"/>
            <w:r>
              <w:rPr>
                <w:rFonts w:ascii="Times New Roman" w:hAnsi="Times New Roman" w:cs="Times New Roman"/>
                <w:bCs/>
                <w:sz w:val="20"/>
                <w:szCs w:val="20"/>
              </w:rPr>
              <w:t xml:space="preserve"> (N/kg)</w:t>
            </w:r>
          </w:p>
        </w:tc>
        <w:tc>
          <w:tcPr>
            <w:tcW w:w="577" w:type="pct"/>
            <w:noWrap/>
            <w:vAlign w:val="center"/>
          </w:tcPr>
          <w:p w14:paraId="4D8EDF5E" w14:textId="1167B7C9"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9.8 ± 0.01</w:t>
            </w:r>
          </w:p>
        </w:tc>
        <w:tc>
          <w:tcPr>
            <w:tcW w:w="625" w:type="pct"/>
            <w:noWrap/>
            <w:vAlign w:val="center"/>
          </w:tcPr>
          <w:p w14:paraId="7D1BF6A8" w14:textId="530265FF"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9.8 ± 0.01</w:t>
            </w:r>
          </w:p>
        </w:tc>
        <w:tc>
          <w:tcPr>
            <w:tcW w:w="577" w:type="pct"/>
            <w:noWrap/>
            <w:vAlign w:val="center"/>
          </w:tcPr>
          <w:p w14:paraId="34D27F3F" w14:textId="1E0FC885"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9.8 ± 0.01</w:t>
            </w:r>
          </w:p>
        </w:tc>
        <w:tc>
          <w:tcPr>
            <w:tcW w:w="625" w:type="pct"/>
            <w:tcBorders>
              <w:right w:val="single" w:sz="4" w:space="0" w:color="auto"/>
            </w:tcBorders>
            <w:vAlign w:val="center"/>
          </w:tcPr>
          <w:p w14:paraId="0A68633D" w14:textId="5E8C6AD5" w:rsidR="0078551B" w:rsidRPr="0071710E" w:rsidRDefault="0078551B" w:rsidP="0078551B">
            <w:pPr>
              <w:adjustRightInd w:val="0"/>
              <w:jc w:val="center"/>
              <w:rPr>
                <w:rFonts w:ascii="Times New Roman" w:hAnsi="Times New Roman" w:cs="Times New Roman"/>
                <w:color w:val="000000"/>
                <w:sz w:val="20"/>
                <w:szCs w:val="20"/>
              </w:rPr>
            </w:pPr>
            <w:r w:rsidRPr="0071710E">
              <w:rPr>
                <w:rFonts w:ascii="Times New Roman" w:hAnsi="Times New Roman" w:cs="Times New Roman"/>
                <w:color w:val="000000"/>
                <w:sz w:val="20"/>
                <w:szCs w:val="20"/>
              </w:rPr>
              <w:t>9.8 ± 0.01</w:t>
            </w:r>
          </w:p>
        </w:tc>
        <w:tc>
          <w:tcPr>
            <w:tcW w:w="481" w:type="pct"/>
            <w:tcBorders>
              <w:left w:val="single" w:sz="4" w:space="0" w:color="auto"/>
            </w:tcBorders>
            <w:noWrap/>
            <w:vAlign w:val="center"/>
          </w:tcPr>
          <w:p w14:paraId="61B3DC59" w14:textId="3AD1FD1E"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0.29</w:t>
            </w:r>
          </w:p>
        </w:tc>
        <w:tc>
          <w:tcPr>
            <w:tcW w:w="481" w:type="pct"/>
            <w:noWrap/>
            <w:vAlign w:val="center"/>
          </w:tcPr>
          <w:p w14:paraId="4C191D38" w14:textId="606946E3"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0.32</w:t>
            </w:r>
          </w:p>
        </w:tc>
        <w:tc>
          <w:tcPr>
            <w:tcW w:w="384" w:type="pct"/>
            <w:noWrap/>
            <w:vAlign w:val="center"/>
          </w:tcPr>
          <w:p w14:paraId="7A82D3D8" w14:textId="0A2700B8"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0.33</w:t>
            </w:r>
          </w:p>
        </w:tc>
        <w:tc>
          <w:tcPr>
            <w:tcW w:w="433" w:type="pct"/>
            <w:vAlign w:val="center"/>
          </w:tcPr>
          <w:p w14:paraId="0805F1E5" w14:textId="5C883BEE"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0.07</w:t>
            </w:r>
          </w:p>
        </w:tc>
      </w:tr>
      <w:tr w:rsidR="0025042B" w:rsidRPr="0071710E" w14:paraId="2548962F" w14:textId="77777777" w:rsidTr="00B95D02">
        <w:trPr>
          <w:trHeight w:val="444"/>
          <w:jc w:val="center"/>
        </w:trPr>
        <w:tc>
          <w:tcPr>
            <w:tcW w:w="817" w:type="pct"/>
            <w:noWrap/>
            <w:vAlign w:val="center"/>
            <w:hideMark/>
          </w:tcPr>
          <w:p w14:paraId="7378A9A7" w14:textId="047D1CE5" w:rsidR="0078551B" w:rsidRPr="0071710E" w:rsidRDefault="0078551B" w:rsidP="0078551B">
            <w:pPr>
              <w:adjustRightInd w:val="0"/>
              <w:rPr>
                <w:rFonts w:ascii="Times New Roman" w:hAnsi="Times New Roman" w:cs="Times New Roman"/>
                <w:sz w:val="20"/>
                <w:szCs w:val="20"/>
              </w:rPr>
            </w:pPr>
            <w:proofErr w:type="spellStart"/>
            <w:r w:rsidRPr="003E1C9A">
              <w:rPr>
                <w:rFonts w:ascii="Times New Roman" w:hAnsi="Times New Roman" w:cs="Times New Roman"/>
                <w:bCs/>
                <w:sz w:val="20"/>
                <w:szCs w:val="20"/>
              </w:rPr>
              <w:t>EccMP</w:t>
            </w:r>
            <w:proofErr w:type="spellEnd"/>
            <w:r>
              <w:rPr>
                <w:rFonts w:ascii="Times New Roman" w:hAnsi="Times New Roman" w:cs="Times New Roman"/>
                <w:bCs/>
                <w:sz w:val="20"/>
                <w:szCs w:val="20"/>
              </w:rPr>
              <w:t xml:space="preserve"> (W/kg)</w:t>
            </w:r>
          </w:p>
        </w:tc>
        <w:tc>
          <w:tcPr>
            <w:tcW w:w="577" w:type="pct"/>
            <w:noWrap/>
            <w:vAlign w:val="center"/>
          </w:tcPr>
          <w:p w14:paraId="77116C51" w14:textId="16B4E6C7" w:rsidR="0078551B" w:rsidRPr="0071710E" w:rsidRDefault="00A253C7" w:rsidP="0078551B">
            <w:pPr>
              <w:adjustRightInd w:val="0"/>
              <w:jc w:val="center"/>
              <w:rPr>
                <w:rFonts w:ascii="Times New Roman" w:hAnsi="Times New Roman" w:cs="Times New Roman"/>
                <w:sz w:val="20"/>
                <w:szCs w:val="20"/>
              </w:rPr>
            </w:pPr>
            <w:r>
              <w:rPr>
                <w:rFonts w:ascii="Times New Roman" w:hAnsi="Times New Roman" w:cs="Times New Roman"/>
                <w:color w:val="000000"/>
                <w:sz w:val="20"/>
                <w:szCs w:val="20"/>
              </w:rPr>
              <w:t>6.0</w:t>
            </w:r>
            <w:r w:rsidR="0078551B" w:rsidRPr="0071710E">
              <w:rPr>
                <w:rFonts w:ascii="Times New Roman" w:hAnsi="Times New Roman" w:cs="Times New Roman"/>
                <w:color w:val="000000"/>
                <w:sz w:val="20"/>
                <w:szCs w:val="20"/>
              </w:rPr>
              <w:t xml:space="preserve"> ± 1.</w:t>
            </w:r>
            <w:r>
              <w:rPr>
                <w:rFonts w:ascii="Times New Roman" w:hAnsi="Times New Roman" w:cs="Times New Roman"/>
                <w:color w:val="000000"/>
                <w:sz w:val="20"/>
                <w:szCs w:val="20"/>
              </w:rPr>
              <w:t>3</w:t>
            </w:r>
          </w:p>
        </w:tc>
        <w:tc>
          <w:tcPr>
            <w:tcW w:w="625" w:type="pct"/>
            <w:noWrap/>
            <w:vAlign w:val="center"/>
          </w:tcPr>
          <w:p w14:paraId="72755AFB" w14:textId="468D0E97"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5.8 ± 1.1</w:t>
            </w:r>
          </w:p>
        </w:tc>
        <w:tc>
          <w:tcPr>
            <w:tcW w:w="577" w:type="pct"/>
            <w:noWrap/>
            <w:vAlign w:val="center"/>
          </w:tcPr>
          <w:p w14:paraId="1B303D41" w14:textId="2C759052"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6.0 ± 1.2</w:t>
            </w:r>
          </w:p>
        </w:tc>
        <w:tc>
          <w:tcPr>
            <w:tcW w:w="625" w:type="pct"/>
            <w:tcBorders>
              <w:right w:val="single" w:sz="4" w:space="0" w:color="auto"/>
            </w:tcBorders>
            <w:vAlign w:val="center"/>
          </w:tcPr>
          <w:p w14:paraId="24AABA03" w14:textId="352E6EFC" w:rsidR="0078551B" w:rsidRPr="0071710E" w:rsidRDefault="0078551B" w:rsidP="0078551B">
            <w:pPr>
              <w:adjustRightInd w:val="0"/>
              <w:jc w:val="center"/>
              <w:rPr>
                <w:rFonts w:ascii="Times New Roman" w:hAnsi="Times New Roman" w:cs="Times New Roman"/>
                <w:color w:val="000000"/>
                <w:sz w:val="20"/>
                <w:szCs w:val="20"/>
              </w:rPr>
            </w:pPr>
            <w:r w:rsidRPr="0071710E">
              <w:rPr>
                <w:rFonts w:ascii="Times New Roman" w:hAnsi="Times New Roman" w:cs="Times New Roman"/>
                <w:color w:val="000000"/>
                <w:sz w:val="20"/>
                <w:szCs w:val="20"/>
              </w:rPr>
              <w:t>5.7 ± 1.2</w:t>
            </w:r>
          </w:p>
        </w:tc>
        <w:tc>
          <w:tcPr>
            <w:tcW w:w="481" w:type="pct"/>
            <w:tcBorders>
              <w:left w:val="single" w:sz="4" w:space="0" w:color="auto"/>
            </w:tcBorders>
            <w:noWrap/>
            <w:vAlign w:val="center"/>
          </w:tcPr>
          <w:p w14:paraId="44AEBEEF" w14:textId="6ABA414A"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0.12</w:t>
            </w:r>
          </w:p>
        </w:tc>
        <w:tc>
          <w:tcPr>
            <w:tcW w:w="481" w:type="pct"/>
            <w:noWrap/>
            <w:vAlign w:val="center"/>
          </w:tcPr>
          <w:p w14:paraId="7EDFB95A" w14:textId="398505F1"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0.26</w:t>
            </w:r>
          </w:p>
        </w:tc>
        <w:tc>
          <w:tcPr>
            <w:tcW w:w="384" w:type="pct"/>
            <w:noWrap/>
            <w:vAlign w:val="center"/>
          </w:tcPr>
          <w:p w14:paraId="67D6AC6D" w14:textId="121457B2"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0.05</w:t>
            </w:r>
          </w:p>
        </w:tc>
        <w:tc>
          <w:tcPr>
            <w:tcW w:w="433" w:type="pct"/>
            <w:vAlign w:val="center"/>
          </w:tcPr>
          <w:p w14:paraId="31A1BFD2" w14:textId="717009B3"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0.10</w:t>
            </w:r>
          </w:p>
        </w:tc>
      </w:tr>
      <w:tr w:rsidR="0025042B" w:rsidRPr="0071710E" w14:paraId="1A127869" w14:textId="77777777" w:rsidTr="00B95D02">
        <w:trPr>
          <w:trHeight w:val="444"/>
          <w:jc w:val="center"/>
        </w:trPr>
        <w:tc>
          <w:tcPr>
            <w:tcW w:w="817" w:type="pct"/>
            <w:vAlign w:val="center"/>
            <w:hideMark/>
          </w:tcPr>
          <w:p w14:paraId="6CB65A12" w14:textId="5850C6CE" w:rsidR="0078551B" w:rsidRPr="0071710E" w:rsidRDefault="0078551B" w:rsidP="0078551B">
            <w:pPr>
              <w:adjustRightInd w:val="0"/>
              <w:rPr>
                <w:rFonts w:ascii="Times New Roman" w:hAnsi="Times New Roman" w:cs="Times New Roman"/>
                <w:sz w:val="20"/>
                <w:szCs w:val="20"/>
              </w:rPr>
            </w:pPr>
            <w:proofErr w:type="spellStart"/>
            <w:r w:rsidRPr="003E1C9A">
              <w:rPr>
                <w:rFonts w:ascii="Times New Roman" w:hAnsi="Times New Roman" w:cs="Times New Roman"/>
                <w:bCs/>
                <w:sz w:val="20"/>
                <w:szCs w:val="20"/>
              </w:rPr>
              <w:t>EccPF</w:t>
            </w:r>
            <w:proofErr w:type="spellEnd"/>
            <w:r>
              <w:rPr>
                <w:rFonts w:ascii="Times New Roman" w:hAnsi="Times New Roman" w:cs="Times New Roman"/>
                <w:bCs/>
                <w:sz w:val="20"/>
                <w:szCs w:val="20"/>
              </w:rPr>
              <w:t xml:space="preserve"> (N/kg)</w:t>
            </w:r>
          </w:p>
        </w:tc>
        <w:tc>
          <w:tcPr>
            <w:tcW w:w="577" w:type="pct"/>
            <w:noWrap/>
            <w:vAlign w:val="center"/>
          </w:tcPr>
          <w:p w14:paraId="2AAA4BF1" w14:textId="17BC8E11"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24.5 ± 3.7</w:t>
            </w:r>
          </w:p>
        </w:tc>
        <w:tc>
          <w:tcPr>
            <w:tcW w:w="625" w:type="pct"/>
            <w:noWrap/>
            <w:vAlign w:val="center"/>
          </w:tcPr>
          <w:p w14:paraId="62302980" w14:textId="049DDC5E"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2</w:t>
            </w:r>
            <w:r w:rsidR="00A253C7">
              <w:rPr>
                <w:rFonts w:ascii="Times New Roman" w:hAnsi="Times New Roman" w:cs="Times New Roman"/>
                <w:color w:val="000000"/>
                <w:sz w:val="20"/>
                <w:szCs w:val="20"/>
              </w:rPr>
              <w:t>5.0</w:t>
            </w:r>
            <w:r w:rsidRPr="0071710E">
              <w:rPr>
                <w:rFonts w:ascii="Times New Roman" w:hAnsi="Times New Roman" w:cs="Times New Roman"/>
                <w:color w:val="000000"/>
                <w:sz w:val="20"/>
                <w:szCs w:val="20"/>
              </w:rPr>
              <w:t xml:space="preserve"> ± 5.5</w:t>
            </w:r>
          </w:p>
        </w:tc>
        <w:tc>
          <w:tcPr>
            <w:tcW w:w="577" w:type="pct"/>
            <w:noWrap/>
            <w:vAlign w:val="center"/>
          </w:tcPr>
          <w:p w14:paraId="6CB5023E" w14:textId="3A8FA9C4"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24.7 ± 4.4</w:t>
            </w:r>
          </w:p>
        </w:tc>
        <w:tc>
          <w:tcPr>
            <w:tcW w:w="625" w:type="pct"/>
            <w:tcBorders>
              <w:right w:val="single" w:sz="4" w:space="0" w:color="auto"/>
            </w:tcBorders>
            <w:vAlign w:val="center"/>
          </w:tcPr>
          <w:p w14:paraId="7723F031" w14:textId="46F3B951" w:rsidR="0078551B" w:rsidRPr="0071710E" w:rsidRDefault="0078551B" w:rsidP="0078551B">
            <w:pPr>
              <w:adjustRightInd w:val="0"/>
              <w:jc w:val="center"/>
              <w:rPr>
                <w:rFonts w:ascii="Times New Roman" w:hAnsi="Times New Roman" w:cs="Times New Roman"/>
                <w:color w:val="000000"/>
                <w:sz w:val="20"/>
                <w:szCs w:val="20"/>
              </w:rPr>
            </w:pPr>
            <w:r w:rsidRPr="0071710E">
              <w:rPr>
                <w:rFonts w:ascii="Times New Roman" w:hAnsi="Times New Roman" w:cs="Times New Roman"/>
                <w:color w:val="000000"/>
                <w:sz w:val="20"/>
                <w:szCs w:val="20"/>
              </w:rPr>
              <w:t>23.6 ± 4.</w:t>
            </w:r>
            <w:r w:rsidR="00D12F4F">
              <w:rPr>
                <w:rFonts w:ascii="Times New Roman" w:hAnsi="Times New Roman" w:cs="Times New Roman"/>
                <w:color w:val="000000"/>
                <w:sz w:val="20"/>
                <w:szCs w:val="20"/>
              </w:rPr>
              <w:t>4</w:t>
            </w:r>
          </w:p>
        </w:tc>
        <w:tc>
          <w:tcPr>
            <w:tcW w:w="481" w:type="pct"/>
            <w:tcBorders>
              <w:left w:val="single" w:sz="4" w:space="0" w:color="auto"/>
            </w:tcBorders>
            <w:noWrap/>
            <w:vAlign w:val="center"/>
          </w:tcPr>
          <w:p w14:paraId="38C288C1" w14:textId="24E83DEB"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0.10</w:t>
            </w:r>
          </w:p>
        </w:tc>
        <w:tc>
          <w:tcPr>
            <w:tcW w:w="481" w:type="pct"/>
            <w:noWrap/>
            <w:vAlign w:val="center"/>
          </w:tcPr>
          <w:p w14:paraId="1A051ED2" w14:textId="3F41C5B1"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0.25</w:t>
            </w:r>
          </w:p>
        </w:tc>
        <w:tc>
          <w:tcPr>
            <w:tcW w:w="384" w:type="pct"/>
            <w:noWrap/>
            <w:vAlign w:val="center"/>
          </w:tcPr>
          <w:p w14:paraId="517C1570" w14:textId="3175016F"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0.05</w:t>
            </w:r>
          </w:p>
        </w:tc>
        <w:tc>
          <w:tcPr>
            <w:tcW w:w="433" w:type="pct"/>
            <w:vAlign w:val="center"/>
          </w:tcPr>
          <w:p w14:paraId="204F378A" w14:textId="72311BF9"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0.27</w:t>
            </w:r>
          </w:p>
        </w:tc>
      </w:tr>
      <w:tr w:rsidR="0025042B" w:rsidRPr="0071710E" w14:paraId="3A63C1FE" w14:textId="77777777" w:rsidTr="00B95D02">
        <w:trPr>
          <w:trHeight w:val="444"/>
          <w:jc w:val="center"/>
        </w:trPr>
        <w:tc>
          <w:tcPr>
            <w:tcW w:w="817" w:type="pct"/>
            <w:noWrap/>
            <w:vAlign w:val="center"/>
            <w:hideMark/>
          </w:tcPr>
          <w:p w14:paraId="51A20E5D" w14:textId="0924A606" w:rsidR="0078551B" w:rsidRPr="0071710E" w:rsidRDefault="0078551B" w:rsidP="0078551B">
            <w:pPr>
              <w:adjustRightInd w:val="0"/>
              <w:rPr>
                <w:rFonts w:ascii="Times New Roman" w:hAnsi="Times New Roman" w:cs="Times New Roman"/>
                <w:sz w:val="20"/>
                <w:szCs w:val="20"/>
              </w:rPr>
            </w:pPr>
            <w:proofErr w:type="spellStart"/>
            <w:r w:rsidRPr="003E1C9A">
              <w:rPr>
                <w:rFonts w:ascii="Times New Roman" w:hAnsi="Times New Roman" w:cs="Times New Roman"/>
                <w:bCs/>
                <w:sz w:val="20"/>
                <w:szCs w:val="20"/>
              </w:rPr>
              <w:t>EccPP</w:t>
            </w:r>
            <w:proofErr w:type="spellEnd"/>
            <w:r>
              <w:rPr>
                <w:rFonts w:ascii="Times New Roman" w:hAnsi="Times New Roman" w:cs="Times New Roman"/>
                <w:bCs/>
                <w:sz w:val="20"/>
                <w:szCs w:val="20"/>
              </w:rPr>
              <w:t xml:space="preserve"> (W/kg)</w:t>
            </w:r>
          </w:p>
        </w:tc>
        <w:tc>
          <w:tcPr>
            <w:tcW w:w="577" w:type="pct"/>
            <w:noWrap/>
            <w:vAlign w:val="center"/>
          </w:tcPr>
          <w:p w14:paraId="510DE4CB" w14:textId="2E90E493"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17.</w:t>
            </w:r>
            <w:r w:rsidR="00A253C7">
              <w:rPr>
                <w:rFonts w:ascii="Times New Roman" w:hAnsi="Times New Roman" w:cs="Times New Roman"/>
                <w:color w:val="000000"/>
                <w:sz w:val="20"/>
                <w:szCs w:val="20"/>
              </w:rPr>
              <w:t>6</w:t>
            </w:r>
            <w:r w:rsidRPr="0071710E">
              <w:rPr>
                <w:rFonts w:ascii="Times New Roman" w:hAnsi="Times New Roman" w:cs="Times New Roman"/>
                <w:color w:val="000000"/>
                <w:sz w:val="20"/>
                <w:szCs w:val="20"/>
              </w:rPr>
              <w:t xml:space="preserve"> ± 4.</w:t>
            </w:r>
            <w:r w:rsidR="00A253C7">
              <w:rPr>
                <w:rFonts w:ascii="Times New Roman" w:hAnsi="Times New Roman" w:cs="Times New Roman"/>
                <w:color w:val="000000"/>
                <w:sz w:val="20"/>
                <w:szCs w:val="20"/>
              </w:rPr>
              <w:t>7</w:t>
            </w:r>
          </w:p>
        </w:tc>
        <w:tc>
          <w:tcPr>
            <w:tcW w:w="625" w:type="pct"/>
            <w:noWrap/>
            <w:vAlign w:val="center"/>
          </w:tcPr>
          <w:p w14:paraId="1D0F25E0" w14:textId="44E9239B"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17.5 ± 4.1</w:t>
            </w:r>
          </w:p>
        </w:tc>
        <w:tc>
          <w:tcPr>
            <w:tcW w:w="577" w:type="pct"/>
            <w:noWrap/>
            <w:vAlign w:val="center"/>
          </w:tcPr>
          <w:p w14:paraId="692CCBF4" w14:textId="3F07C707"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17.8 ± 4.1</w:t>
            </w:r>
          </w:p>
        </w:tc>
        <w:tc>
          <w:tcPr>
            <w:tcW w:w="625" w:type="pct"/>
            <w:tcBorders>
              <w:right w:val="single" w:sz="4" w:space="0" w:color="auto"/>
            </w:tcBorders>
            <w:vAlign w:val="center"/>
          </w:tcPr>
          <w:p w14:paraId="769937B7" w14:textId="553CC5C7" w:rsidR="0078551B" w:rsidRPr="0071710E" w:rsidRDefault="0078551B" w:rsidP="0078551B">
            <w:pPr>
              <w:adjustRightInd w:val="0"/>
              <w:jc w:val="center"/>
              <w:rPr>
                <w:rFonts w:ascii="Times New Roman" w:hAnsi="Times New Roman" w:cs="Times New Roman"/>
                <w:color w:val="000000"/>
                <w:sz w:val="20"/>
                <w:szCs w:val="20"/>
              </w:rPr>
            </w:pPr>
            <w:r w:rsidRPr="0071710E">
              <w:rPr>
                <w:rFonts w:ascii="Times New Roman" w:hAnsi="Times New Roman" w:cs="Times New Roman"/>
                <w:color w:val="000000"/>
                <w:sz w:val="20"/>
                <w:szCs w:val="20"/>
              </w:rPr>
              <w:t>17.2 ± 4.1</w:t>
            </w:r>
          </w:p>
        </w:tc>
        <w:tc>
          <w:tcPr>
            <w:tcW w:w="481" w:type="pct"/>
            <w:tcBorders>
              <w:left w:val="single" w:sz="4" w:space="0" w:color="auto"/>
            </w:tcBorders>
            <w:noWrap/>
            <w:vAlign w:val="center"/>
          </w:tcPr>
          <w:p w14:paraId="6EFB4CC8" w14:textId="53B69EB0"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0.00</w:t>
            </w:r>
          </w:p>
        </w:tc>
        <w:tc>
          <w:tcPr>
            <w:tcW w:w="481" w:type="pct"/>
            <w:noWrap/>
            <w:vAlign w:val="center"/>
          </w:tcPr>
          <w:p w14:paraId="39BD84AD" w14:textId="5949FAA8"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0.14</w:t>
            </w:r>
          </w:p>
        </w:tc>
        <w:tc>
          <w:tcPr>
            <w:tcW w:w="384" w:type="pct"/>
            <w:noWrap/>
            <w:vAlign w:val="center"/>
          </w:tcPr>
          <w:p w14:paraId="3697A99B" w14:textId="70C4DAE2"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0.06</w:t>
            </w:r>
          </w:p>
        </w:tc>
        <w:tc>
          <w:tcPr>
            <w:tcW w:w="433" w:type="pct"/>
            <w:vAlign w:val="center"/>
          </w:tcPr>
          <w:p w14:paraId="73526118" w14:textId="610B1AB6"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0.08</w:t>
            </w:r>
          </w:p>
        </w:tc>
      </w:tr>
      <w:tr w:rsidR="0025042B" w:rsidRPr="0071710E" w14:paraId="43876EE9" w14:textId="77777777" w:rsidTr="00B95D02">
        <w:trPr>
          <w:trHeight w:val="444"/>
          <w:jc w:val="center"/>
        </w:trPr>
        <w:tc>
          <w:tcPr>
            <w:tcW w:w="817" w:type="pct"/>
            <w:vAlign w:val="center"/>
            <w:hideMark/>
          </w:tcPr>
          <w:p w14:paraId="2DC9F96C" w14:textId="513714AF" w:rsidR="0078551B" w:rsidRPr="0071710E" w:rsidRDefault="0078551B" w:rsidP="0078551B">
            <w:pPr>
              <w:adjustRightInd w:val="0"/>
              <w:rPr>
                <w:rFonts w:ascii="Times New Roman" w:hAnsi="Times New Roman" w:cs="Times New Roman"/>
                <w:sz w:val="20"/>
                <w:szCs w:val="20"/>
              </w:rPr>
            </w:pPr>
            <w:r w:rsidRPr="003E1C9A">
              <w:rPr>
                <w:rFonts w:ascii="Times New Roman" w:hAnsi="Times New Roman" w:cs="Times New Roman"/>
                <w:bCs/>
                <w:sz w:val="20"/>
                <w:szCs w:val="20"/>
              </w:rPr>
              <w:t>F@</w:t>
            </w:r>
            <w:r w:rsidR="001C24BD">
              <w:rPr>
                <w:rFonts w:ascii="Times New Roman" w:hAnsi="Times New Roman" w:cs="Times New Roman"/>
                <w:bCs/>
                <w:sz w:val="20"/>
                <w:szCs w:val="20"/>
              </w:rPr>
              <w:t>0</w:t>
            </w:r>
            <w:r w:rsidRPr="003E1C9A">
              <w:rPr>
                <w:rFonts w:ascii="Times New Roman" w:hAnsi="Times New Roman" w:cs="Times New Roman"/>
                <w:bCs/>
                <w:sz w:val="20"/>
                <w:szCs w:val="20"/>
              </w:rPr>
              <w:t>V</w:t>
            </w:r>
            <w:r>
              <w:rPr>
                <w:rFonts w:ascii="Times New Roman" w:hAnsi="Times New Roman" w:cs="Times New Roman"/>
                <w:bCs/>
                <w:sz w:val="20"/>
                <w:szCs w:val="20"/>
              </w:rPr>
              <w:t xml:space="preserve"> (N/kg)</w:t>
            </w:r>
          </w:p>
        </w:tc>
        <w:tc>
          <w:tcPr>
            <w:tcW w:w="577" w:type="pct"/>
            <w:noWrap/>
            <w:vAlign w:val="center"/>
          </w:tcPr>
          <w:p w14:paraId="3872796E" w14:textId="09ED7677"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24.</w:t>
            </w:r>
            <w:r w:rsidR="00A253C7">
              <w:rPr>
                <w:rFonts w:ascii="Times New Roman" w:hAnsi="Times New Roman" w:cs="Times New Roman"/>
                <w:color w:val="000000"/>
                <w:sz w:val="20"/>
                <w:szCs w:val="20"/>
              </w:rPr>
              <w:t>5</w:t>
            </w:r>
            <w:r w:rsidRPr="0071710E">
              <w:rPr>
                <w:rFonts w:ascii="Times New Roman" w:hAnsi="Times New Roman" w:cs="Times New Roman"/>
                <w:color w:val="000000"/>
                <w:sz w:val="20"/>
                <w:szCs w:val="20"/>
              </w:rPr>
              <w:t xml:space="preserve"> ± 3.7</w:t>
            </w:r>
          </w:p>
        </w:tc>
        <w:tc>
          <w:tcPr>
            <w:tcW w:w="625" w:type="pct"/>
            <w:noWrap/>
            <w:vAlign w:val="center"/>
          </w:tcPr>
          <w:p w14:paraId="1AA93898" w14:textId="239A3872"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24.9 ± 5.5</w:t>
            </w:r>
          </w:p>
        </w:tc>
        <w:tc>
          <w:tcPr>
            <w:tcW w:w="577" w:type="pct"/>
            <w:noWrap/>
            <w:vAlign w:val="center"/>
          </w:tcPr>
          <w:p w14:paraId="68ECEB92" w14:textId="4135F966"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24.</w:t>
            </w:r>
            <w:r w:rsidR="00A253C7">
              <w:rPr>
                <w:rFonts w:ascii="Times New Roman" w:hAnsi="Times New Roman" w:cs="Times New Roman"/>
                <w:color w:val="000000"/>
                <w:sz w:val="20"/>
                <w:szCs w:val="20"/>
              </w:rPr>
              <w:t>7</w:t>
            </w:r>
            <w:r w:rsidRPr="0071710E">
              <w:rPr>
                <w:rFonts w:ascii="Times New Roman" w:hAnsi="Times New Roman" w:cs="Times New Roman"/>
                <w:color w:val="000000"/>
                <w:sz w:val="20"/>
                <w:szCs w:val="20"/>
              </w:rPr>
              <w:t xml:space="preserve"> ± 4.</w:t>
            </w:r>
            <w:r w:rsidR="00A253C7">
              <w:rPr>
                <w:rFonts w:ascii="Times New Roman" w:hAnsi="Times New Roman" w:cs="Times New Roman"/>
                <w:color w:val="000000"/>
                <w:sz w:val="20"/>
                <w:szCs w:val="20"/>
              </w:rPr>
              <w:t>5</w:t>
            </w:r>
          </w:p>
        </w:tc>
        <w:tc>
          <w:tcPr>
            <w:tcW w:w="625" w:type="pct"/>
            <w:tcBorders>
              <w:right w:val="single" w:sz="4" w:space="0" w:color="auto"/>
            </w:tcBorders>
            <w:vAlign w:val="center"/>
          </w:tcPr>
          <w:p w14:paraId="64161D66" w14:textId="57A3BC10" w:rsidR="0078551B" w:rsidRPr="0071710E" w:rsidRDefault="0078551B" w:rsidP="0078551B">
            <w:pPr>
              <w:adjustRightInd w:val="0"/>
              <w:jc w:val="center"/>
              <w:rPr>
                <w:rFonts w:ascii="Times New Roman" w:hAnsi="Times New Roman" w:cs="Times New Roman"/>
                <w:color w:val="000000"/>
                <w:sz w:val="20"/>
                <w:szCs w:val="20"/>
              </w:rPr>
            </w:pPr>
            <w:r w:rsidRPr="0071710E">
              <w:rPr>
                <w:rFonts w:ascii="Times New Roman" w:hAnsi="Times New Roman" w:cs="Times New Roman"/>
                <w:color w:val="000000"/>
                <w:sz w:val="20"/>
                <w:szCs w:val="20"/>
              </w:rPr>
              <w:t>23.</w:t>
            </w:r>
            <w:r w:rsidR="00D12F4F">
              <w:rPr>
                <w:rFonts w:ascii="Times New Roman" w:hAnsi="Times New Roman" w:cs="Times New Roman"/>
                <w:color w:val="000000"/>
                <w:sz w:val="20"/>
                <w:szCs w:val="20"/>
              </w:rPr>
              <w:t>6</w:t>
            </w:r>
            <w:r w:rsidRPr="0071710E">
              <w:rPr>
                <w:rFonts w:ascii="Times New Roman" w:hAnsi="Times New Roman" w:cs="Times New Roman"/>
                <w:color w:val="000000"/>
                <w:sz w:val="20"/>
                <w:szCs w:val="20"/>
              </w:rPr>
              <w:t xml:space="preserve"> ± 4.</w:t>
            </w:r>
            <w:r w:rsidR="00D12F4F">
              <w:rPr>
                <w:rFonts w:ascii="Times New Roman" w:hAnsi="Times New Roman" w:cs="Times New Roman"/>
                <w:color w:val="000000"/>
                <w:sz w:val="20"/>
                <w:szCs w:val="20"/>
              </w:rPr>
              <w:t>4</w:t>
            </w:r>
          </w:p>
        </w:tc>
        <w:tc>
          <w:tcPr>
            <w:tcW w:w="481" w:type="pct"/>
            <w:tcBorders>
              <w:left w:val="single" w:sz="4" w:space="0" w:color="auto"/>
            </w:tcBorders>
            <w:noWrap/>
            <w:vAlign w:val="center"/>
          </w:tcPr>
          <w:p w14:paraId="3F72B855" w14:textId="64A53219"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0.10</w:t>
            </w:r>
          </w:p>
        </w:tc>
        <w:tc>
          <w:tcPr>
            <w:tcW w:w="481" w:type="pct"/>
            <w:noWrap/>
            <w:vAlign w:val="center"/>
          </w:tcPr>
          <w:p w14:paraId="2F166C66" w14:textId="6C8ADB0D"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0.24</w:t>
            </w:r>
          </w:p>
        </w:tc>
        <w:tc>
          <w:tcPr>
            <w:tcW w:w="384" w:type="pct"/>
            <w:noWrap/>
            <w:vAlign w:val="center"/>
          </w:tcPr>
          <w:p w14:paraId="0A493E87" w14:textId="18127369"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0.05</w:t>
            </w:r>
          </w:p>
        </w:tc>
        <w:tc>
          <w:tcPr>
            <w:tcW w:w="433" w:type="pct"/>
            <w:vAlign w:val="center"/>
          </w:tcPr>
          <w:p w14:paraId="36F080BC" w14:textId="05059E6A"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0.27</w:t>
            </w:r>
          </w:p>
        </w:tc>
      </w:tr>
      <w:tr w:rsidR="0025042B" w:rsidRPr="0071710E" w14:paraId="4A50D65E" w14:textId="77777777" w:rsidTr="00B95D02">
        <w:trPr>
          <w:trHeight w:val="444"/>
          <w:jc w:val="center"/>
        </w:trPr>
        <w:tc>
          <w:tcPr>
            <w:tcW w:w="817" w:type="pct"/>
            <w:noWrap/>
            <w:vAlign w:val="center"/>
          </w:tcPr>
          <w:p w14:paraId="08F210F3" w14:textId="3528E0F2" w:rsidR="0078551B" w:rsidRPr="0071710E" w:rsidRDefault="0078551B" w:rsidP="0078551B">
            <w:pPr>
              <w:adjustRightInd w:val="0"/>
              <w:rPr>
                <w:rFonts w:ascii="Times New Roman" w:hAnsi="Times New Roman" w:cs="Times New Roman"/>
                <w:bCs/>
                <w:sz w:val="20"/>
                <w:szCs w:val="20"/>
              </w:rPr>
            </w:pPr>
            <w:r w:rsidRPr="003E1C9A">
              <w:rPr>
                <w:rFonts w:ascii="Times New Roman" w:hAnsi="Times New Roman" w:cs="Times New Roman"/>
                <w:bCs/>
                <w:sz w:val="20"/>
                <w:szCs w:val="20"/>
              </w:rPr>
              <w:t>PP</w:t>
            </w:r>
            <w:r>
              <w:rPr>
                <w:rFonts w:ascii="Times New Roman" w:hAnsi="Times New Roman" w:cs="Times New Roman"/>
                <w:bCs/>
                <w:sz w:val="20"/>
                <w:szCs w:val="20"/>
              </w:rPr>
              <w:t xml:space="preserve"> (W/kg)</w:t>
            </w:r>
          </w:p>
        </w:tc>
        <w:tc>
          <w:tcPr>
            <w:tcW w:w="577" w:type="pct"/>
            <w:noWrap/>
            <w:vAlign w:val="center"/>
          </w:tcPr>
          <w:p w14:paraId="4980FBC4" w14:textId="1F590830"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55</w:t>
            </w:r>
            <w:r w:rsidR="00D12F4F">
              <w:rPr>
                <w:rFonts w:ascii="Times New Roman" w:hAnsi="Times New Roman" w:cs="Times New Roman"/>
                <w:color w:val="000000"/>
                <w:sz w:val="20"/>
                <w:szCs w:val="20"/>
              </w:rPr>
              <w:t>.0</w:t>
            </w:r>
            <w:r w:rsidRPr="0071710E">
              <w:rPr>
                <w:rFonts w:ascii="Times New Roman" w:hAnsi="Times New Roman" w:cs="Times New Roman"/>
                <w:color w:val="000000"/>
                <w:sz w:val="20"/>
                <w:szCs w:val="20"/>
              </w:rPr>
              <w:t xml:space="preserve"> ± 8.2</w:t>
            </w:r>
          </w:p>
        </w:tc>
        <w:tc>
          <w:tcPr>
            <w:tcW w:w="625" w:type="pct"/>
            <w:noWrap/>
            <w:vAlign w:val="center"/>
          </w:tcPr>
          <w:p w14:paraId="74475E99" w14:textId="359BE305"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58.1 ± 10.5</w:t>
            </w:r>
          </w:p>
        </w:tc>
        <w:tc>
          <w:tcPr>
            <w:tcW w:w="577" w:type="pct"/>
            <w:noWrap/>
            <w:vAlign w:val="center"/>
          </w:tcPr>
          <w:p w14:paraId="71050FF6" w14:textId="3990EDAB"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55.9 ± 8.</w:t>
            </w:r>
            <w:r w:rsidR="00D12F4F">
              <w:rPr>
                <w:rFonts w:ascii="Times New Roman" w:hAnsi="Times New Roman" w:cs="Times New Roman"/>
                <w:color w:val="000000"/>
                <w:sz w:val="20"/>
                <w:szCs w:val="20"/>
              </w:rPr>
              <w:t>6</w:t>
            </w:r>
          </w:p>
        </w:tc>
        <w:tc>
          <w:tcPr>
            <w:tcW w:w="625" w:type="pct"/>
            <w:tcBorders>
              <w:right w:val="single" w:sz="4" w:space="0" w:color="auto"/>
            </w:tcBorders>
            <w:vAlign w:val="center"/>
          </w:tcPr>
          <w:p w14:paraId="6A423E49" w14:textId="086E2691" w:rsidR="0078551B" w:rsidRPr="0071710E" w:rsidRDefault="0078551B" w:rsidP="0078551B">
            <w:pPr>
              <w:adjustRightInd w:val="0"/>
              <w:jc w:val="center"/>
              <w:rPr>
                <w:rFonts w:ascii="Times New Roman" w:hAnsi="Times New Roman" w:cs="Times New Roman"/>
                <w:color w:val="000000"/>
                <w:sz w:val="20"/>
                <w:szCs w:val="20"/>
              </w:rPr>
            </w:pPr>
            <w:r w:rsidRPr="0071710E">
              <w:rPr>
                <w:rFonts w:ascii="Times New Roman" w:hAnsi="Times New Roman" w:cs="Times New Roman"/>
                <w:color w:val="000000"/>
                <w:sz w:val="20"/>
                <w:szCs w:val="20"/>
              </w:rPr>
              <w:t>57.6 ± 12.</w:t>
            </w:r>
            <w:r w:rsidR="00D12F4F">
              <w:rPr>
                <w:rFonts w:ascii="Times New Roman" w:hAnsi="Times New Roman" w:cs="Times New Roman"/>
                <w:color w:val="000000"/>
                <w:sz w:val="20"/>
                <w:szCs w:val="20"/>
              </w:rPr>
              <w:t>1</w:t>
            </w:r>
          </w:p>
        </w:tc>
        <w:tc>
          <w:tcPr>
            <w:tcW w:w="481" w:type="pct"/>
            <w:tcBorders>
              <w:left w:val="single" w:sz="4" w:space="0" w:color="auto"/>
            </w:tcBorders>
            <w:noWrap/>
            <w:vAlign w:val="center"/>
          </w:tcPr>
          <w:p w14:paraId="0A5C6258" w14:textId="344B1C88"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0.33</w:t>
            </w:r>
          </w:p>
        </w:tc>
        <w:tc>
          <w:tcPr>
            <w:tcW w:w="481" w:type="pct"/>
            <w:noWrap/>
            <w:vAlign w:val="center"/>
          </w:tcPr>
          <w:p w14:paraId="15358C0F" w14:textId="19C9E6C4"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0.16</w:t>
            </w:r>
          </w:p>
        </w:tc>
        <w:tc>
          <w:tcPr>
            <w:tcW w:w="384" w:type="pct"/>
            <w:noWrap/>
            <w:vAlign w:val="center"/>
          </w:tcPr>
          <w:p w14:paraId="424AD6DE" w14:textId="16E23580"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0.11</w:t>
            </w:r>
          </w:p>
        </w:tc>
        <w:tc>
          <w:tcPr>
            <w:tcW w:w="433" w:type="pct"/>
            <w:vAlign w:val="center"/>
          </w:tcPr>
          <w:p w14:paraId="4C21DE0F" w14:textId="2D7C704E" w:rsidR="0078551B" w:rsidRPr="0071710E" w:rsidRDefault="0078551B" w:rsidP="0078551B">
            <w:pPr>
              <w:adjustRightInd w:val="0"/>
              <w:jc w:val="center"/>
              <w:rPr>
                <w:rFonts w:ascii="Times New Roman" w:hAnsi="Times New Roman" w:cs="Times New Roman"/>
                <w:sz w:val="20"/>
                <w:szCs w:val="20"/>
              </w:rPr>
            </w:pPr>
            <w:r w:rsidRPr="0071710E">
              <w:rPr>
                <w:rFonts w:ascii="Times New Roman" w:hAnsi="Times New Roman" w:cs="Times New Roman"/>
                <w:color w:val="000000"/>
                <w:sz w:val="20"/>
                <w:szCs w:val="20"/>
              </w:rPr>
              <w:t>0.04</w:t>
            </w:r>
          </w:p>
        </w:tc>
      </w:tr>
      <w:tr w:rsidR="00F072F2" w:rsidRPr="0071710E" w14:paraId="43976221" w14:textId="77777777" w:rsidTr="00474036">
        <w:trPr>
          <w:trHeight w:val="444"/>
          <w:jc w:val="center"/>
        </w:trPr>
        <w:tc>
          <w:tcPr>
            <w:tcW w:w="5000" w:type="pct"/>
            <w:gridSpan w:val="9"/>
            <w:tcBorders>
              <w:top w:val="single" w:sz="4" w:space="0" w:color="auto"/>
            </w:tcBorders>
            <w:noWrap/>
            <w:vAlign w:val="center"/>
          </w:tcPr>
          <w:p w14:paraId="7CFE51DC" w14:textId="0BE22592" w:rsidR="00F072F2" w:rsidRPr="00F01B19" w:rsidRDefault="00F072F2" w:rsidP="00474036">
            <w:pPr>
              <w:adjustRightInd w:val="0"/>
              <w:rPr>
                <w:rFonts w:ascii="Times New Roman" w:hAnsi="Times New Roman" w:cs="Times New Roman"/>
                <w:sz w:val="18"/>
                <w:szCs w:val="18"/>
                <w:vertAlign w:val="superscript"/>
              </w:rPr>
            </w:pPr>
            <w:r w:rsidRPr="00F01B19">
              <w:rPr>
                <w:rFonts w:ascii="Times New Roman" w:hAnsi="Times New Roman" w:cs="Times New Roman"/>
                <w:sz w:val="18"/>
                <w:szCs w:val="18"/>
              </w:rPr>
              <w:t xml:space="preserve">Data presented as Mean ± Standard Deviation. </w:t>
            </w:r>
            <w:r w:rsidR="00F01B19" w:rsidRPr="00F01B19">
              <w:rPr>
                <w:rFonts w:ascii="Times New Roman" w:hAnsi="Times New Roman" w:cs="Times New Roman"/>
                <w:sz w:val="18"/>
                <w:szCs w:val="18"/>
              </w:rPr>
              <w:t xml:space="preserve">Conc = Concentric; MF = Mean Force; MP = Mean Power; PF = Peak Force; </w:t>
            </w:r>
            <w:proofErr w:type="spellStart"/>
            <w:r w:rsidR="00F01B19" w:rsidRPr="00F01B19">
              <w:rPr>
                <w:rFonts w:ascii="Times New Roman" w:hAnsi="Times New Roman" w:cs="Times New Roman"/>
                <w:sz w:val="18"/>
                <w:szCs w:val="18"/>
              </w:rPr>
              <w:t>Ecc</w:t>
            </w:r>
            <w:proofErr w:type="spellEnd"/>
            <w:r w:rsidR="00F01B19" w:rsidRPr="00F01B19">
              <w:rPr>
                <w:rFonts w:ascii="Times New Roman" w:hAnsi="Times New Roman" w:cs="Times New Roman"/>
                <w:sz w:val="18"/>
                <w:szCs w:val="18"/>
              </w:rPr>
              <w:t xml:space="preserve"> = Eccentric; MBF = Mean Braking Force; </w:t>
            </w:r>
            <w:proofErr w:type="spellStart"/>
            <w:r w:rsidR="00F01B19" w:rsidRPr="00F01B19">
              <w:rPr>
                <w:rFonts w:ascii="Times New Roman" w:hAnsi="Times New Roman" w:cs="Times New Roman"/>
                <w:sz w:val="18"/>
                <w:szCs w:val="18"/>
              </w:rPr>
              <w:t>MDecF</w:t>
            </w:r>
            <w:proofErr w:type="spellEnd"/>
            <w:r w:rsidR="00F01B19" w:rsidRPr="00F01B19">
              <w:rPr>
                <w:rFonts w:ascii="Times New Roman" w:hAnsi="Times New Roman" w:cs="Times New Roman"/>
                <w:sz w:val="18"/>
                <w:szCs w:val="18"/>
              </w:rPr>
              <w:t xml:space="preserve"> = Mean Deceleration Force; PP = Peak Power; F@0V = Force at Zero Velocity; kg = kilograms; m = meters; </w:t>
            </w:r>
            <w:proofErr w:type="spellStart"/>
            <w:r w:rsidR="00F01B19" w:rsidRPr="00F01B19">
              <w:rPr>
                <w:rFonts w:ascii="Times New Roman" w:hAnsi="Times New Roman" w:cs="Times New Roman"/>
                <w:sz w:val="18"/>
                <w:szCs w:val="18"/>
              </w:rPr>
              <w:t>ms</w:t>
            </w:r>
            <w:proofErr w:type="spellEnd"/>
            <w:r w:rsidR="00F01B19" w:rsidRPr="00F01B19">
              <w:rPr>
                <w:rFonts w:ascii="Times New Roman" w:hAnsi="Times New Roman" w:cs="Times New Roman"/>
                <w:sz w:val="18"/>
                <w:szCs w:val="18"/>
              </w:rPr>
              <w:t xml:space="preserve"> = milliseconds; </w:t>
            </w:r>
            <w:r w:rsidR="00F01B19">
              <w:rPr>
                <w:rFonts w:ascii="Times New Roman" w:hAnsi="Times New Roman" w:cs="Times New Roman"/>
                <w:sz w:val="18"/>
                <w:szCs w:val="18"/>
              </w:rPr>
              <w:t xml:space="preserve">N = Newtons; W = Watts; </w:t>
            </w:r>
            <w:r w:rsidRPr="00F01B19">
              <w:rPr>
                <w:rFonts w:ascii="Times New Roman" w:hAnsi="Times New Roman" w:cs="Times New Roman"/>
                <w:sz w:val="18"/>
                <w:szCs w:val="18"/>
              </w:rPr>
              <w:t xml:space="preserve">Pre = Pre-Practice; Post = Post-Practice; </w:t>
            </w:r>
            <w:r w:rsidR="00DF6371" w:rsidRPr="00F01B19">
              <w:rPr>
                <w:rFonts w:ascii="Times New Roman" w:hAnsi="Times New Roman" w:cs="Times New Roman"/>
                <w:bCs/>
                <w:i/>
                <w:sz w:val="18"/>
                <w:szCs w:val="18"/>
                <w:lang w:bidi="en-US"/>
              </w:rPr>
              <w:t xml:space="preserve">d = </w:t>
            </w:r>
            <w:r w:rsidR="00DF6371" w:rsidRPr="00F01B19">
              <w:rPr>
                <w:rFonts w:ascii="Times New Roman" w:hAnsi="Times New Roman" w:cs="Times New Roman"/>
                <w:bCs/>
                <w:sz w:val="18"/>
                <w:szCs w:val="18"/>
                <w:lang w:bidi="en-US"/>
              </w:rPr>
              <w:t xml:space="preserve">Cohen’s </w:t>
            </w:r>
            <w:r w:rsidR="00DF6371" w:rsidRPr="00F01B19">
              <w:rPr>
                <w:rFonts w:ascii="Times New Roman" w:hAnsi="Times New Roman" w:cs="Times New Roman"/>
                <w:bCs/>
                <w:i/>
                <w:sz w:val="18"/>
                <w:szCs w:val="18"/>
                <w:lang w:bidi="en-US"/>
              </w:rPr>
              <w:t>d</w:t>
            </w:r>
            <w:r w:rsidR="00DF6371" w:rsidRPr="00F01B19">
              <w:rPr>
                <w:rFonts w:ascii="Times New Roman" w:hAnsi="Times New Roman" w:cs="Times New Roman"/>
                <w:bCs/>
                <w:sz w:val="18"/>
                <w:szCs w:val="18"/>
                <w:lang w:bidi="en-US"/>
              </w:rPr>
              <w:t xml:space="preserve">, interpreted as </w:t>
            </w:r>
            <w:r w:rsidR="00DF6371" w:rsidRPr="00F01B19">
              <w:rPr>
                <w:rFonts w:ascii="Times New Roman" w:hAnsi="Times New Roman" w:cs="Times New Roman"/>
                <w:sz w:val="18"/>
                <w:szCs w:val="18"/>
                <w:lang w:bidi="en-US"/>
              </w:rPr>
              <w:t>trivial (0–0.19), small (0.20–0.49), medium (0.50–0.79), and large (≥ 0.80).</w:t>
            </w:r>
          </w:p>
        </w:tc>
      </w:tr>
    </w:tbl>
    <w:p w14:paraId="554A457A" w14:textId="77777777" w:rsidR="0000303D" w:rsidRDefault="0000303D" w:rsidP="008D7C02">
      <w:pPr>
        <w:spacing w:line="480" w:lineRule="auto"/>
        <w:rPr>
          <w:rFonts w:ascii="Times New Roman" w:hAnsi="Times New Roman" w:cs="Times New Roman"/>
        </w:rPr>
      </w:pPr>
    </w:p>
    <w:p w14:paraId="739609A1" w14:textId="77777777" w:rsidR="001E75A4" w:rsidRPr="00F571A7" w:rsidRDefault="001E75A4" w:rsidP="00F829B9">
      <w:pPr>
        <w:pStyle w:val="Heading2"/>
      </w:pPr>
      <w:bookmarkStart w:id="78" w:name="_Toc99267644"/>
      <w:r w:rsidRPr="00F571A7">
        <w:t>Endocrine Response Results</w:t>
      </w:r>
      <w:bookmarkEnd w:id="78"/>
    </w:p>
    <w:p w14:paraId="140AE42A" w14:textId="44B2E88F" w:rsidR="0047192F" w:rsidRDefault="001E75A4" w:rsidP="00F829B9">
      <w:pPr>
        <w:spacing w:line="480" w:lineRule="auto"/>
        <w:jc w:val="both"/>
        <w:rPr>
          <w:rFonts w:ascii="Times New Roman" w:hAnsi="Times New Roman" w:cs="Times New Roman"/>
        </w:rPr>
      </w:pPr>
      <w:r>
        <w:rPr>
          <w:rFonts w:ascii="Times New Roman" w:hAnsi="Times New Roman" w:cs="Times New Roman"/>
        </w:rPr>
        <w:tab/>
        <w:t>Samples from 1</w:t>
      </w:r>
      <w:r w:rsidR="00027966">
        <w:rPr>
          <w:rFonts w:ascii="Times New Roman" w:hAnsi="Times New Roman" w:cs="Times New Roman"/>
        </w:rPr>
        <w:t>3</w:t>
      </w:r>
      <w:r>
        <w:rPr>
          <w:rFonts w:ascii="Times New Roman" w:hAnsi="Times New Roman" w:cs="Times New Roman"/>
        </w:rPr>
        <w:t xml:space="preserve"> participants were included in the endocrine analys</w:t>
      </w:r>
      <w:r w:rsidR="00027966">
        <w:rPr>
          <w:rFonts w:ascii="Times New Roman" w:hAnsi="Times New Roman" w:cs="Times New Roman"/>
        </w:rPr>
        <w:t>i</w:t>
      </w:r>
      <w:r>
        <w:rPr>
          <w:rFonts w:ascii="Times New Roman" w:hAnsi="Times New Roman" w:cs="Times New Roman"/>
        </w:rPr>
        <w:t xml:space="preserve">s, as </w:t>
      </w:r>
      <w:r w:rsidR="00027966">
        <w:rPr>
          <w:rFonts w:ascii="Times New Roman" w:hAnsi="Times New Roman" w:cs="Times New Roman"/>
        </w:rPr>
        <w:t xml:space="preserve">two </w:t>
      </w:r>
      <w:r w:rsidR="006B63A6">
        <w:rPr>
          <w:rFonts w:ascii="Times New Roman" w:hAnsi="Times New Roman" w:cs="Times New Roman"/>
        </w:rPr>
        <w:t>participants</w:t>
      </w:r>
      <w:r w:rsidR="00027966">
        <w:rPr>
          <w:rFonts w:ascii="Times New Roman" w:hAnsi="Times New Roman" w:cs="Times New Roman"/>
        </w:rPr>
        <w:t xml:space="preserve"> were excluded due to missing time points. </w:t>
      </w:r>
      <w:r w:rsidR="007210D7">
        <w:rPr>
          <w:rFonts w:ascii="Times New Roman" w:hAnsi="Times New Roman" w:cs="Times New Roman"/>
        </w:rPr>
        <w:t xml:space="preserve">The </w:t>
      </w:r>
      <w:r w:rsidR="008C2AC3">
        <w:rPr>
          <w:rFonts w:ascii="Times New Roman" w:hAnsi="Times New Roman" w:cs="Times New Roman"/>
        </w:rPr>
        <w:t>T</w:t>
      </w:r>
      <w:r w:rsidR="007210D7">
        <w:rPr>
          <w:rFonts w:ascii="Times New Roman" w:hAnsi="Times New Roman" w:cs="Times New Roman"/>
        </w:rPr>
        <w:t>estosterone assay presented an average intra-assay coefficient of variation (CV) of</w:t>
      </w:r>
      <w:r w:rsidR="0035331D">
        <w:rPr>
          <w:rFonts w:ascii="Times New Roman" w:hAnsi="Times New Roman" w:cs="Times New Roman"/>
        </w:rPr>
        <w:t xml:space="preserve"> 4.</w:t>
      </w:r>
      <w:r w:rsidR="00387CD4">
        <w:rPr>
          <w:rFonts w:ascii="Times New Roman" w:hAnsi="Times New Roman" w:cs="Times New Roman"/>
        </w:rPr>
        <w:t>6</w:t>
      </w:r>
      <w:r w:rsidR="0035331D">
        <w:rPr>
          <w:rFonts w:ascii="Times New Roman" w:hAnsi="Times New Roman" w:cs="Times New Roman"/>
        </w:rPr>
        <w:t xml:space="preserve">0% </w:t>
      </w:r>
      <w:r w:rsidR="00B71659">
        <w:rPr>
          <w:rFonts w:ascii="Times New Roman" w:hAnsi="Times New Roman" w:cs="Times New Roman"/>
        </w:rPr>
        <w:t xml:space="preserve">and an average inter-assay CV of </w:t>
      </w:r>
      <w:r w:rsidR="00387CD4">
        <w:rPr>
          <w:rFonts w:ascii="Times New Roman" w:hAnsi="Times New Roman" w:cs="Times New Roman"/>
        </w:rPr>
        <w:t>9.85%</w:t>
      </w:r>
      <w:r w:rsidR="00B71659">
        <w:rPr>
          <w:rFonts w:ascii="Times New Roman" w:hAnsi="Times New Roman" w:cs="Times New Roman"/>
        </w:rPr>
        <w:t xml:space="preserve">, while the </w:t>
      </w:r>
      <w:r w:rsidR="008C2AC3">
        <w:rPr>
          <w:rFonts w:ascii="Times New Roman" w:hAnsi="Times New Roman" w:cs="Times New Roman"/>
        </w:rPr>
        <w:t>C</w:t>
      </w:r>
      <w:r w:rsidR="00B71659">
        <w:rPr>
          <w:rFonts w:ascii="Times New Roman" w:hAnsi="Times New Roman" w:cs="Times New Roman"/>
        </w:rPr>
        <w:t>ortisol assay had an average intra-assay CV of</w:t>
      </w:r>
      <w:r w:rsidR="00EB5161">
        <w:rPr>
          <w:rFonts w:ascii="Times New Roman" w:hAnsi="Times New Roman" w:cs="Times New Roman"/>
        </w:rPr>
        <w:t xml:space="preserve"> </w:t>
      </w:r>
      <w:r w:rsidR="00387CD4">
        <w:rPr>
          <w:rFonts w:ascii="Times New Roman" w:hAnsi="Times New Roman" w:cs="Times New Roman"/>
        </w:rPr>
        <w:t>4</w:t>
      </w:r>
      <w:r w:rsidR="00EB5161">
        <w:rPr>
          <w:rFonts w:ascii="Times New Roman" w:hAnsi="Times New Roman" w:cs="Times New Roman"/>
        </w:rPr>
        <w:t>.</w:t>
      </w:r>
      <w:r w:rsidR="00387CD4">
        <w:rPr>
          <w:rFonts w:ascii="Times New Roman" w:hAnsi="Times New Roman" w:cs="Times New Roman"/>
        </w:rPr>
        <w:t>60</w:t>
      </w:r>
      <w:r w:rsidR="00EB5161">
        <w:rPr>
          <w:rFonts w:ascii="Times New Roman" w:hAnsi="Times New Roman" w:cs="Times New Roman"/>
        </w:rPr>
        <w:t xml:space="preserve">% </w:t>
      </w:r>
      <w:r w:rsidR="00B71659">
        <w:rPr>
          <w:rFonts w:ascii="Times New Roman" w:hAnsi="Times New Roman" w:cs="Times New Roman"/>
        </w:rPr>
        <w:t xml:space="preserve">and average inter-assay CV of </w:t>
      </w:r>
      <w:r w:rsidR="00387CD4">
        <w:rPr>
          <w:rFonts w:ascii="Times New Roman" w:hAnsi="Times New Roman" w:cs="Times New Roman"/>
        </w:rPr>
        <w:t>6.00%</w:t>
      </w:r>
      <w:r w:rsidR="00760E79">
        <w:rPr>
          <w:rFonts w:ascii="Times New Roman" w:hAnsi="Times New Roman" w:cs="Times New Roman"/>
        </w:rPr>
        <w:t xml:space="preserve">. </w:t>
      </w:r>
      <w:r w:rsidR="00B71659">
        <w:rPr>
          <w:rFonts w:ascii="Times New Roman" w:hAnsi="Times New Roman" w:cs="Times New Roman"/>
        </w:rPr>
        <w:t xml:space="preserve">Additionally, all values for </w:t>
      </w:r>
      <w:r w:rsidR="006A251F">
        <w:rPr>
          <w:rFonts w:ascii="Times New Roman" w:hAnsi="Times New Roman" w:cs="Times New Roman"/>
        </w:rPr>
        <w:t>the</w:t>
      </w:r>
      <w:r w:rsidR="000D387D">
        <w:rPr>
          <w:rFonts w:ascii="Times New Roman" w:hAnsi="Times New Roman" w:cs="Times New Roman"/>
        </w:rPr>
        <w:t xml:space="preserve"> </w:t>
      </w:r>
      <w:r w:rsidR="00B71659">
        <w:rPr>
          <w:rFonts w:ascii="Times New Roman" w:hAnsi="Times New Roman" w:cs="Times New Roman"/>
        </w:rPr>
        <w:t>assays exhibited to be within the expected ranges</w:t>
      </w:r>
      <w:r w:rsidR="00F41001">
        <w:rPr>
          <w:rFonts w:ascii="Times New Roman" w:hAnsi="Times New Roman" w:cs="Times New Roman"/>
        </w:rPr>
        <w:t xml:space="preserve"> of </w:t>
      </w:r>
      <w:r w:rsidR="00FF10BD">
        <w:rPr>
          <w:rFonts w:ascii="Times New Roman" w:hAnsi="Times New Roman" w:cs="Times New Roman"/>
        </w:rPr>
        <w:t xml:space="preserve">6.1 – 600 </w:t>
      </w:r>
      <w:proofErr w:type="spellStart"/>
      <w:r w:rsidR="00FF10BD">
        <w:rPr>
          <w:rFonts w:ascii="Times New Roman" w:hAnsi="Times New Roman" w:cs="Times New Roman"/>
        </w:rPr>
        <w:t>pg</w:t>
      </w:r>
      <w:proofErr w:type="spellEnd"/>
      <w:r w:rsidR="00FF10BD">
        <w:rPr>
          <w:rFonts w:ascii="Times New Roman" w:hAnsi="Times New Roman" w:cs="Times New Roman"/>
        </w:rPr>
        <w:t>/mL</w:t>
      </w:r>
      <w:r w:rsidR="00F41001">
        <w:rPr>
          <w:rFonts w:ascii="Times New Roman" w:hAnsi="Times New Roman" w:cs="Times New Roman"/>
        </w:rPr>
        <w:t xml:space="preserve"> for T and </w:t>
      </w:r>
      <w:r w:rsidR="00FF10BD">
        <w:rPr>
          <w:rFonts w:ascii="Times New Roman" w:hAnsi="Times New Roman" w:cs="Times New Roman"/>
        </w:rPr>
        <w:t xml:space="preserve">0.012 – 3.0 </w:t>
      </w:r>
      <w:proofErr w:type="spellStart"/>
      <w:r w:rsidR="00FF10BD">
        <w:rPr>
          <w:rFonts w:ascii="Times New Roman" w:hAnsi="Times New Roman" w:cs="Times New Roman"/>
        </w:rPr>
        <w:t>pg</w:t>
      </w:r>
      <w:proofErr w:type="spellEnd"/>
      <w:r w:rsidR="00FF10BD">
        <w:rPr>
          <w:rFonts w:ascii="Times New Roman" w:hAnsi="Times New Roman" w:cs="Times New Roman"/>
        </w:rPr>
        <w:t>/dL</w:t>
      </w:r>
      <w:r w:rsidR="00F41001">
        <w:rPr>
          <w:rFonts w:ascii="Times New Roman" w:hAnsi="Times New Roman" w:cs="Times New Roman"/>
        </w:rPr>
        <w:t xml:space="preserve"> for C </w:t>
      </w:r>
      <w:r w:rsidR="006A251F">
        <w:rPr>
          <w:rFonts w:ascii="Times New Roman" w:hAnsi="Times New Roman" w:cs="Times New Roman"/>
        </w:rPr>
        <w:t>for young adult males</w:t>
      </w:r>
      <w:r w:rsidR="00B71659">
        <w:rPr>
          <w:rFonts w:ascii="Times New Roman" w:hAnsi="Times New Roman" w:cs="Times New Roman"/>
        </w:rPr>
        <w:t xml:space="preserve">. </w:t>
      </w:r>
    </w:p>
    <w:p w14:paraId="6B650242" w14:textId="77777777" w:rsidR="006A251F" w:rsidRDefault="006A251F" w:rsidP="000D387D">
      <w:pPr>
        <w:spacing w:line="480" w:lineRule="auto"/>
        <w:rPr>
          <w:rStyle w:val="Heading3Char"/>
          <w:rFonts w:ascii="Times New Roman" w:hAnsi="Times New Roman" w:cs="Times New Roman"/>
          <w:b/>
          <w:bCs/>
          <w:i/>
          <w:iCs/>
          <w:color w:val="000000" w:themeColor="text1"/>
        </w:rPr>
      </w:pPr>
    </w:p>
    <w:p w14:paraId="3AF6BD2E" w14:textId="77777777" w:rsidR="006A251F" w:rsidRDefault="006A251F" w:rsidP="000D387D">
      <w:pPr>
        <w:spacing w:line="480" w:lineRule="auto"/>
        <w:rPr>
          <w:rStyle w:val="Heading3Char"/>
          <w:rFonts w:ascii="Times New Roman" w:hAnsi="Times New Roman" w:cs="Times New Roman"/>
          <w:b/>
          <w:bCs/>
          <w:i/>
          <w:iCs/>
          <w:color w:val="000000" w:themeColor="text1"/>
        </w:rPr>
      </w:pPr>
    </w:p>
    <w:p w14:paraId="2715338F" w14:textId="1D149DCF" w:rsidR="0096152B" w:rsidRPr="00F571A7" w:rsidRDefault="0096152B" w:rsidP="000D387D">
      <w:pPr>
        <w:spacing w:line="480" w:lineRule="auto"/>
        <w:rPr>
          <w:iCs/>
        </w:rPr>
      </w:pPr>
      <w:bookmarkStart w:id="79" w:name="_Toc99267645"/>
      <w:r w:rsidRPr="000D387D">
        <w:rPr>
          <w:rStyle w:val="Heading3Char"/>
          <w:rFonts w:ascii="Times New Roman" w:hAnsi="Times New Roman" w:cs="Times New Roman"/>
          <w:b/>
          <w:bCs/>
          <w:i/>
          <w:iCs/>
          <w:color w:val="000000" w:themeColor="text1"/>
        </w:rPr>
        <w:lastRenderedPageBreak/>
        <w:t>Testosterone</w:t>
      </w:r>
      <w:bookmarkEnd w:id="79"/>
      <w:r w:rsidRPr="000D387D">
        <w:rPr>
          <w:rFonts w:ascii="Times New Roman" w:hAnsi="Times New Roman" w:cs="Times New Roman"/>
          <w:b/>
          <w:i/>
          <w:color w:val="000000" w:themeColor="text1"/>
        </w:rPr>
        <w:t>:</w:t>
      </w:r>
    </w:p>
    <w:p w14:paraId="1E2C08B6" w14:textId="34094458" w:rsidR="00491C54" w:rsidRDefault="0096152B" w:rsidP="00F829B9">
      <w:pPr>
        <w:spacing w:line="480" w:lineRule="auto"/>
        <w:jc w:val="both"/>
        <w:rPr>
          <w:rFonts w:ascii="Times New Roman" w:eastAsia="Calibri" w:hAnsi="Times New Roman" w:cs="Times New Roman"/>
        </w:rPr>
      </w:pPr>
      <w:r>
        <w:rPr>
          <w:rFonts w:ascii="Times New Roman" w:hAnsi="Times New Roman" w:cs="Times New Roman"/>
        </w:rPr>
        <w:tab/>
      </w:r>
      <w:r w:rsidR="00A321D3">
        <w:rPr>
          <w:rFonts w:ascii="Times New Roman" w:hAnsi="Times New Roman" w:cs="Times New Roman"/>
        </w:rPr>
        <w:t xml:space="preserve">As </w:t>
      </w:r>
      <w:r w:rsidR="00562B4E">
        <w:rPr>
          <w:rFonts w:ascii="Times New Roman" w:hAnsi="Times New Roman" w:cs="Times New Roman"/>
        </w:rPr>
        <w:t>outlined</w:t>
      </w:r>
      <w:r w:rsidR="00A321D3">
        <w:rPr>
          <w:rFonts w:ascii="Times New Roman" w:hAnsi="Times New Roman" w:cs="Times New Roman"/>
        </w:rPr>
        <w:t xml:space="preserve"> in Table</w:t>
      </w:r>
      <w:r w:rsidR="0089597E">
        <w:rPr>
          <w:rFonts w:ascii="Times New Roman" w:hAnsi="Times New Roman" w:cs="Times New Roman"/>
        </w:rPr>
        <w:t xml:space="preserve"> </w:t>
      </w:r>
      <w:r w:rsidR="00A76876">
        <w:rPr>
          <w:rFonts w:ascii="Times New Roman" w:hAnsi="Times New Roman" w:cs="Times New Roman"/>
        </w:rPr>
        <w:t>5</w:t>
      </w:r>
      <w:r w:rsidR="00562B4E">
        <w:rPr>
          <w:rFonts w:ascii="Times New Roman" w:hAnsi="Times New Roman" w:cs="Times New Roman"/>
        </w:rPr>
        <w:t xml:space="preserve"> and displayed in Figure 10</w:t>
      </w:r>
      <w:r w:rsidR="004009E8">
        <w:rPr>
          <w:rFonts w:ascii="Times New Roman" w:hAnsi="Times New Roman" w:cs="Times New Roman"/>
        </w:rPr>
        <w:t xml:space="preserve">, there were no significant differences </w:t>
      </w:r>
      <w:r w:rsidR="00943BBF">
        <w:rPr>
          <w:rFonts w:ascii="Times New Roman" w:hAnsi="Times New Roman" w:cs="Times New Roman"/>
        </w:rPr>
        <w:t xml:space="preserve">(p = 0.086) </w:t>
      </w:r>
      <w:r w:rsidR="004009E8">
        <w:rPr>
          <w:rFonts w:ascii="Times New Roman" w:hAnsi="Times New Roman" w:cs="Times New Roman"/>
        </w:rPr>
        <w:t>for T in any of the Pre (Week 1 = 145.8 (22.1)</w:t>
      </w:r>
      <w:r w:rsidR="00DC5DBA" w:rsidRP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/mL</w:t>
      </w:r>
      <w:r w:rsidR="004009E8">
        <w:rPr>
          <w:rFonts w:ascii="Times New Roman" w:hAnsi="Times New Roman" w:cs="Times New Roman"/>
        </w:rPr>
        <w:t>; Week 4 = 128.1 (9.0)</w:t>
      </w:r>
      <w:r w:rsidR="00DC5DBA" w:rsidRP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/mL</w:t>
      </w:r>
      <w:r w:rsidR="004009E8">
        <w:rPr>
          <w:rFonts w:ascii="Times New Roman" w:hAnsi="Times New Roman" w:cs="Times New Roman"/>
        </w:rPr>
        <w:t>) values or Baseline Assessment (176.8 (18.4)</w:t>
      </w:r>
      <w:r w:rsidR="00DC5DBA" w:rsidRP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/mL</w:t>
      </w:r>
      <w:r w:rsidR="001F14BB">
        <w:rPr>
          <w:rFonts w:ascii="Times New Roman" w:hAnsi="Times New Roman" w:cs="Times New Roman"/>
        </w:rPr>
        <w:t xml:space="preserve">) values </w:t>
      </w:r>
      <w:r w:rsidR="004009E8">
        <w:rPr>
          <w:rFonts w:ascii="Times New Roman" w:hAnsi="Times New Roman" w:cs="Times New Roman"/>
        </w:rPr>
        <w:t xml:space="preserve">across time. </w:t>
      </w:r>
      <w:r w:rsidR="008F5D8D">
        <w:rPr>
          <w:rFonts w:ascii="Times New Roman" w:hAnsi="Times New Roman" w:cs="Times New Roman"/>
        </w:rPr>
        <w:t xml:space="preserve">There was also no significant Week </w:t>
      </w:r>
      <w:r w:rsidR="008F5D8D" w:rsidRPr="008F5D8D">
        <w:rPr>
          <w:rFonts w:ascii="Times New Roman" w:eastAsia="Calibri" w:hAnsi="Times New Roman" w:cs="Times New Roman"/>
        </w:rPr>
        <w:t>×</w:t>
      </w:r>
      <w:r w:rsidR="008F5D8D">
        <w:rPr>
          <w:rFonts w:ascii="Times New Roman" w:eastAsia="Calibri" w:hAnsi="Times New Roman" w:cs="Times New Roman"/>
        </w:rPr>
        <w:t xml:space="preserve"> Time interaction</w:t>
      </w:r>
      <w:r w:rsidR="00D0009C">
        <w:rPr>
          <w:rFonts w:ascii="Times New Roman" w:eastAsia="Calibri" w:hAnsi="Times New Roman" w:cs="Times New Roman"/>
        </w:rPr>
        <w:t xml:space="preserve"> (p = 0.374), nor significant main effect of Week (p = 0.117)</w:t>
      </w:r>
      <w:r w:rsidR="0028334D">
        <w:rPr>
          <w:rFonts w:ascii="Times New Roman" w:eastAsia="Calibri" w:hAnsi="Times New Roman" w:cs="Times New Roman"/>
        </w:rPr>
        <w:t>.</w:t>
      </w:r>
      <w:r w:rsidR="00D0009C">
        <w:rPr>
          <w:rFonts w:ascii="Times New Roman" w:eastAsia="Calibri" w:hAnsi="Times New Roman" w:cs="Times New Roman"/>
        </w:rPr>
        <w:t xml:space="preserve"> </w:t>
      </w:r>
    </w:p>
    <w:p w14:paraId="6CF13588" w14:textId="7F4C2B3B" w:rsidR="0096152B" w:rsidRDefault="0028334D" w:rsidP="00F829B9">
      <w:pPr>
        <w:spacing w:line="480" w:lineRule="auto"/>
        <w:ind w:firstLine="720"/>
        <w:jc w:val="both"/>
        <w:rPr>
          <w:rFonts w:ascii="Times New Roman" w:hAnsi="Times New Roman" w:cs="Times New Roman"/>
        </w:rPr>
      </w:pPr>
      <w:r>
        <w:rPr>
          <w:rFonts w:ascii="Times New Roman" w:eastAsia="Calibri" w:hAnsi="Times New Roman" w:cs="Times New Roman"/>
        </w:rPr>
        <w:t>H</w:t>
      </w:r>
      <w:r w:rsidR="00D0009C">
        <w:rPr>
          <w:rFonts w:ascii="Times New Roman" w:eastAsia="Calibri" w:hAnsi="Times New Roman" w:cs="Times New Roman"/>
        </w:rPr>
        <w:t>owever, there was a significant Time main effect (p = 0.13)</w:t>
      </w:r>
      <w:r w:rsidR="00415446">
        <w:rPr>
          <w:rFonts w:ascii="Times New Roman" w:hAnsi="Times New Roman" w:cs="Times New Roman"/>
        </w:rPr>
        <w:t xml:space="preserve">. </w:t>
      </w:r>
      <w:r w:rsidR="00415446">
        <w:rPr>
          <w:rFonts w:ascii="Times New Roman" w:eastAsia="Calibri" w:hAnsi="Times New Roman" w:cs="Times New Roman"/>
        </w:rPr>
        <w:t xml:space="preserve">Post hoc pairwise comparisons revealed </w:t>
      </w:r>
      <w:r w:rsidR="009075B8">
        <w:rPr>
          <w:rFonts w:ascii="Times New Roman" w:eastAsia="Calibri" w:hAnsi="Times New Roman" w:cs="Times New Roman"/>
        </w:rPr>
        <w:t xml:space="preserve">a </w:t>
      </w:r>
      <w:r w:rsidR="00415446">
        <w:rPr>
          <w:rFonts w:ascii="Times New Roman" w:eastAsia="Calibri" w:hAnsi="Times New Roman" w:cs="Times New Roman"/>
        </w:rPr>
        <w:t xml:space="preserve">significant </w:t>
      </w:r>
      <w:r w:rsidR="00BA6E09">
        <w:rPr>
          <w:rFonts w:ascii="Times New Roman" w:eastAsia="Calibri" w:hAnsi="Times New Roman" w:cs="Times New Roman"/>
        </w:rPr>
        <w:t>increase</w:t>
      </w:r>
      <w:r w:rsidR="00415446">
        <w:rPr>
          <w:rFonts w:ascii="Times New Roman" w:eastAsia="Calibri" w:hAnsi="Times New Roman" w:cs="Times New Roman"/>
        </w:rPr>
        <w:t xml:space="preserve"> in T between the average of Week 1 and Week 4 Pre (137.0 (14.7)</w:t>
      </w:r>
      <w:r w:rsidR="00DC5DBA" w:rsidRP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/mL</w:t>
      </w:r>
      <w:r w:rsidR="00D047DA">
        <w:rPr>
          <w:rFonts w:ascii="Times New Roman" w:eastAsia="Calibri" w:hAnsi="Times New Roman" w:cs="Times New Roman"/>
        </w:rPr>
        <w:t xml:space="preserve">, </w:t>
      </w:r>
      <w:r w:rsidR="00D047DA">
        <w:rPr>
          <w:rFonts w:ascii="Times New Roman" w:eastAsia="Calibri" w:hAnsi="Times New Roman" w:cs="Times New Roman"/>
          <w:i/>
          <w:iCs/>
        </w:rPr>
        <w:t>d</w:t>
      </w:r>
      <w:r w:rsidR="00D047DA">
        <w:rPr>
          <w:rFonts w:ascii="Times New Roman" w:eastAsia="Calibri" w:hAnsi="Times New Roman" w:cs="Times New Roman"/>
        </w:rPr>
        <w:t xml:space="preserve"> = 0.29</w:t>
      </w:r>
      <w:r w:rsidR="00415446">
        <w:rPr>
          <w:rFonts w:ascii="Times New Roman" w:eastAsia="Calibri" w:hAnsi="Times New Roman" w:cs="Times New Roman"/>
        </w:rPr>
        <w:t>) values and the average of Week 1 and Week 4 Post (197.7 (21.6)</w:t>
      </w:r>
      <w:r w:rsidR="00DC5DBA" w:rsidRP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/mL</w:t>
      </w:r>
      <w:r w:rsidR="00D047DA">
        <w:rPr>
          <w:rFonts w:ascii="Times New Roman" w:eastAsia="Calibri" w:hAnsi="Times New Roman" w:cs="Times New Roman"/>
        </w:rPr>
        <w:t xml:space="preserve">, </w:t>
      </w:r>
      <w:r w:rsidR="00D047DA">
        <w:rPr>
          <w:rFonts w:ascii="Times New Roman" w:eastAsia="Calibri" w:hAnsi="Times New Roman" w:cs="Times New Roman"/>
          <w:i/>
          <w:iCs/>
        </w:rPr>
        <w:t>d</w:t>
      </w:r>
      <w:r w:rsidR="00D047DA">
        <w:rPr>
          <w:rFonts w:ascii="Times New Roman" w:eastAsia="Calibri" w:hAnsi="Times New Roman" w:cs="Times New Roman"/>
        </w:rPr>
        <w:t xml:space="preserve"> = 0.49</w:t>
      </w:r>
      <w:r w:rsidR="00415446">
        <w:rPr>
          <w:rFonts w:ascii="Times New Roman" w:eastAsia="Calibri" w:hAnsi="Times New Roman" w:cs="Times New Roman"/>
        </w:rPr>
        <w:t>) values, displayed in Table 6.</w:t>
      </w:r>
      <w:r w:rsidR="009075B8">
        <w:rPr>
          <w:rFonts w:ascii="Times New Roman" w:eastAsia="Calibri" w:hAnsi="Times New Roman" w:cs="Times New Roman"/>
        </w:rPr>
        <w:t xml:space="preserve"> Individual T responses </w:t>
      </w:r>
      <w:r w:rsidR="004E48FC">
        <w:rPr>
          <w:rFonts w:ascii="Times New Roman" w:eastAsia="Calibri" w:hAnsi="Times New Roman" w:cs="Times New Roman"/>
        </w:rPr>
        <w:t xml:space="preserve">across both weeks </w:t>
      </w:r>
      <w:r w:rsidR="009075B8">
        <w:rPr>
          <w:rFonts w:ascii="Times New Roman" w:eastAsia="Calibri" w:hAnsi="Times New Roman" w:cs="Times New Roman"/>
        </w:rPr>
        <w:t>are displayed in Figure 12</w:t>
      </w:r>
      <w:r w:rsidR="004E48FC">
        <w:rPr>
          <w:rFonts w:ascii="Times New Roman" w:eastAsia="Calibri" w:hAnsi="Times New Roman" w:cs="Times New Roman"/>
        </w:rPr>
        <w:t>.</w:t>
      </w:r>
    </w:p>
    <w:p w14:paraId="04C399D9" w14:textId="3528D7C9" w:rsidR="00FF426D" w:rsidRDefault="00FF426D" w:rsidP="00F829B9">
      <w:pPr>
        <w:spacing w:line="480" w:lineRule="auto"/>
        <w:jc w:val="both"/>
        <w:rPr>
          <w:rFonts w:ascii="Times New Roman" w:hAnsi="Times New Roman" w:cs="Times New Roman"/>
        </w:rPr>
      </w:pPr>
      <w:r>
        <w:rPr>
          <w:rFonts w:ascii="Times New Roman" w:hAnsi="Times New Roman" w:cs="Times New Roman"/>
        </w:rPr>
        <w:tab/>
        <w:t xml:space="preserve">Descriptive statistics for the absolute change in T are outlined in Table </w:t>
      </w:r>
      <w:r w:rsidR="00A76876">
        <w:rPr>
          <w:rFonts w:ascii="Times New Roman" w:hAnsi="Times New Roman" w:cs="Times New Roman"/>
        </w:rPr>
        <w:t>7</w:t>
      </w:r>
      <w:r>
        <w:rPr>
          <w:rFonts w:ascii="Times New Roman" w:hAnsi="Times New Roman" w:cs="Times New Roman"/>
        </w:rPr>
        <w:t xml:space="preserve">. </w:t>
      </w:r>
      <w:r w:rsidR="00D6407C">
        <w:rPr>
          <w:rFonts w:ascii="Times New Roman" w:hAnsi="Times New Roman" w:cs="Times New Roman"/>
        </w:rPr>
        <w:t xml:space="preserve">There was no significant difference (p = 0.374) in the absolute change </w:t>
      </w:r>
      <w:r w:rsidR="00790C15">
        <w:rPr>
          <w:rFonts w:ascii="Times New Roman" w:hAnsi="Times New Roman" w:cs="Times New Roman"/>
        </w:rPr>
        <w:t xml:space="preserve">in concentration </w:t>
      </w:r>
      <w:r w:rsidR="00D6407C">
        <w:rPr>
          <w:rFonts w:ascii="Times New Roman" w:hAnsi="Times New Roman" w:cs="Times New Roman"/>
        </w:rPr>
        <w:t>from Pre to Post in Week 1 (</w:t>
      </w:r>
      <w:r w:rsidR="00D6407C" w:rsidRPr="00D6407C">
        <w:rPr>
          <w:rFonts w:ascii="Times New Roman" w:hAnsi="Times New Roman" w:cs="Times New Roman"/>
        </w:rPr>
        <w:t>75.7 ± 124.7</w:t>
      </w:r>
      <w:r w:rsidR="00DC5DBA" w:rsidRP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/mL</w:t>
      </w:r>
      <w:r w:rsidR="00D6407C">
        <w:rPr>
          <w:rFonts w:ascii="Times New Roman" w:hAnsi="Times New Roman" w:cs="Times New Roman"/>
        </w:rPr>
        <w:t>) in comparison to the changes depicted from Pre to Post in Week 4 (</w:t>
      </w:r>
      <w:r w:rsidR="00D6407C" w:rsidRPr="00D6407C">
        <w:rPr>
          <w:rFonts w:ascii="Times New Roman" w:hAnsi="Times New Roman" w:cs="Times New Roman"/>
        </w:rPr>
        <w:t>45.8 ± 52.3</w:t>
      </w:r>
      <w:r w:rsidR="00DC5DBA" w:rsidRP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/mL</w:t>
      </w:r>
      <w:r w:rsidR="00D6407C">
        <w:rPr>
          <w:rFonts w:ascii="Times New Roman" w:hAnsi="Times New Roman" w:cs="Times New Roman"/>
        </w:rPr>
        <w:t>).</w:t>
      </w:r>
    </w:p>
    <w:p w14:paraId="027C1CBE" w14:textId="69F9450D" w:rsidR="00C07C1A" w:rsidRDefault="00FF426D" w:rsidP="00F829B9">
      <w:pPr>
        <w:spacing w:line="480" w:lineRule="auto"/>
        <w:jc w:val="both"/>
        <w:rPr>
          <w:rFonts w:ascii="Times New Roman" w:hAnsi="Times New Roman" w:cs="Times New Roman"/>
        </w:rPr>
      </w:pPr>
      <w:r>
        <w:rPr>
          <w:rFonts w:ascii="Times New Roman" w:hAnsi="Times New Roman" w:cs="Times New Roman"/>
        </w:rPr>
        <w:tab/>
        <w:t xml:space="preserve">Descriptive statistics for the percent change in T are outlined in Table </w:t>
      </w:r>
      <w:r w:rsidR="00A76876">
        <w:rPr>
          <w:rFonts w:ascii="Times New Roman" w:hAnsi="Times New Roman" w:cs="Times New Roman"/>
        </w:rPr>
        <w:t>8</w:t>
      </w:r>
      <w:r>
        <w:rPr>
          <w:rFonts w:ascii="Times New Roman" w:hAnsi="Times New Roman" w:cs="Times New Roman"/>
        </w:rPr>
        <w:t>. When examining the percent change, there w</w:t>
      </w:r>
      <w:r w:rsidR="002D4B99">
        <w:rPr>
          <w:rFonts w:ascii="Times New Roman" w:hAnsi="Times New Roman" w:cs="Times New Roman"/>
        </w:rPr>
        <w:t xml:space="preserve">ere no significant </w:t>
      </w:r>
      <w:r w:rsidR="0092526E">
        <w:rPr>
          <w:rFonts w:ascii="Times New Roman" w:hAnsi="Times New Roman" w:cs="Times New Roman"/>
        </w:rPr>
        <w:t xml:space="preserve">(p = 0.350) </w:t>
      </w:r>
      <w:r w:rsidR="002D4B99">
        <w:rPr>
          <w:rFonts w:ascii="Times New Roman" w:hAnsi="Times New Roman" w:cs="Times New Roman"/>
        </w:rPr>
        <w:t>differences from Pre</w:t>
      </w:r>
      <w:r w:rsidR="0092526E">
        <w:rPr>
          <w:rFonts w:ascii="Times New Roman" w:hAnsi="Times New Roman" w:cs="Times New Roman"/>
        </w:rPr>
        <w:t xml:space="preserve"> </w:t>
      </w:r>
      <w:r w:rsidR="002D4B99">
        <w:rPr>
          <w:rFonts w:ascii="Times New Roman" w:hAnsi="Times New Roman" w:cs="Times New Roman"/>
        </w:rPr>
        <w:t>to Post in Week 1</w:t>
      </w:r>
      <w:r w:rsidR="0092526E">
        <w:rPr>
          <w:rFonts w:ascii="Times New Roman" w:hAnsi="Times New Roman" w:cs="Times New Roman"/>
        </w:rPr>
        <w:t xml:space="preserve"> (</w:t>
      </w:r>
      <w:r w:rsidR="0092526E" w:rsidRPr="0092526E">
        <w:rPr>
          <w:rFonts w:ascii="Times New Roman" w:hAnsi="Times New Roman" w:cs="Times New Roman"/>
        </w:rPr>
        <w:t>65.2 ± 104.0</w:t>
      </w:r>
      <w:r w:rsidR="00DC5DBA" w:rsidRP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/mL</w:t>
      </w:r>
      <w:r w:rsidR="0092526E">
        <w:rPr>
          <w:rFonts w:ascii="Times New Roman" w:hAnsi="Times New Roman" w:cs="Times New Roman"/>
        </w:rPr>
        <w:t>)</w:t>
      </w:r>
      <w:r w:rsidR="002D4B99">
        <w:rPr>
          <w:rFonts w:ascii="Times New Roman" w:hAnsi="Times New Roman" w:cs="Times New Roman"/>
        </w:rPr>
        <w:t xml:space="preserve"> compared to changes observed from Pre to Post in Week 4</w:t>
      </w:r>
      <w:r w:rsidR="0092526E">
        <w:rPr>
          <w:rFonts w:ascii="Times New Roman" w:hAnsi="Times New Roman" w:cs="Times New Roman"/>
        </w:rPr>
        <w:t xml:space="preserve"> (</w:t>
      </w:r>
      <w:r w:rsidR="0092526E" w:rsidRPr="0092526E">
        <w:rPr>
          <w:rFonts w:ascii="Times New Roman" w:hAnsi="Times New Roman" w:cs="Times New Roman"/>
        </w:rPr>
        <w:t>37.9 ± 39.7</w:t>
      </w:r>
      <w:r w:rsidR="00DC5DBA" w:rsidRP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/mL</w:t>
      </w:r>
      <w:r w:rsidR="0092526E">
        <w:rPr>
          <w:rFonts w:ascii="Times New Roman" w:hAnsi="Times New Roman" w:cs="Times New Roman"/>
        </w:rPr>
        <w:t>)</w:t>
      </w:r>
      <w:r w:rsidR="002D4B99">
        <w:rPr>
          <w:rFonts w:ascii="Times New Roman" w:hAnsi="Times New Roman" w:cs="Times New Roman"/>
        </w:rPr>
        <w:t xml:space="preserve">. </w:t>
      </w:r>
    </w:p>
    <w:p w14:paraId="7C98EBE0" w14:textId="77777777" w:rsidR="0096152B" w:rsidRPr="00F571A7" w:rsidRDefault="0096152B" w:rsidP="000D387D">
      <w:pPr>
        <w:spacing w:line="480" w:lineRule="auto"/>
        <w:rPr>
          <w:iCs/>
        </w:rPr>
      </w:pPr>
      <w:bookmarkStart w:id="80" w:name="_Toc99267646"/>
      <w:r w:rsidRPr="000D387D">
        <w:rPr>
          <w:rStyle w:val="Heading3Char"/>
          <w:rFonts w:ascii="Times New Roman" w:hAnsi="Times New Roman" w:cs="Times New Roman"/>
          <w:b/>
          <w:bCs/>
          <w:i/>
          <w:iCs/>
          <w:color w:val="000000" w:themeColor="text1"/>
        </w:rPr>
        <w:t>Cortisol</w:t>
      </w:r>
      <w:bookmarkEnd w:id="80"/>
      <w:r w:rsidRPr="000D387D">
        <w:rPr>
          <w:rFonts w:ascii="Times New Roman" w:hAnsi="Times New Roman" w:cs="Times New Roman"/>
          <w:b/>
          <w:i/>
          <w:color w:val="000000" w:themeColor="text1"/>
        </w:rPr>
        <w:t>:</w:t>
      </w:r>
    </w:p>
    <w:p w14:paraId="6227343A" w14:textId="54CC7E40" w:rsidR="007067AD" w:rsidRDefault="0096152B" w:rsidP="00F829B9">
      <w:pPr>
        <w:spacing w:line="480" w:lineRule="auto"/>
        <w:jc w:val="both"/>
        <w:rPr>
          <w:rFonts w:ascii="Times New Roman" w:hAnsi="Times New Roman" w:cs="Times New Roman"/>
        </w:rPr>
      </w:pPr>
      <w:r>
        <w:rPr>
          <w:rFonts w:ascii="Times New Roman" w:hAnsi="Times New Roman" w:cs="Times New Roman"/>
        </w:rPr>
        <w:tab/>
      </w:r>
      <w:r w:rsidR="006F77C9">
        <w:rPr>
          <w:rFonts w:ascii="Times New Roman" w:hAnsi="Times New Roman" w:cs="Times New Roman"/>
        </w:rPr>
        <w:t>As presented in Table</w:t>
      </w:r>
      <w:r w:rsidR="00606FB1">
        <w:rPr>
          <w:rFonts w:ascii="Times New Roman" w:hAnsi="Times New Roman" w:cs="Times New Roman"/>
        </w:rPr>
        <w:t xml:space="preserve"> </w:t>
      </w:r>
      <w:r w:rsidR="00A76876">
        <w:rPr>
          <w:rFonts w:ascii="Times New Roman" w:hAnsi="Times New Roman" w:cs="Times New Roman"/>
        </w:rPr>
        <w:t>5</w:t>
      </w:r>
      <w:r w:rsidR="00D6075E">
        <w:rPr>
          <w:rFonts w:ascii="Times New Roman" w:hAnsi="Times New Roman" w:cs="Times New Roman"/>
        </w:rPr>
        <w:t xml:space="preserve"> and exhibited in Figure 10</w:t>
      </w:r>
      <w:r w:rsidR="001F14BB">
        <w:rPr>
          <w:rFonts w:ascii="Times New Roman" w:hAnsi="Times New Roman" w:cs="Times New Roman"/>
        </w:rPr>
        <w:t xml:space="preserve">, there were no significant differences for C (p = 0.282) in any of the Pre </w:t>
      </w:r>
      <w:r w:rsidR="00764FE1">
        <w:rPr>
          <w:rFonts w:ascii="Times New Roman" w:hAnsi="Times New Roman" w:cs="Times New Roman"/>
        </w:rPr>
        <w:t>(Week 1 = 0.146 (0.017)</w:t>
      </w:r>
      <w:r w:rsid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/dL</w:t>
      </w:r>
      <w:r w:rsidR="00764FE1">
        <w:rPr>
          <w:rFonts w:ascii="Times New Roman" w:hAnsi="Times New Roman" w:cs="Times New Roman"/>
        </w:rPr>
        <w:t>; Week 4 = 0.188 (0.032)</w:t>
      </w:r>
      <w:r w:rsid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/dL</w:t>
      </w:r>
      <w:r w:rsidR="00764FE1">
        <w:rPr>
          <w:rFonts w:ascii="Times New Roman" w:hAnsi="Times New Roman" w:cs="Times New Roman"/>
        </w:rPr>
        <w:t xml:space="preserve">) </w:t>
      </w:r>
      <w:r w:rsidR="001F14BB">
        <w:rPr>
          <w:rFonts w:ascii="Times New Roman" w:hAnsi="Times New Roman" w:cs="Times New Roman"/>
        </w:rPr>
        <w:t xml:space="preserve">values or Baseline Assessment </w:t>
      </w:r>
      <w:r w:rsidR="00764FE1">
        <w:rPr>
          <w:rFonts w:ascii="Times New Roman" w:hAnsi="Times New Roman" w:cs="Times New Roman"/>
        </w:rPr>
        <w:t>(0.214 (0.033)</w:t>
      </w:r>
      <w:r w:rsid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/dL</w:t>
      </w:r>
      <w:r w:rsidR="00764FE1">
        <w:rPr>
          <w:rFonts w:ascii="Times New Roman" w:hAnsi="Times New Roman" w:cs="Times New Roman"/>
        </w:rPr>
        <w:t xml:space="preserve">) </w:t>
      </w:r>
      <w:r w:rsidR="001F14BB">
        <w:rPr>
          <w:rFonts w:ascii="Times New Roman" w:hAnsi="Times New Roman" w:cs="Times New Roman"/>
        </w:rPr>
        <w:t>values across time.</w:t>
      </w:r>
      <w:r w:rsidR="00022560" w:rsidRPr="00022560">
        <w:rPr>
          <w:rFonts w:ascii="Times New Roman" w:hAnsi="Times New Roman" w:cs="Times New Roman"/>
        </w:rPr>
        <w:t xml:space="preserve"> </w:t>
      </w:r>
      <w:r w:rsidR="00022560">
        <w:rPr>
          <w:rFonts w:ascii="Times New Roman" w:hAnsi="Times New Roman" w:cs="Times New Roman"/>
        </w:rPr>
        <w:t>There was also no significant main effect of Week (p = 0.276).</w:t>
      </w:r>
      <w:r w:rsidR="007067AD">
        <w:rPr>
          <w:rFonts w:ascii="Times New Roman" w:hAnsi="Times New Roman" w:cs="Times New Roman"/>
        </w:rPr>
        <w:t xml:space="preserve"> </w:t>
      </w:r>
    </w:p>
    <w:p w14:paraId="643BC761" w14:textId="2E7E6303" w:rsidR="007067AD" w:rsidRDefault="00022560" w:rsidP="00F829B9">
      <w:pPr>
        <w:spacing w:line="480" w:lineRule="auto"/>
        <w:ind w:firstLine="720"/>
        <w:jc w:val="both"/>
        <w:rPr>
          <w:rFonts w:ascii="Times New Roman" w:hAnsi="Times New Roman" w:cs="Times New Roman"/>
        </w:rPr>
      </w:pPr>
      <w:r>
        <w:rPr>
          <w:rFonts w:ascii="Times New Roman" w:hAnsi="Times New Roman" w:cs="Times New Roman"/>
        </w:rPr>
        <w:lastRenderedPageBreak/>
        <w:t xml:space="preserve">However, there was a </w:t>
      </w:r>
      <w:r>
        <w:rPr>
          <w:rFonts w:ascii="Times New Roman" w:eastAsia="Calibri" w:hAnsi="Times New Roman" w:cs="Times New Roman"/>
        </w:rPr>
        <w:t>significant main effect of Time (p = 0.021)</w:t>
      </w:r>
      <w:r w:rsidR="00316F04">
        <w:rPr>
          <w:rFonts w:ascii="Times New Roman" w:eastAsia="Calibri" w:hAnsi="Times New Roman" w:cs="Times New Roman"/>
        </w:rPr>
        <w:t>.</w:t>
      </w:r>
      <w:r w:rsidR="001F77BF">
        <w:rPr>
          <w:rFonts w:ascii="Times New Roman" w:eastAsia="Calibri" w:hAnsi="Times New Roman" w:cs="Times New Roman"/>
        </w:rPr>
        <w:t xml:space="preserve"> Post hoc pairwise comparisons revealed significant </w:t>
      </w:r>
      <w:r w:rsidR="00DF495F">
        <w:rPr>
          <w:rFonts w:ascii="Times New Roman" w:eastAsia="Calibri" w:hAnsi="Times New Roman" w:cs="Times New Roman"/>
        </w:rPr>
        <w:t>increase</w:t>
      </w:r>
      <w:r w:rsidR="001F77BF">
        <w:rPr>
          <w:rFonts w:ascii="Times New Roman" w:eastAsia="Calibri" w:hAnsi="Times New Roman" w:cs="Times New Roman"/>
        </w:rPr>
        <w:t xml:space="preserve"> </w:t>
      </w:r>
      <w:r w:rsidR="00656F52">
        <w:rPr>
          <w:rFonts w:ascii="Times New Roman" w:eastAsia="Calibri" w:hAnsi="Times New Roman" w:cs="Times New Roman"/>
        </w:rPr>
        <w:t>in C between the average of Week 1 and Week 4 Pre (0.167 (0.022)</w:t>
      </w:r>
      <w:r w:rsid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/dL</w:t>
      </w:r>
      <w:r w:rsidR="002A0995">
        <w:rPr>
          <w:rFonts w:ascii="Times New Roman" w:eastAsia="Calibri" w:hAnsi="Times New Roman" w:cs="Times New Roman"/>
        </w:rPr>
        <w:t xml:space="preserve">, </w:t>
      </w:r>
      <w:r w:rsidR="002A0995">
        <w:rPr>
          <w:rFonts w:ascii="Times New Roman" w:eastAsia="Calibri" w:hAnsi="Times New Roman" w:cs="Times New Roman"/>
          <w:i/>
          <w:iCs/>
        </w:rPr>
        <w:t>d</w:t>
      </w:r>
      <w:r w:rsidR="002A0995">
        <w:rPr>
          <w:rFonts w:ascii="Times New Roman" w:eastAsia="Calibri" w:hAnsi="Times New Roman" w:cs="Times New Roman"/>
        </w:rPr>
        <w:t xml:space="preserve"> = 0.45</w:t>
      </w:r>
      <w:r w:rsidR="00656F52">
        <w:rPr>
          <w:rFonts w:ascii="Times New Roman" w:eastAsia="Calibri" w:hAnsi="Times New Roman" w:cs="Times New Roman"/>
        </w:rPr>
        <w:t>) values and the average of Week 1 and Week 4 Post (0.309 (0.046)</w:t>
      </w:r>
      <w:r w:rsid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/dL</w:t>
      </w:r>
      <w:r w:rsidR="002A0995">
        <w:rPr>
          <w:rFonts w:ascii="Times New Roman" w:eastAsia="Calibri" w:hAnsi="Times New Roman" w:cs="Times New Roman"/>
        </w:rPr>
        <w:t xml:space="preserve">, </w:t>
      </w:r>
      <w:r w:rsidR="002A0995">
        <w:rPr>
          <w:rFonts w:ascii="Times New Roman" w:eastAsia="Calibri" w:hAnsi="Times New Roman" w:cs="Times New Roman"/>
          <w:i/>
          <w:iCs/>
        </w:rPr>
        <w:t>d</w:t>
      </w:r>
      <w:r w:rsidR="002A0995">
        <w:rPr>
          <w:rFonts w:ascii="Times New Roman" w:eastAsia="Calibri" w:hAnsi="Times New Roman" w:cs="Times New Roman"/>
        </w:rPr>
        <w:t xml:space="preserve"> = 0.62</w:t>
      </w:r>
      <w:r w:rsidR="00656F52">
        <w:rPr>
          <w:rFonts w:ascii="Times New Roman" w:eastAsia="Calibri" w:hAnsi="Times New Roman" w:cs="Times New Roman"/>
        </w:rPr>
        <w:t>) values</w:t>
      </w:r>
      <w:r w:rsidR="007067AD">
        <w:rPr>
          <w:rFonts w:ascii="Times New Roman" w:eastAsia="Calibri" w:hAnsi="Times New Roman" w:cs="Times New Roman"/>
        </w:rPr>
        <w:t>, displayed in Table 6</w:t>
      </w:r>
      <w:r w:rsidR="00656F52">
        <w:rPr>
          <w:rFonts w:ascii="Times New Roman" w:eastAsia="Calibri" w:hAnsi="Times New Roman" w:cs="Times New Roman"/>
        </w:rPr>
        <w:t>.</w:t>
      </w:r>
    </w:p>
    <w:p w14:paraId="10AA03C9" w14:textId="7EB3E6EF" w:rsidR="002C2BF4" w:rsidRDefault="00935441" w:rsidP="00640EFE">
      <w:pPr>
        <w:spacing w:line="480" w:lineRule="auto"/>
        <w:ind w:firstLine="720"/>
        <w:jc w:val="both"/>
        <w:rPr>
          <w:rFonts w:ascii="Times New Roman" w:hAnsi="Times New Roman" w:cs="Times New Roman"/>
        </w:rPr>
      </w:pPr>
      <w:r>
        <w:rPr>
          <w:rFonts w:ascii="Times New Roman" w:hAnsi="Times New Roman" w:cs="Times New Roman"/>
        </w:rPr>
        <w:t>M</w:t>
      </w:r>
      <w:r w:rsidR="005E1461">
        <w:rPr>
          <w:rFonts w:ascii="Times New Roman" w:hAnsi="Times New Roman" w:cs="Times New Roman"/>
        </w:rPr>
        <w:t xml:space="preserve">oreover, there was a significant Week </w:t>
      </w:r>
      <w:r w:rsidR="005E1461" w:rsidRPr="008F5D8D">
        <w:rPr>
          <w:rFonts w:ascii="Times New Roman" w:eastAsia="Calibri" w:hAnsi="Times New Roman" w:cs="Times New Roman"/>
        </w:rPr>
        <w:t>×</w:t>
      </w:r>
      <w:r w:rsidR="005E1461">
        <w:rPr>
          <w:rFonts w:ascii="Times New Roman" w:eastAsia="Calibri" w:hAnsi="Times New Roman" w:cs="Times New Roman"/>
        </w:rPr>
        <w:t xml:space="preserve"> Time interaction (p = 0.050)</w:t>
      </w:r>
      <w:r w:rsidR="00022560">
        <w:rPr>
          <w:rFonts w:ascii="Times New Roman" w:eastAsia="Calibri" w:hAnsi="Times New Roman" w:cs="Times New Roman"/>
        </w:rPr>
        <w:t xml:space="preserve">. Post hoc pairwise comparisons revealed </w:t>
      </w:r>
      <w:r w:rsidR="00371FCA">
        <w:rPr>
          <w:rFonts w:ascii="Times New Roman" w:eastAsia="Calibri" w:hAnsi="Times New Roman" w:cs="Times New Roman"/>
        </w:rPr>
        <w:t xml:space="preserve">a </w:t>
      </w:r>
      <w:r w:rsidR="00022560">
        <w:rPr>
          <w:rFonts w:ascii="Times New Roman" w:eastAsia="Calibri" w:hAnsi="Times New Roman" w:cs="Times New Roman"/>
        </w:rPr>
        <w:t xml:space="preserve">significant </w:t>
      </w:r>
      <w:r w:rsidR="00371FCA">
        <w:rPr>
          <w:rFonts w:ascii="Times New Roman" w:eastAsia="Calibri" w:hAnsi="Times New Roman" w:cs="Times New Roman"/>
        </w:rPr>
        <w:t>(p = 0.008</w:t>
      </w:r>
      <w:r w:rsidR="00316F04">
        <w:rPr>
          <w:rFonts w:ascii="Times New Roman" w:eastAsia="Calibri" w:hAnsi="Times New Roman" w:cs="Times New Roman"/>
        </w:rPr>
        <w:t>,</w:t>
      </w:r>
      <w:r w:rsidR="00316F04" w:rsidRPr="00316F04">
        <w:rPr>
          <w:rFonts w:ascii="Times New Roman" w:eastAsia="Calibri" w:hAnsi="Times New Roman" w:cs="Times New Roman"/>
          <w:i/>
          <w:iCs/>
        </w:rPr>
        <w:t xml:space="preserve"> </w:t>
      </w:r>
      <w:r w:rsidR="00316F04">
        <w:rPr>
          <w:rFonts w:ascii="Times New Roman" w:eastAsia="Calibri" w:hAnsi="Times New Roman" w:cs="Times New Roman"/>
          <w:i/>
          <w:iCs/>
        </w:rPr>
        <w:t>d</w:t>
      </w:r>
      <w:r w:rsidR="00316F04">
        <w:rPr>
          <w:rFonts w:ascii="Times New Roman" w:eastAsia="Calibri" w:hAnsi="Times New Roman" w:cs="Times New Roman"/>
        </w:rPr>
        <w:t xml:space="preserve"> = 1.27</w:t>
      </w:r>
      <w:r w:rsidR="00371FCA">
        <w:rPr>
          <w:rFonts w:ascii="Times New Roman" w:eastAsia="Calibri" w:hAnsi="Times New Roman" w:cs="Times New Roman"/>
        </w:rPr>
        <w:t xml:space="preserve">) </w:t>
      </w:r>
      <w:r w:rsidR="000554FF">
        <w:rPr>
          <w:rFonts w:ascii="Times New Roman" w:eastAsia="Calibri" w:hAnsi="Times New Roman" w:cs="Times New Roman"/>
        </w:rPr>
        <w:t>increase</w:t>
      </w:r>
      <w:r w:rsidR="00022560">
        <w:rPr>
          <w:rFonts w:ascii="Times New Roman" w:eastAsia="Calibri" w:hAnsi="Times New Roman" w:cs="Times New Roman"/>
        </w:rPr>
        <w:t xml:space="preserve"> between Pre </w:t>
      </w:r>
      <w:r w:rsidR="00371FCA">
        <w:rPr>
          <w:rFonts w:ascii="Times New Roman" w:eastAsia="Calibri" w:hAnsi="Times New Roman" w:cs="Times New Roman"/>
        </w:rPr>
        <w:t>(</w:t>
      </w:r>
      <w:r w:rsidR="00371FCA" w:rsidRPr="00022560">
        <w:rPr>
          <w:rFonts w:ascii="Times New Roman" w:eastAsia="Calibri" w:hAnsi="Times New Roman" w:cs="Times New Roman"/>
        </w:rPr>
        <w:t>0.146 (0.017)</w:t>
      </w:r>
      <w:r w:rsid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/dL</w:t>
      </w:r>
      <w:r w:rsidR="00371FCA">
        <w:rPr>
          <w:rFonts w:ascii="Times New Roman" w:eastAsia="Calibri" w:hAnsi="Times New Roman" w:cs="Times New Roman"/>
        </w:rPr>
        <w:t xml:space="preserve">) </w:t>
      </w:r>
      <w:r w:rsidR="00022560">
        <w:rPr>
          <w:rFonts w:ascii="Times New Roman" w:eastAsia="Calibri" w:hAnsi="Times New Roman" w:cs="Times New Roman"/>
        </w:rPr>
        <w:t xml:space="preserve">and Post </w:t>
      </w:r>
      <w:r w:rsidR="00371FCA">
        <w:rPr>
          <w:rFonts w:ascii="Times New Roman" w:eastAsia="Calibri" w:hAnsi="Times New Roman" w:cs="Times New Roman"/>
        </w:rPr>
        <w:t>(</w:t>
      </w:r>
      <w:r w:rsidR="00371FCA" w:rsidRPr="00022560">
        <w:rPr>
          <w:rFonts w:ascii="Times New Roman" w:eastAsia="Calibri" w:hAnsi="Times New Roman" w:cs="Times New Roman"/>
        </w:rPr>
        <w:t>0.376 (0.069)</w:t>
      </w:r>
      <w:r w:rsid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/dL</w:t>
      </w:r>
      <w:r w:rsidR="00371FCA">
        <w:rPr>
          <w:rFonts w:ascii="Times New Roman" w:eastAsia="Calibri" w:hAnsi="Times New Roman" w:cs="Times New Roman"/>
        </w:rPr>
        <w:t xml:space="preserve">) </w:t>
      </w:r>
      <w:r w:rsidR="00022560">
        <w:rPr>
          <w:rFonts w:ascii="Times New Roman" w:eastAsia="Calibri" w:hAnsi="Times New Roman" w:cs="Times New Roman"/>
        </w:rPr>
        <w:t xml:space="preserve">in Week 1 but not in Week 4 (Pre = </w:t>
      </w:r>
      <w:r w:rsidR="00022560" w:rsidRPr="00022560">
        <w:rPr>
          <w:rFonts w:ascii="Times New Roman" w:eastAsia="Calibri" w:hAnsi="Times New Roman" w:cs="Times New Roman"/>
        </w:rPr>
        <w:t>0.188 (0.032)</w:t>
      </w:r>
      <w:r w:rsid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/dL</w:t>
      </w:r>
      <w:r w:rsidR="00022560">
        <w:rPr>
          <w:rFonts w:ascii="Times New Roman" w:eastAsia="Calibri" w:hAnsi="Times New Roman" w:cs="Times New Roman"/>
        </w:rPr>
        <w:t xml:space="preserve">; Post = </w:t>
      </w:r>
      <w:r w:rsidR="00022560" w:rsidRPr="00022560">
        <w:rPr>
          <w:rFonts w:ascii="Times New Roman" w:eastAsia="Calibri" w:hAnsi="Times New Roman" w:cs="Times New Roman"/>
        </w:rPr>
        <w:t>0.242 (0.049)</w:t>
      </w:r>
      <w:r w:rsid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/dL</w:t>
      </w:r>
      <w:r w:rsidR="00022560">
        <w:rPr>
          <w:rFonts w:ascii="Times New Roman" w:eastAsia="Calibri" w:hAnsi="Times New Roman" w:cs="Times New Roman"/>
        </w:rPr>
        <w:t>; p = 0.401</w:t>
      </w:r>
      <w:r w:rsidR="006C60B9">
        <w:rPr>
          <w:rFonts w:ascii="Times New Roman" w:eastAsia="Calibri" w:hAnsi="Times New Roman" w:cs="Times New Roman"/>
        </w:rPr>
        <w:t xml:space="preserve">, </w:t>
      </w:r>
      <w:r w:rsidR="006C60B9">
        <w:rPr>
          <w:rFonts w:ascii="Times New Roman" w:eastAsia="Calibri" w:hAnsi="Times New Roman" w:cs="Times New Roman"/>
          <w:i/>
          <w:iCs/>
        </w:rPr>
        <w:t>d</w:t>
      </w:r>
      <w:r w:rsidR="006C60B9">
        <w:rPr>
          <w:rFonts w:ascii="Times New Roman" w:eastAsia="Calibri" w:hAnsi="Times New Roman" w:cs="Times New Roman"/>
        </w:rPr>
        <w:t xml:space="preserve"> = 0.36</w:t>
      </w:r>
      <w:r w:rsidR="00022560">
        <w:rPr>
          <w:rFonts w:ascii="Times New Roman" w:eastAsia="Calibri" w:hAnsi="Times New Roman" w:cs="Times New Roman"/>
        </w:rPr>
        <w:t>)</w:t>
      </w:r>
      <w:r w:rsidR="00A76876">
        <w:rPr>
          <w:rFonts w:ascii="Times New Roman" w:eastAsia="Calibri" w:hAnsi="Times New Roman" w:cs="Times New Roman"/>
        </w:rPr>
        <w:t>, outlined in Table 6</w:t>
      </w:r>
      <w:r w:rsidR="00022560">
        <w:rPr>
          <w:rFonts w:ascii="Times New Roman" w:eastAsia="Calibri" w:hAnsi="Times New Roman" w:cs="Times New Roman"/>
        </w:rPr>
        <w:t xml:space="preserve">. </w:t>
      </w:r>
      <w:r w:rsidR="00640EFE">
        <w:rPr>
          <w:rFonts w:ascii="Times New Roman" w:eastAsia="Calibri" w:hAnsi="Times New Roman" w:cs="Times New Roman"/>
        </w:rPr>
        <w:t>Individual C responses across both weeks are displayed in Figure 12.</w:t>
      </w:r>
    </w:p>
    <w:p w14:paraId="1EFAB01E" w14:textId="6CB9B167" w:rsidR="00685B16" w:rsidRDefault="00685B16" w:rsidP="00F829B9">
      <w:pPr>
        <w:spacing w:line="480" w:lineRule="auto"/>
        <w:jc w:val="both"/>
        <w:rPr>
          <w:rFonts w:ascii="Times New Roman" w:hAnsi="Times New Roman" w:cs="Times New Roman"/>
        </w:rPr>
      </w:pPr>
      <w:r>
        <w:rPr>
          <w:rFonts w:ascii="Times New Roman" w:hAnsi="Times New Roman" w:cs="Times New Roman"/>
        </w:rPr>
        <w:tab/>
        <w:t xml:space="preserve">Descriptive statistics for the absolute change in </w:t>
      </w:r>
      <w:r w:rsidR="00212C3E">
        <w:rPr>
          <w:rFonts w:ascii="Times New Roman" w:hAnsi="Times New Roman" w:cs="Times New Roman"/>
        </w:rPr>
        <w:t>C</w:t>
      </w:r>
      <w:r>
        <w:rPr>
          <w:rFonts w:ascii="Times New Roman" w:hAnsi="Times New Roman" w:cs="Times New Roman"/>
        </w:rPr>
        <w:t xml:space="preserve"> are outlined in Table </w:t>
      </w:r>
      <w:r w:rsidR="00A76876">
        <w:rPr>
          <w:rFonts w:ascii="Times New Roman" w:hAnsi="Times New Roman" w:cs="Times New Roman"/>
        </w:rPr>
        <w:t>7</w:t>
      </w:r>
      <w:r>
        <w:rPr>
          <w:rFonts w:ascii="Times New Roman" w:hAnsi="Times New Roman" w:cs="Times New Roman"/>
        </w:rPr>
        <w:t xml:space="preserve">. </w:t>
      </w:r>
      <w:r w:rsidR="00212C3E">
        <w:rPr>
          <w:rFonts w:ascii="Times New Roman" w:hAnsi="Times New Roman" w:cs="Times New Roman"/>
        </w:rPr>
        <w:t xml:space="preserve">There was a significant difference </w:t>
      </w:r>
      <w:r w:rsidR="002422E1">
        <w:rPr>
          <w:rFonts w:ascii="Times New Roman" w:hAnsi="Times New Roman" w:cs="Times New Roman"/>
        </w:rPr>
        <w:t xml:space="preserve">(p = 0.050) </w:t>
      </w:r>
      <w:r w:rsidR="00212C3E">
        <w:rPr>
          <w:rFonts w:ascii="Times New Roman" w:hAnsi="Times New Roman" w:cs="Times New Roman"/>
        </w:rPr>
        <w:t xml:space="preserve">in the absolute change </w:t>
      </w:r>
      <w:r w:rsidR="00487DFE">
        <w:rPr>
          <w:rFonts w:ascii="Times New Roman" w:hAnsi="Times New Roman" w:cs="Times New Roman"/>
        </w:rPr>
        <w:t xml:space="preserve">in concentration </w:t>
      </w:r>
      <w:r w:rsidR="002422E1">
        <w:rPr>
          <w:rFonts w:ascii="Times New Roman" w:hAnsi="Times New Roman" w:cs="Times New Roman"/>
        </w:rPr>
        <w:t>from Pre to Post in Week 1 (</w:t>
      </w:r>
      <w:r w:rsidR="002422E1" w:rsidRPr="002422E1">
        <w:rPr>
          <w:rFonts w:ascii="Times New Roman" w:hAnsi="Times New Roman" w:cs="Times New Roman"/>
        </w:rPr>
        <w:t>0.230 ± 0.261</w:t>
      </w:r>
      <w:r w:rsid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/dL</w:t>
      </w:r>
      <w:r w:rsidR="002422E1">
        <w:rPr>
          <w:rFonts w:ascii="Times New Roman" w:hAnsi="Times New Roman" w:cs="Times New Roman"/>
        </w:rPr>
        <w:t>) in comparison to the changes depicted from Pre to Post in Week 4 (</w:t>
      </w:r>
      <w:r w:rsidR="002422E1" w:rsidRPr="002422E1">
        <w:rPr>
          <w:rFonts w:ascii="Times New Roman" w:hAnsi="Times New Roman" w:cs="Times New Roman"/>
        </w:rPr>
        <w:t>0.054 ± 0.221</w:t>
      </w:r>
      <w:r w:rsid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/dL</w:t>
      </w:r>
      <w:r w:rsidR="002422E1">
        <w:rPr>
          <w:rFonts w:ascii="Times New Roman" w:hAnsi="Times New Roman" w:cs="Times New Roman"/>
        </w:rPr>
        <w:t xml:space="preserve">). </w:t>
      </w:r>
    </w:p>
    <w:p w14:paraId="4581C8A1" w14:textId="2C86A9E5" w:rsidR="00685B16" w:rsidRDefault="00685B16" w:rsidP="00F829B9">
      <w:pPr>
        <w:spacing w:line="480" w:lineRule="auto"/>
        <w:jc w:val="both"/>
        <w:rPr>
          <w:rFonts w:ascii="Times New Roman" w:hAnsi="Times New Roman" w:cs="Times New Roman"/>
        </w:rPr>
      </w:pPr>
      <w:r>
        <w:rPr>
          <w:rFonts w:ascii="Times New Roman" w:hAnsi="Times New Roman" w:cs="Times New Roman"/>
        </w:rPr>
        <w:tab/>
        <w:t xml:space="preserve">Descriptive statistics for the percent change in </w:t>
      </w:r>
      <w:r w:rsidR="00212C3E">
        <w:rPr>
          <w:rFonts w:ascii="Times New Roman" w:hAnsi="Times New Roman" w:cs="Times New Roman"/>
        </w:rPr>
        <w:t>C</w:t>
      </w:r>
      <w:r>
        <w:rPr>
          <w:rFonts w:ascii="Times New Roman" w:hAnsi="Times New Roman" w:cs="Times New Roman"/>
        </w:rPr>
        <w:t xml:space="preserve"> are outlined in Table </w:t>
      </w:r>
      <w:r w:rsidR="00A76876">
        <w:rPr>
          <w:rFonts w:ascii="Times New Roman" w:hAnsi="Times New Roman" w:cs="Times New Roman"/>
        </w:rPr>
        <w:t>8</w:t>
      </w:r>
      <w:r>
        <w:rPr>
          <w:rFonts w:ascii="Times New Roman" w:hAnsi="Times New Roman" w:cs="Times New Roman"/>
        </w:rPr>
        <w:t>.</w:t>
      </w:r>
      <w:r w:rsidR="004F525A">
        <w:rPr>
          <w:rFonts w:ascii="Times New Roman" w:hAnsi="Times New Roman" w:cs="Times New Roman"/>
        </w:rPr>
        <w:t xml:space="preserve"> When examining the percent change, there were no significant (p = 0.080) differences from Pre to Post in Week 1 (</w:t>
      </w:r>
      <w:r w:rsidR="004F525A" w:rsidRPr="004F525A">
        <w:rPr>
          <w:rFonts w:ascii="Times New Roman" w:hAnsi="Times New Roman" w:cs="Times New Roman"/>
        </w:rPr>
        <w:t>206.9 ± 252.5</w:t>
      </w:r>
      <w:r w:rsid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/dL</w:t>
      </w:r>
      <w:r w:rsidR="004F525A">
        <w:rPr>
          <w:rFonts w:ascii="Times New Roman" w:hAnsi="Times New Roman" w:cs="Times New Roman"/>
        </w:rPr>
        <w:t>) compared to changes observed from Pre to Post in Week 4 (</w:t>
      </w:r>
      <w:r w:rsidR="004F525A" w:rsidRPr="004F525A">
        <w:rPr>
          <w:rFonts w:ascii="Times New Roman" w:hAnsi="Times New Roman" w:cs="Times New Roman"/>
        </w:rPr>
        <w:t>70.9 ± 158.7</w:t>
      </w:r>
      <w:r w:rsidR="00DC5DBA">
        <w:rPr>
          <w:rFonts w:ascii="Times New Roman" w:hAnsi="Times New Roman" w:cs="Times New Roman"/>
        </w:rPr>
        <w:t xml:space="preserve"> </w:t>
      </w:r>
      <w:proofErr w:type="spellStart"/>
      <w:r w:rsidR="00DC5DBA">
        <w:rPr>
          <w:rFonts w:ascii="Times New Roman" w:hAnsi="Times New Roman" w:cs="Times New Roman"/>
        </w:rPr>
        <w:t>pg</w:t>
      </w:r>
      <w:proofErr w:type="spellEnd"/>
      <w:r w:rsidR="00DC5DBA">
        <w:rPr>
          <w:rFonts w:ascii="Times New Roman" w:hAnsi="Times New Roman" w:cs="Times New Roman"/>
        </w:rPr>
        <w:t>/dL</w:t>
      </w:r>
      <w:r w:rsidR="004F525A">
        <w:rPr>
          <w:rFonts w:ascii="Times New Roman" w:hAnsi="Times New Roman" w:cs="Times New Roman"/>
        </w:rPr>
        <w:t xml:space="preserve">). </w:t>
      </w:r>
    </w:p>
    <w:p w14:paraId="02138B43" w14:textId="595A4E12" w:rsidR="001F14BB" w:rsidRPr="00F571A7" w:rsidRDefault="001F14BB" w:rsidP="000D387D">
      <w:pPr>
        <w:spacing w:line="480" w:lineRule="auto"/>
        <w:rPr>
          <w:iCs/>
        </w:rPr>
      </w:pPr>
      <w:bookmarkStart w:id="81" w:name="_Toc99267647"/>
      <w:proofErr w:type="spellStart"/>
      <w:r w:rsidRPr="000D387D">
        <w:rPr>
          <w:rStyle w:val="Heading3Char"/>
          <w:rFonts w:ascii="Times New Roman" w:hAnsi="Times New Roman" w:cs="Times New Roman"/>
          <w:b/>
          <w:bCs/>
          <w:i/>
          <w:iCs/>
          <w:color w:val="000000" w:themeColor="text1"/>
        </w:rPr>
        <w:t>Testosterone:Cortisol</w:t>
      </w:r>
      <w:proofErr w:type="spellEnd"/>
      <w:r w:rsidRPr="000D387D">
        <w:rPr>
          <w:rStyle w:val="Heading3Char"/>
          <w:rFonts w:ascii="Times New Roman" w:hAnsi="Times New Roman" w:cs="Times New Roman"/>
          <w:b/>
          <w:bCs/>
          <w:i/>
          <w:iCs/>
          <w:color w:val="000000" w:themeColor="text1"/>
        </w:rPr>
        <w:t xml:space="preserve"> Ratio</w:t>
      </w:r>
      <w:bookmarkEnd w:id="81"/>
      <w:r w:rsidRPr="000D387D">
        <w:rPr>
          <w:rFonts w:ascii="Times New Roman" w:hAnsi="Times New Roman" w:cs="Times New Roman"/>
          <w:b/>
          <w:i/>
          <w:color w:val="000000" w:themeColor="text1"/>
        </w:rPr>
        <w:t>:</w:t>
      </w:r>
    </w:p>
    <w:p w14:paraId="54512ED0" w14:textId="4E08D2E6" w:rsidR="00CF78F3" w:rsidRDefault="001F14BB" w:rsidP="00F829B9">
      <w:pPr>
        <w:spacing w:line="480" w:lineRule="auto"/>
        <w:jc w:val="both"/>
        <w:rPr>
          <w:rFonts w:ascii="Times New Roman" w:hAnsi="Times New Roman" w:cs="Times New Roman"/>
          <w:lang w:bidi="en-US"/>
        </w:rPr>
      </w:pPr>
      <w:r>
        <w:rPr>
          <w:rFonts w:ascii="Times New Roman" w:hAnsi="Times New Roman" w:cs="Times New Roman"/>
        </w:rPr>
        <w:tab/>
        <w:t xml:space="preserve">As presented in Table </w:t>
      </w:r>
      <w:r w:rsidR="00A76876">
        <w:rPr>
          <w:rFonts w:ascii="Times New Roman" w:hAnsi="Times New Roman" w:cs="Times New Roman"/>
        </w:rPr>
        <w:t>5</w:t>
      </w:r>
      <w:r w:rsidR="00316195">
        <w:rPr>
          <w:rFonts w:ascii="Times New Roman" w:hAnsi="Times New Roman" w:cs="Times New Roman"/>
        </w:rPr>
        <w:t xml:space="preserve"> and demonstrated in Figure 10</w:t>
      </w:r>
      <w:r>
        <w:rPr>
          <w:rFonts w:ascii="Times New Roman" w:hAnsi="Times New Roman" w:cs="Times New Roman"/>
        </w:rPr>
        <w:t xml:space="preserve">, there were no significant differences for T:C (p = 0.471) in any of the Pre </w:t>
      </w:r>
      <w:r w:rsidR="00764FE1">
        <w:rPr>
          <w:rFonts w:ascii="Times New Roman" w:hAnsi="Times New Roman" w:cs="Times New Roman"/>
        </w:rPr>
        <w:t xml:space="preserve">(Week 1 = 1109.1 (149.8); Week 4 = 894.4 (118.2)) </w:t>
      </w:r>
      <w:r>
        <w:rPr>
          <w:rFonts w:ascii="Times New Roman" w:hAnsi="Times New Roman" w:cs="Times New Roman"/>
        </w:rPr>
        <w:t xml:space="preserve">values or Baseline Assessment </w:t>
      </w:r>
      <w:r w:rsidR="00764FE1">
        <w:rPr>
          <w:rFonts w:ascii="Times New Roman" w:hAnsi="Times New Roman" w:cs="Times New Roman"/>
        </w:rPr>
        <w:t xml:space="preserve">(949.8 (147.6)) </w:t>
      </w:r>
      <w:r>
        <w:rPr>
          <w:rFonts w:ascii="Times New Roman" w:hAnsi="Times New Roman" w:cs="Times New Roman"/>
        </w:rPr>
        <w:t>values across time.</w:t>
      </w:r>
      <w:r w:rsidR="00CF78F3">
        <w:rPr>
          <w:rFonts w:ascii="Times New Roman" w:hAnsi="Times New Roman" w:cs="Times New Roman"/>
        </w:rPr>
        <w:t xml:space="preserve"> T</w:t>
      </w:r>
      <w:r w:rsidR="00CF78F3">
        <w:rPr>
          <w:rFonts w:ascii="Times New Roman" w:hAnsi="Times New Roman" w:cs="Times New Roman"/>
          <w:lang w:bidi="en-US"/>
        </w:rPr>
        <w:t>here was no Week</w:t>
      </w:r>
      <w:r w:rsidR="00CF78F3" w:rsidRPr="00AB1381">
        <w:rPr>
          <w:rFonts w:ascii="Times New Roman" w:hAnsi="Times New Roman" w:cs="Times New Roman"/>
          <w:lang w:bidi="en-US"/>
        </w:rPr>
        <w:t xml:space="preserve"> main effect (p = 0.</w:t>
      </w:r>
      <w:r w:rsidR="00CF78F3">
        <w:rPr>
          <w:rFonts w:ascii="Times New Roman" w:hAnsi="Times New Roman" w:cs="Times New Roman"/>
          <w:lang w:bidi="en-US"/>
        </w:rPr>
        <w:t>657</w:t>
      </w:r>
      <w:r w:rsidR="00CF78F3" w:rsidRPr="00AB1381">
        <w:rPr>
          <w:rFonts w:ascii="Times New Roman" w:hAnsi="Times New Roman" w:cs="Times New Roman"/>
          <w:lang w:bidi="en-US"/>
        </w:rPr>
        <w:t xml:space="preserve">), </w:t>
      </w:r>
      <w:r w:rsidR="00CF78F3">
        <w:rPr>
          <w:rFonts w:ascii="Times New Roman" w:hAnsi="Times New Roman" w:cs="Times New Roman"/>
          <w:lang w:bidi="en-US"/>
        </w:rPr>
        <w:t>n</w:t>
      </w:r>
      <w:r w:rsidR="00CF78F3" w:rsidRPr="00AB1381">
        <w:rPr>
          <w:rFonts w:ascii="Times New Roman" w:hAnsi="Times New Roman" w:cs="Times New Roman"/>
          <w:lang w:bidi="en-US"/>
        </w:rPr>
        <w:t>or Time main effect (p = 0.</w:t>
      </w:r>
      <w:r w:rsidR="00CF78F3">
        <w:rPr>
          <w:rFonts w:ascii="Times New Roman" w:hAnsi="Times New Roman" w:cs="Times New Roman"/>
          <w:lang w:bidi="en-US"/>
        </w:rPr>
        <w:t>577</w:t>
      </w:r>
      <w:r w:rsidR="00CF78F3" w:rsidRPr="00AB1381">
        <w:rPr>
          <w:rFonts w:ascii="Times New Roman" w:hAnsi="Times New Roman" w:cs="Times New Roman"/>
          <w:lang w:bidi="en-US"/>
        </w:rPr>
        <w:t>) for change</w:t>
      </w:r>
      <w:r w:rsidR="00CF78F3">
        <w:rPr>
          <w:rFonts w:ascii="Times New Roman" w:hAnsi="Times New Roman" w:cs="Times New Roman"/>
          <w:lang w:bidi="en-US"/>
        </w:rPr>
        <w:t>s</w:t>
      </w:r>
      <w:r w:rsidR="00CF78F3" w:rsidRPr="00AB1381">
        <w:rPr>
          <w:rFonts w:ascii="Times New Roman" w:hAnsi="Times New Roman" w:cs="Times New Roman"/>
          <w:lang w:bidi="en-US"/>
        </w:rPr>
        <w:t xml:space="preserve"> </w:t>
      </w:r>
      <w:r w:rsidR="00CF78F3">
        <w:rPr>
          <w:rFonts w:ascii="Times New Roman" w:hAnsi="Times New Roman" w:cs="Times New Roman"/>
          <w:lang w:bidi="en-US"/>
        </w:rPr>
        <w:t>exhibited over the preseason</w:t>
      </w:r>
      <w:r w:rsidR="00CF78F3" w:rsidRPr="00AB1381">
        <w:rPr>
          <w:rFonts w:ascii="Times New Roman" w:hAnsi="Times New Roman" w:cs="Times New Roman"/>
          <w:lang w:bidi="en-US"/>
        </w:rPr>
        <w:t xml:space="preserve"> in T:C</w:t>
      </w:r>
      <w:r w:rsidR="00CF78F3">
        <w:rPr>
          <w:rFonts w:ascii="Times New Roman" w:hAnsi="Times New Roman" w:cs="Times New Roman"/>
          <w:lang w:bidi="en-US"/>
        </w:rPr>
        <w:t xml:space="preserve">. </w:t>
      </w:r>
    </w:p>
    <w:p w14:paraId="5E28925D" w14:textId="484B6BAD" w:rsidR="00AB1381" w:rsidRPr="00AB1381" w:rsidRDefault="00CF78F3" w:rsidP="00640EFE">
      <w:pPr>
        <w:spacing w:line="480" w:lineRule="auto"/>
        <w:ind w:firstLine="720"/>
        <w:jc w:val="both"/>
        <w:rPr>
          <w:rFonts w:ascii="Times New Roman" w:hAnsi="Times New Roman" w:cs="Times New Roman"/>
        </w:rPr>
      </w:pPr>
      <w:r>
        <w:rPr>
          <w:rFonts w:ascii="Times New Roman" w:hAnsi="Times New Roman" w:cs="Times New Roman"/>
          <w:lang w:bidi="en-US"/>
        </w:rPr>
        <w:lastRenderedPageBreak/>
        <w:t xml:space="preserve">However, </w:t>
      </w:r>
      <w:r>
        <w:rPr>
          <w:rFonts w:ascii="Times New Roman" w:hAnsi="Times New Roman" w:cs="Times New Roman"/>
        </w:rPr>
        <w:t>t</w:t>
      </w:r>
      <w:r w:rsidR="00AB1381" w:rsidRPr="00AB1381">
        <w:rPr>
          <w:rFonts w:ascii="Times New Roman" w:hAnsi="Times New Roman" w:cs="Times New Roman"/>
          <w:lang w:bidi="en-US"/>
        </w:rPr>
        <w:t>here w</w:t>
      </w:r>
      <w:r w:rsidR="00791281">
        <w:rPr>
          <w:rFonts w:ascii="Times New Roman" w:hAnsi="Times New Roman" w:cs="Times New Roman"/>
          <w:lang w:bidi="en-US"/>
        </w:rPr>
        <w:t>as a</w:t>
      </w:r>
      <w:r w:rsidR="00AB1381" w:rsidRPr="00AB1381">
        <w:rPr>
          <w:rFonts w:ascii="Times New Roman" w:hAnsi="Times New Roman" w:cs="Times New Roman"/>
          <w:lang w:bidi="en-US"/>
        </w:rPr>
        <w:t xml:space="preserve"> significant </w:t>
      </w:r>
      <w:r w:rsidR="00AB1381">
        <w:rPr>
          <w:rFonts w:ascii="Times New Roman" w:hAnsi="Times New Roman" w:cs="Times New Roman"/>
          <w:lang w:bidi="en-US"/>
        </w:rPr>
        <w:t>Week</w:t>
      </w:r>
      <w:r w:rsidR="00AB1381" w:rsidRPr="00AB1381">
        <w:rPr>
          <w:rFonts w:ascii="Times New Roman" w:hAnsi="Times New Roman" w:cs="Times New Roman"/>
          <w:lang w:bidi="en-US"/>
        </w:rPr>
        <w:t xml:space="preserve"> × Time interaction (p = 0.</w:t>
      </w:r>
      <w:r w:rsidR="00791281">
        <w:rPr>
          <w:rFonts w:ascii="Times New Roman" w:hAnsi="Times New Roman" w:cs="Times New Roman"/>
          <w:lang w:bidi="en-US"/>
        </w:rPr>
        <w:t>036</w:t>
      </w:r>
      <w:r w:rsidR="00AB1381" w:rsidRPr="00AB1381">
        <w:rPr>
          <w:rFonts w:ascii="Times New Roman" w:hAnsi="Times New Roman" w:cs="Times New Roman"/>
          <w:lang w:bidi="en-US"/>
        </w:rPr>
        <w:t xml:space="preserve">). </w:t>
      </w:r>
      <w:r w:rsidR="00131321">
        <w:rPr>
          <w:rFonts w:ascii="Times New Roman" w:eastAsia="Calibri" w:hAnsi="Times New Roman" w:cs="Times New Roman"/>
        </w:rPr>
        <w:t xml:space="preserve">Post hoc pairwise comparisons revealed </w:t>
      </w:r>
      <w:r w:rsidR="00C9284D">
        <w:rPr>
          <w:rFonts w:ascii="Times New Roman" w:eastAsia="Calibri" w:hAnsi="Times New Roman" w:cs="Times New Roman"/>
        </w:rPr>
        <w:t xml:space="preserve">a </w:t>
      </w:r>
      <w:r w:rsidR="00131321">
        <w:rPr>
          <w:rFonts w:ascii="Times New Roman" w:eastAsia="Calibri" w:hAnsi="Times New Roman" w:cs="Times New Roman"/>
        </w:rPr>
        <w:t xml:space="preserve">significant </w:t>
      </w:r>
      <w:r w:rsidR="00C12FA4">
        <w:rPr>
          <w:rFonts w:ascii="Times New Roman" w:eastAsia="Calibri" w:hAnsi="Times New Roman" w:cs="Times New Roman"/>
        </w:rPr>
        <w:t>(p = 0.033</w:t>
      </w:r>
      <w:r w:rsidR="00C9284D">
        <w:rPr>
          <w:rFonts w:ascii="Times New Roman" w:eastAsia="Calibri" w:hAnsi="Times New Roman" w:cs="Times New Roman"/>
        </w:rPr>
        <w:t xml:space="preserve">, </w:t>
      </w:r>
      <w:r w:rsidR="00C9284D">
        <w:rPr>
          <w:rFonts w:ascii="Times New Roman" w:eastAsia="Calibri" w:hAnsi="Times New Roman" w:cs="Times New Roman"/>
          <w:i/>
          <w:iCs/>
        </w:rPr>
        <w:t>d</w:t>
      </w:r>
      <w:r w:rsidR="00C9284D">
        <w:rPr>
          <w:rFonts w:ascii="Times New Roman" w:eastAsia="Calibri" w:hAnsi="Times New Roman" w:cs="Times New Roman"/>
        </w:rPr>
        <w:t xml:space="preserve"> = 0.46</w:t>
      </w:r>
      <w:r w:rsidR="00C12FA4">
        <w:rPr>
          <w:rFonts w:ascii="Times New Roman" w:eastAsia="Calibri" w:hAnsi="Times New Roman" w:cs="Times New Roman"/>
        </w:rPr>
        <w:t xml:space="preserve">) </w:t>
      </w:r>
      <w:r w:rsidR="00C9284D">
        <w:rPr>
          <w:rFonts w:ascii="Times New Roman" w:eastAsia="Calibri" w:hAnsi="Times New Roman" w:cs="Times New Roman"/>
        </w:rPr>
        <w:t>increase</w:t>
      </w:r>
      <w:r w:rsidR="00131321">
        <w:rPr>
          <w:rFonts w:ascii="Times New Roman" w:eastAsia="Calibri" w:hAnsi="Times New Roman" w:cs="Times New Roman"/>
        </w:rPr>
        <w:t xml:space="preserve"> </w:t>
      </w:r>
      <w:r w:rsidR="00C9284D">
        <w:rPr>
          <w:rFonts w:ascii="Times New Roman" w:eastAsia="Calibri" w:hAnsi="Times New Roman" w:cs="Times New Roman"/>
        </w:rPr>
        <w:t>from</w:t>
      </w:r>
      <w:r w:rsidR="00131321">
        <w:rPr>
          <w:rFonts w:ascii="Times New Roman" w:eastAsia="Calibri" w:hAnsi="Times New Roman" w:cs="Times New Roman"/>
        </w:rPr>
        <w:t xml:space="preserve"> </w:t>
      </w:r>
      <w:r w:rsidR="00C12FA4">
        <w:rPr>
          <w:rFonts w:ascii="Times New Roman" w:eastAsia="Calibri" w:hAnsi="Times New Roman" w:cs="Times New Roman"/>
        </w:rPr>
        <w:t xml:space="preserve">the </w:t>
      </w:r>
      <w:r w:rsidR="00131321">
        <w:rPr>
          <w:rFonts w:ascii="Times New Roman" w:eastAsia="Calibri" w:hAnsi="Times New Roman" w:cs="Times New Roman"/>
        </w:rPr>
        <w:t xml:space="preserve">Post </w:t>
      </w:r>
      <w:r w:rsidR="00C12FA4">
        <w:rPr>
          <w:rFonts w:ascii="Times New Roman" w:eastAsia="Calibri" w:hAnsi="Times New Roman" w:cs="Times New Roman"/>
        </w:rPr>
        <w:t xml:space="preserve">value </w:t>
      </w:r>
      <w:r w:rsidR="00131321">
        <w:rPr>
          <w:rFonts w:ascii="Times New Roman" w:eastAsia="Calibri" w:hAnsi="Times New Roman" w:cs="Times New Roman"/>
        </w:rPr>
        <w:t xml:space="preserve">in Week </w:t>
      </w:r>
      <w:r w:rsidR="00C12FA4">
        <w:rPr>
          <w:rFonts w:ascii="Times New Roman" w:eastAsia="Calibri" w:hAnsi="Times New Roman" w:cs="Times New Roman"/>
        </w:rPr>
        <w:t>1</w:t>
      </w:r>
      <w:r w:rsidR="00131321">
        <w:rPr>
          <w:rFonts w:ascii="Times New Roman" w:eastAsia="Calibri" w:hAnsi="Times New Roman" w:cs="Times New Roman"/>
        </w:rPr>
        <w:t xml:space="preserve"> (Post = </w:t>
      </w:r>
      <w:r w:rsidR="00C12FA4" w:rsidRPr="00C12FA4">
        <w:rPr>
          <w:rFonts w:ascii="Times New Roman" w:eastAsia="Calibri" w:hAnsi="Times New Roman" w:cs="Times New Roman"/>
        </w:rPr>
        <w:t>739.0 (154.3)</w:t>
      </w:r>
      <w:r w:rsidR="00C12FA4">
        <w:rPr>
          <w:rFonts w:ascii="Times New Roman" w:eastAsia="Calibri" w:hAnsi="Times New Roman" w:cs="Times New Roman"/>
        </w:rPr>
        <w:t>)</w:t>
      </w:r>
      <w:r w:rsidR="00131321">
        <w:rPr>
          <w:rFonts w:ascii="Times New Roman" w:eastAsia="Calibri" w:hAnsi="Times New Roman" w:cs="Times New Roman"/>
        </w:rPr>
        <w:t xml:space="preserve"> </w:t>
      </w:r>
      <w:r w:rsidR="00C9284D">
        <w:rPr>
          <w:rFonts w:ascii="Times New Roman" w:eastAsia="Calibri" w:hAnsi="Times New Roman" w:cs="Times New Roman"/>
        </w:rPr>
        <w:t>to</w:t>
      </w:r>
      <w:r w:rsidR="00C12FA4">
        <w:rPr>
          <w:rFonts w:ascii="Times New Roman" w:eastAsia="Calibri" w:hAnsi="Times New Roman" w:cs="Times New Roman"/>
        </w:rPr>
        <w:t xml:space="preserve"> the Post value</w:t>
      </w:r>
      <w:r w:rsidR="00131321">
        <w:rPr>
          <w:rFonts w:ascii="Times New Roman" w:eastAsia="Calibri" w:hAnsi="Times New Roman" w:cs="Times New Roman"/>
        </w:rPr>
        <w:t xml:space="preserve"> in Week </w:t>
      </w:r>
      <w:r w:rsidR="00C12FA4">
        <w:rPr>
          <w:rFonts w:ascii="Times New Roman" w:eastAsia="Calibri" w:hAnsi="Times New Roman" w:cs="Times New Roman"/>
        </w:rPr>
        <w:t>4</w:t>
      </w:r>
      <w:r w:rsidR="00131321">
        <w:rPr>
          <w:rFonts w:ascii="Times New Roman" w:eastAsia="Calibri" w:hAnsi="Times New Roman" w:cs="Times New Roman"/>
        </w:rPr>
        <w:t xml:space="preserve"> (Post = </w:t>
      </w:r>
      <w:r w:rsidR="00C12FA4" w:rsidRPr="00C12FA4">
        <w:rPr>
          <w:rFonts w:ascii="Times New Roman" w:eastAsia="Calibri" w:hAnsi="Times New Roman" w:cs="Times New Roman"/>
        </w:rPr>
        <w:t>1047.8 (216.7)</w:t>
      </w:r>
      <w:r w:rsidR="00C12FA4">
        <w:rPr>
          <w:rFonts w:ascii="Times New Roman" w:eastAsia="Calibri" w:hAnsi="Times New Roman" w:cs="Times New Roman"/>
        </w:rPr>
        <w:t xml:space="preserve">), </w:t>
      </w:r>
      <w:r w:rsidR="00A76876">
        <w:rPr>
          <w:rFonts w:ascii="Times New Roman" w:eastAsia="Calibri" w:hAnsi="Times New Roman" w:cs="Times New Roman"/>
        </w:rPr>
        <w:t>outlined in Table 6</w:t>
      </w:r>
      <w:r w:rsidR="00796357">
        <w:rPr>
          <w:rFonts w:ascii="Times New Roman" w:eastAsia="Calibri" w:hAnsi="Times New Roman" w:cs="Times New Roman"/>
        </w:rPr>
        <w:t xml:space="preserve"> and Figure 11</w:t>
      </w:r>
      <w:r w:rsidR="00131321">
        <w:rPr>
          <w:rFonts w:ascii="Times New Roman" w:eastAsia="Calibri" w:hAnsi="Times New Roman" w:cs="Times New Roman"/>
        </w:rPr>
        <w:t>.</w:t>
      </w:r>
      <w:r w:rsidR="00640EFE">
        <w:rPr>
          <w:rFonts w:ascii="Times New Roman" w:eastAsia="Calibri" w:hAnsi="Times New Roman" w:cs="Times New Roman"/>
        </w:rPr>
        <w:t xml:space="preserve"> The individual T:C ratios across both weeks are displayed in Figure 12.</w:t>
      </w:r>
    </w:p>
    <w:p w14:paraId="5A5D6D2B" w14:textId="396EF58F" w:rsidR="00685B16" w:rsidRDefault="00685B16" w:rsidP="00F829B9">
      <w:pPr>
        <w:spacing w:line="480" w:lineRule="auto"/>
        <w:jc w:val="both"/>
        <w:rPr>
          <w:rFonts w:ascii="Times New Roman" w:hAnsi="Times New Roman" w:cs="Times New Roman"/>
        </w:rPr>
      </w:pPr>
      <w:r>
        <w:rPr>
          <w:rFonts w:ascii="Times New Roman" w:hAnsi="Times New Roman" w:cs="Times New Roman"/>
        </w:rPr>
        <w:tab/>
        <w:t>Descriptive statistics for the absolute change in T</w:t>
      </w:r>
      <w:r w:rsidR="00212C3E">
        <w:rPr>
          <w:rFonts w:ascii="Times New Roman" w:hAnsi="Times New Roman" w:cs="Times New Roman"/>
        </w:rPr>
        <w:t>:C</w:t>
      </w:r>
      <w:r>
        <w:rPr>
          <w:rFonts w:ascii="Times New Roman" w:hAnsi="Times New Roman" w:cs="Times New Roman"/>
        </w:rPr>
        <w:t xml:space="preserve"> are outlined in Table </w:t>
      </w:r>
      <w:r w:rsidR="00A76876">
        <w:rPr>
          <w:rFonts w:ascii="Times New Roman" w:hAnsi="Times New Roman" w:cs="Times New Roman"/>
        </w:rPr>
        <w:t>7</w:t>
      </w:r>
      <w:r>
        <w:rPr>
          <w:rFonts w:ascii="Times New Roman" w:hAnsi="Times New Roman" w:cs="Times New Roman"/>
        </w:rPr>
        <w:t xml:space="preserve">. </w:t>
      </w:r>
      <w:r w:rsidR="00F8045F">
        <w:rPr>
          <w:rFonts w:ascii="Times New Roman" w:hAnsi="Times New Roman" w:cs="Times New Roman"/>
        </w:rPr>
        <w:t xml:space="preserve">There was a significant </w:t>
      </w:r>
      <w:r w:rsidR="00E81380">
        <w:rPr>
          <w:rFonts w:ascii="Times New Roman" w:hAnsi="Times New Roman" w:cs="Times New Roman"/>
        </w:rPr>
        <w:t>increase</w:t>
      </w:r>
      <w:r w:rsidR="00F8045F">
        <w:rPr>
          <w:rFonts w:ascii="Times New Roman" w:hAnsi="Times New Roman" w:cs="Times New Roman"/>
        </w:rPr>
        <w:t xml:space="preserve"> (p = 0.036) in the absolute change </w:t>
      </w:r>
      <w:r w:rsidR="000157E5">
        <w:rPr>
          <w:rFonts w:ascii="Times New Roman" w:hAnsi="Times New Roman" w:cs="Times New Roman"/>
        </w:rPr>
        <w:t xml:space="preserve">in concentrations </w:t>
      </w:r>
      <w:r w:rsidR="00F8045F">
        <w:rPr>
          <w:rFonts w:ascii="Times New Roman" w:hAnsi="Times New Roman" w:cs="Times New Roman"/>
        </w:rPr>
        <w:t>from Pre to Post in Week 1 (</w:t>
      </w:r>
      <w:r w:rsidR="00F8045F" w:rsidRPr="00F8045F">
        <w:rPr>
          <w:rFonts w:ascii="Times New Roman" w:hAnsi="Times New Roman" w:cs="Times New Roman"/>
        </w:rPr>
        <w:t>- 370.2 ± 707.0</w:t>
      </w:r>
      <w:r w:rsidR="00F8045F">
        <w:rPr>
          <w:rFonts w:ascii="Times New Roman" w:hAnsi="Times New Roman" w:cs="Times New Roman"/>
        </w:rPr>
        <w:t>) in comparison to the changes depicted from Pre to Post in Week 4 (</w:t>
      </w:r>
      <w:r w:rsidR="00F8045F" w:rsidRPr="00F8045F">
        <w:rPr>
          <w:rFonts w:ascii="Times New Roman" w:hAnsi="Times New Roman" w:cs="Times New Roman"/>
        </w:rPr>
        <w:t>153.4 ± 865.6</w:t>
      </w:r>
      <w:r w:rsidR="00F8045F">
        <w:rPr>
          <w:rFonts w:ascii="Times New Roman" w:hAnsi="Times New Roman" w:cs="Times New Roman"/>
        </w:rPr>
        <w:t xml:space="preserve">). </w:t>
      </w:r>
    </w:p>
    <w:p w14:paraId="7871F329" w14:textId="4DBF0310" w:rsidR="001F14BB" w:rsidRDefault="00685B16" w:rsidP="00F829B9">
      <w:pPr>
        <w:spacing w:line="480" w:lineRule="auto"/>
        <w:jc w:val="both"/>
        <w:rPr>
          <w:rFonts w:ascii="Times New Roman" w:hAnsi="Times New Roman" w:cs="Times New Roman"/>
        </w:rPr>
      </w:pPr>
      <w:r>
        <w:rPr>
          <w:rFonts w:ascii="Times New Roman" w:hAnsi="Times New Roman" w:cs="Times New Roman"/>
        </w:rPr>
        <w:tab/>
        <w:t>Descriptive statistics for the percent change in T</w:t>
      </w:r>
      <w:r w:rsidR="00212C3E">
        <w:rPr>
          <w:rFonts w:ascii="Times New Roman" w:hAnsi="Times New Roman" w:cs="Times New Roman"/>
        </w:rPr>
        <w:t>:C</w:t>
      </w:r>
      <w:r>
        <w:rPr>
          <w:rFonts w:ascii="Times New Roman" w:hAnsi="Times New Roman" w:cs="Times New Roman"/>
        </w:rPr>
        <w:t xml:space="preserve"> are outlined in Table </w:t>
      </w:r>
      <w:r w:rsidR="00A76876">
        <w:rPr>
          <w:rFonts w:ascii="Times New Roman" w:hAnsi="Times New Roman" w:cs="Times New Roman"/>
        </w:rPr>
        <w:t>8</w:t>
      </w:r>
      <w:r>
        <w:rPr>
          <w:rFonts w:ascii="Times New Roman" w:hAnsi="Times New Roman" w:cs="Times New Roman"/>
        </w:rPr>
        <w:t>.</w:t>
      </w:r>
      <w:r w:rsidR="00F8045F" w:rsidRPr="00F8045F">
        <w:rPr>
          <w:rFonts w:ascii="Times New Roman" w:hAnsi="Times New Roman" w:cs="Times New Roman"/>
        </w:rPr>
        <w:t xml:space="preserve"> </w:t>
      </w:r>
      <w:r w:rsidR="00F8045F">
        <w:rPr>
          <w:rFonts w:ascii="Times New Roman" w:hAnsi="Times New Roman" w:cs="Times New Roman"/>
        </w:rPr>
        <w:t xml:space="preserve">When examining the percent change, there was a significant (p = 0.012) </w:t>
      </w:r>
      <w:r w:rsidR="00901209">
        <w:rPr>
          <w:rFonts w:ascii="Times New Roman" w:hAnsi="Times New Roman" w:cs="Times New Roman"/>
        </w:rPr>
        <w:t>increase</w:t>
      </w:r>
      <w:r w:rsidR="00F8045F">
        <w:rPr>
          <w:rFonts w:ascii="Times New Roman" w:hAnsi="Times New Roman" w:cs="Times New Roman"/>
        </w:rPr>
        <w:t xml:space="preserve"> from Pre to Post in Week 1 (</w:t>
      </w:r>
      <w:r w:rsidR="00F8045F" w:rsidRPr="00F8045F">
        <w:rPr>
          <w:rFonts w:ascii="Times New Roman" w:hAnsi="Times New Roman" w:cs="Times New Roman"/>
        </w:rPr>
        <w:t>- 25.8 ± 54.3</w:t>
      </w:r>
      <w:r w:rsidR="00F8045F">
        <w:rPr>
          <w:rFonts w:ascii="Times New Roman" w:hAnsi="Times New Roman" w:cs="Times New Roman"/>
        </w:rPr>
        <w:t>) compared to changes observed from Pre to Post in Week 4 (</w:t>
      </w:r>
      <w:r w:rsidR="00F8045F" w:rsidRPr="00F8045F">
        <w:rPr>
          <w:rFonts w:ascii="Times New Roman" w:hAnsi="Times New Roman" w:cs="Times New Roman"/>
        </w:rPr>
        <w:t>45.2 ± 101.3</w:t>
      </w:r>
      <w:r w:rsidR="00F8045F">
        <w:rPr>
          <w:rFonts w:ascii="Times New Roman" w:hAnsi="Times New Roman" w:cs="Times New Roman"/>
        </w:rPr>
        <w:t xml:space="preserve">). </w:t>
      </w:r>
    </w:p>
    <w:p w14:paraId="33E565DD" w14:textId="02819C17" w:rsidR="00DD634D" w:rsidRDefault="00DD634D" w:rsidP="00F829B9">
      <w:pPr>
        <w:spacing w:line="480" w:lineRule="auto"/>
        <w:jc w:val="both"/>
        <w:rPr>
          <w:rFonts w:ascii="Times New Roman" w:hAnsi="Times New Roman" w:cs="Times New Roman"/>
        </w:rPr>
      </w:pPr>
    </w:p>
    <w:p w14:paraId="414DD8CD" w14:textId="77777777" w:rsidR="00DD634D" w:rsidRDefault="00DD634D" w:rsidP="00F829B9">
      <w:pPr>
        <w:spacing w:line="480" w:lineRule="auto"/>
        <w:jc w:val="both"/>
        <w:rPr>
          <w:rFonts w:ascii="Times New Roman" w:hAnsi="Times New Roman" w:cs="Times New Roman"/>
        </w:rPr>
      </w:pPr>
    </w:p>
    <w:p w14:paraId="039D5DFE" w14:textId="433419E0" w:rsidR="00925918" w:rsidRDefault="00D573D7" w:rsidP="00925918">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19B1044C" wp14:editId="67470910">
            <wp:extent cx="4139426" cy="4883285"/>
            <wp:effectExtent l="0" t="0" r="1270" b="0"/>
            <wp:docPr id="26" name="Picture 26"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antenna&#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381186" cy="5168489"/>
                    </a:xfrm>
                    <a:prstGeom prst="rect">
                      <a:avLst/>
                    </a:prstGeom>
                  </pic:spPr>
                </pic:pic>
              </a:graphicData>
            </a:graphic>
          </wp:inline>
        </w:drawing>
      </w:r>
    </w:p>
    <w:p w14:paraId="55CCF54B" w14:textId="40D17A38" w:rsidR="00925918" w:rsidRDefault="004D3250" w:rsidP="008112DA">
      <w:pPr>
        <w:spacing w:line="480" w:lineRule="auto"/>
        <w:jc w:val="center"/>
        <w:rPr>
          <w:rFonts w:ascii="Times New Roman" w:hAnsi="Times New Roman" w:cs="Times New Roman"/>
        </w:rPr>
      </w:pPr>
      <w:r>
        <w:rPr>
          <w:noProof/>
        </w:rPr>
        <mc:AlternateContent>
          <mc:Choice Requires="wps">
            <w:drawing>
              <wp:anchor distT="0" distB="0" distL="114300" distR="114300" simplePos="0" relativeHeight="251712512" behindDoc="0" locked="0" layoutInCell="1" allowOverlap="1" wp14:anchorId="25118F91" wp14:editId="6E0AF5B4">
                <wp:simplePos x="0" y="0"/>
                <wp:positionH relativeFrom="column">
                  <wp:posOffset>1259718</wp:posOffset>
                </wp:positionH>
                <wp:positionV relativeFrom="paragraph">
                  <wp:posOffset>171842</wp:posOffset>
                </wp:positionV>
                <wp:extent cx="3442970" cy="635"/>
                <wp:effectExtent l="0" t="0" r="0" b="12065"/>
                <wp:wrapTopAndBottom/>
                <wp:docPr id="66" name="Text Box 66"/>
                <wp:cNvGraphicFramePr/>
                <a:graphic xmlns:a="http://schemas.openxmlformats.org/drawingml/2006/main">
                  <a:graphicData uri="http://schemas.microsoft.com/office/word/2010/wordprocessingShape">
                    <wps:wsp>
                      <wps:cNvSpPr txBox="1"/>
                      <wps:spPr>
                        <a:xfrm>
                          <a:off x="0" y="0"/>
                          <a:ext cx="3442970" cy="635"/>
                        </a:xfrm>
                        <a:prstGeom prst="rect">
                          <a:avLst/>
                        </a:prstGeom>
                        <a:solidFill>
                          <a:prstClr val="white"/>
                        </a:solidFill>
                        <a:ln>
                          <a:noFill/>
                        </a:ln>
                      </wps:spPr>
                      <wps:txbx>
                        <w:txbxContent>
                          <w:p w14:paraId="71D947B3" w14:textId="3C47C7B9" w:rsidR="00025675" w:rsidRPr="00025675" w:rsidRDefault="00025675" w:rsidP="00025675">
                            <w:pPr>
                              <w:pStyle w:val="Caption"/>
                              <w:jc w:val="center"/>
                              <w:rPr>
                                <w:rFonts w:ascii="Times New Roman" w:hAnsi="Times New Roman"/>
                                <w:sz w:val="20"/>
                                <w:szCs w:val="20"/>
                              </w:rPr>
                            </w:pPr>
                            <w:bookmarkStart w:id="82" w:name="_Toc100670674"/>
                            <w:r w:rsidRPr="00025675">
                              <w:rPr>
                                <w:rFonts w:ascii="Times New Roman" w:hAnsi="Times New Roman"/>
                                <w:sz w:val="20"/>
                                <w:szCs w:val="20"/>
                              </w:rPr>
                              <w:t xml:space="preserve">Figure </w:t>
                            </w:r>
                            <w:r w:rsidRPr="00025675">
                              <w:rPr>
                                <w:rFonts w:ascii="Times New Roman" w:hAnsi="Times New Roman"/>
                                <w:sz w:val="20"/>
                                <w:szCs w:val="20"/>
                              </w:rPr>
                              <w:fldChar w:fldCharType="begin"/>
                            </w:r>
                            <w:r w:rsidRPr="00025675">
                              <w:rPr>
                                <w:rFonts w:ascii="Times New Roman" w:hAnsi="Times New Roman"/>
                                <w:sz w:val="20"/>
                                <w:szCs w:val="20"/>
                              </w:rPr>
                              <w:instrText xml:space="preserve"> SEQ Figure \* ARABIC </w:instrText>
                            </w:r>
                            <w:r w:rsidRPr="00025675">
                              <w:rPr>
                                <w:rFonts w:ascii="Times New Roman" w:hAnsi="Times New Roman"/>
                                <w:sz w:val="20"/>
                                <w:szCs w:val="20"/>
                              </w:rPr>
                              <w:fldChar w:fldCharType="separate"/>
                            </w:r>
                            <w:r w:rsidR="002101E0">
                              <w:rPr>
                                <w:rFonts w:ascii="Times New Roman" w:hAnsi="Times New Roman"/>
                                <w:noProof/>
                                <w:sz w:val="20"/>
                                <w:szCs w:val="20"/>
                              </w:rPr>
                              <w:t>10</w:t>
                            </w:r>
                            <w:r w:rsidRPr="00025675">
                              <w:rPr>
                                <w:rFonts w:ascii="Times New Roman" w:hAnsi="Times New Roman"/>
                                <w:sz w:val="20"/>
                                <w:szCs w:val="20"/>
                              </w:rPr>
                              <w:fldChar w:fldCharType="end"/>
                            </w:r>
                            <w:r w:rsidRPr="00025675">
                              <w:rPr>
                                <w:rFonts w:ascii="Times New Roman" w:hAnsi="Times New Roman"/>
                                <w:sz w:val="20"/>
                                <w:szCs w:val="20"/>
                              </w:rPr>
                              <w:t>. Endocrine Baseline Assessments</w:t>
                            </w:r>
                            <w:bookmarkEnd w:id="82"/>
                          </w:p>
                          <w:p w14:paraId="0137475C" w14:textId="40B952B0" w:rsidR="00025675" w:rsidRPr="00025675" w:rsidRDefault="00025675" w:rsidP="00025675">
                            <w:pPr>
                              <w:rPr>
                                <w:rFonts w:ascii="Times New Roman" w:hAnsi="Times New Roman" w:cs="Times New Roman"/>
                                <w:sz w:val="20"/>
                                <w:szCs w:val="20"/>
                                <w:lang w:bidi="en-US"/>
                              </w:rPr>
                            </w:pPr>
                          </w:p>
                          <w:p w14:paraId="20A6019B" w14:textId="3AAE723F" w:rsidR="00025675" w:rsidRPr="00025675" w:rsidRDefault="00025675" w:rsidP="00025675">
                            <w:pPr>
                              <w:jc w:val="center"/>
                              <w:rPr>
                                <w:rFonts w:ascii="Times New Roman" w:hAnsi="Times New Roman" w:cs="Times New Roman"/>
                                <w:sz w:val="20"/>
                                <w:szCs w:val="20"/>
                                <w:lang w:bidi="en-US"/>
                              </w:rPr>
                            </w:pPr>
                            <w:r>
                              <w:rPr>
                                <w:rFonts w:ascii="Times New Roman" w:hAnsi="Times New Roman" w:cs="Times New Roman"/>
                                <w:sz w:val="20"/>
                                <w:szCs w:val="20"/>
                                <w:lang w:bidi="en-US"/>
                              </w:rPr>
                              <w:t>Note: Data presented as Mean (Standard Error); Pre = Pre-Practice; * = Significant difference, set at p ≤ 0.05.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5118F91" id="Text Box 66" o:spid="_x0000_s1035" type="#_x0000_t202" style="position:absolute;left:0;text-align:left;margin-left:99.2pt;margin-top:13.55pt;width:271.1pt;height:.0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" stroked="f">
                <v:textbox style="mso-fit-shape-to-text:t" inset="0,0,0,0">
                  <w:txbxContent>
                    <w:p w14:paraId="71D947B3" w14:textId="3C47C7B9" w:rsidR="00025675" w:rsidRPr="00025675" w:rsidRDefault="00025675" w:rsidP="00025675">
                      <w:pPr>
                        <w:pStyle w:val="Caption"/>
                        <w:jc w:val="center"/>
                        <w:rPr>
                          <w:rFonts w:ascii="Times New Roman" w:hAnsi="Times New Roman"/>
                          <w:sz w:val="20"/>
                          <w:szCs w:val="20"/>
                        </w:rPr>
                      </w:pPr>
                      <w:bookmarkStart w:id="92" w:name="_Toc100670674"/>
                      <w:r w:rsidRPr="00025675">
                        <w:rPr>
                          <w:rFonts w:ascii="Times New Roman" w:hAnsi="Times New Roman"/>
                          <w:sz w:val="20"/>
                          <w:szCs w:val="20"/>
                        </w:rPr>
                        <w:t xml:space="preserve">Figure </w:t>
                      </w:r>
                      <w:r w:rsidRPr="00025675">
                        <w:rPr>
                          <w:rFonts w:ascii="Times New Roman" w:hAnsi="Times New Roman"/>
                          <w:sz w:val="20"/>
                          <w:szCs w:val="20"/>
                        </w:rPr>
                        <w:fldChar w:fldCharType="begin"/>
                      </w:r>
                      <w:r w:rsidRPr="00025675">
                        <w:rPr>
                          <w:rFonts w:ascii="Times New Roman" w:hAnsi="Times New Roman"/>
                          <w:sz w:val="20"/>
                          <w:szCs w:val="20"/>
                        </w:rPr>
                        <w:instrText xml:space="preserve"> SEQ Figure \* ARABIC </w:instrText>
                      </w:r>
                      <w:r w:rsidRPr="00025675">
                        <w:rPr>
                          <w:rFonts w:ascii="Times New Roman" w:hAnsi="Times New Roman"/>
                          <w:sz w:val="20"/>
                          <w:szCs w:val="20"/>
                        </w:rPr>
                        <w:fldChar w:fldCharType="separate"/>
                      </w:r>
                      <w:r w:rsidR="002101E0">
                        <w:rPr>
                          <w:rFonts w:ascii="Times New Roman" w:hAnsi="Times New Roman"/>
                          <w:noProof/>
                          <w:sz w:val="20"/>
                          <w:szCs w:val="20"/>
                        </w:rPr>
                        <w:t>10</w:t>
                      </w:r>
                      <w:r w:rsidRPr="00025675">
                        <w:rPr>
                          <w:rFonts w:ascii="Times New Roman" w:hAnsi="Times New Roman"/>
                          <w:sz w:val="20"/>
                          <w:szCs w:val="20"/>
                        </w:rPr>
                        <w:fldChar w:fldCharType="end"/>
                      </w:r>
                      <w:r w:rsidRPr="00025675">
                        <w:rPr>
                          <w:rFonts w:ascii="Times New Roman" w:hAnsi="Times New Roman"/>
                          <w:sz w:val="20"/>
                          <w:szCs w:val="20"/>
                        </w:rPr>
                        <w:t>. Endocrine Baseline Assessments</w:t>
                      </w:r>
                      <w:bookmarkEnd w:id="92"/>
                    </w:p>
                    <w:p w14:paraId="0137475C" w14:textId="40B952B0" w:rsidR="00025675" w:rsidRPr="00025675" w:rsidRDefault="00025675" w:rsidP="00025675">
                      <w:pPr>
                        <w:rPr>
                          <w:rFonts w:ascii="Times New Roman" w:hAnsi="Times New Roman" w:cs="Times New Roman"/>
                          <w:sz w:val="20"/>
                          <w:szCs w:val="20"/>
                          <w:lang w:bidi="en-US"/>
                        </w:rPr>
                      </w:pPr>
                    </w:p>
                    <w:p w14:paraId="20A6019B" w14:textId="3AAE723F" w:rsidR="00025675" w:rsidRPr="00025675" w:rsidRDefault="00025675" w:rsidP="00025675">
                      <w:pPr>
                        <w:jc w:val="center"/>
                        <w:rPr>
                          <w:rFonts w:ascii="Times New Roman" w:hAnsi="Times New Roman" w:cs="Times New Roman"/>
                          <w:sz w:val="20"/>
                          <w:szCs w:val="20"/>
                          <w:lang w:bidi="en-US"/>
                        </w:rPr>
                      </w:pPr>
                      <w:r>
                        <w:rPr>
                          <w:rFonts w:ascii="Times New Roman" w:hAnsi="Times New Roman" w:cs="Times New Roman"/>
                          <w:sz w:val="20"/>
                          <w:szCs w:val="20"/>
                          <w:lang w:bidi="en-US"/>
                        </w:rPr>
                        <w:t>Note: Data presented as Mean (Standard Error); Pre = Pre-Practice; * = Significant difference, set at p ≤ 0.05.</w:t>
                      </w:r>
                    </w:p>
                  </w:txbxContent>
                </v:textbox>
                <w10:wrap type="topAndBottom"/>
              </v:shape>
            </w:pict>
          </mc:Fallback>
        </mc:AlternateContent>
      </w:r>
    </w:p>
    <w:p w14:paraId="11F4B079" w14:textId="1FD3B1E3" w:rsidR="004F5C80" w:rsidRPr="004F5C80" w:rsidRDefault="004F5C80" w:rsidP="004F5C80">
      <w:pPr>
        <w:pStyle w:val="Caption"/>
        <w:keepNext/>
        <w:rPr>
          <w:rFonts w:ascii="Times New Roman" w:hAnsi="Times New Roman"/>
        </w:rPr>
      </w:pPr>
      <w:bookmarkStart w:id="83" w:name="_Toc93726101"/>
      <w:r w:rsidRPr="004F5C80">
        <w:rPr>
          <w:rFonts w:ascii="Times New Roman" w:hAnsi="Times New Roman"/>
        </w:rPr>
        <w:t xml:space="preserve">Table </w:t>
      </w:r>
      <w:r w:rsidRPr="004F5C80">
        <w:rPr>
          <w:rFonts w:ascii="Times New Roman" w:hAnsi="Times New Roman"/>
        </w:rPr>
        <w:fldChar w:fldCharType="begin"/>
      </w:r>
      <w:r w:rsidRPr="004F5C80">
        <w:rPr>
          <w:rFonts w:ascii="Times New Roman" w:hAnsi="Times New Roman"/>
        </w:rPr>
        <w:instrText xml:space="preserve"> SEQ Table \* ARABIC </w:instrText>
      </w:r>
      <w:r w:rsidRPr="004F5C80">
        <w:rPr>
          <w:rFonts w:ascii="Times New Roman" w:hAnsi="Times New Roman"/>
        </w:rPr>
        <w:fldChar w:fldCharType="separate"/>
      </w:r>
      <w:r w:rsidR="002101E0">
        <w:rPr>
          <w:rFonts w:ascii="Times New Roman" w:hAnsi="Times New Roman"/>
          <w:noProof/>
        </w:rPr>
        <w:t>5</w:t>
      </w:r>
      <w:r w:rsidRPr="004F5C80">
        <w:rPr>
          <w:rFonts w:ascii="Times New Roman" w:hAnsi="Times New Roman"/>
        </w:rPr>
        <w:fldChar w:fldCharType="end"/>
      </w:r>
      <w:r w:rsidRPr="004F5C80">
        <w:rPr>
          <w:rFonts w:ascii="Times New Roman" w:hAnsi="Times New Roman"/>
        </w:rPr>
        <w:t>. Endocrine Baseline Measurements.</w:t>
      </w:r>
      <w:bookmarkEnd w:id="83"/>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9"/>
        <w:gridCol w:w="2153"/>
        <w:gridCol w:w="2576"/>
        <w:gridCol w:w="1917"/>
        <w:gridCol w:w="1185"/>
      </w:tblGrid>
      <w:tr w:rsidR="0057738D" w:rsidRPr="005C5513" w14:paraId="745FEAAA" w14:textId="7571B11A" w:rsidTr="0057738D">
        <w:trPr>
          <w:trHeight w:val="471"/>
          <w:jc w:val="center"/>
        </w:trPr>
        <w:tc>
          <w:tcPr>
            <w:tcW w:w="817" w:type="pct"/>
            <w:tcBorders>
              <w:top w:val="single" w:sz="12" w:space="0" w:color="auto"/>
            </w:tcBorders>
            <w:noWrap/>
            <w:vAlign w:val="center"/>
            <w:hideMark/>
          </w:tcPr>
          <w:p w14:paraId="2ED6DEC2" w14:textId="77777777" w:rsidR="0057738D" w:rsidRPr="005C5513" w:rsidRDefault="0057738D" w:rsidP="00474036">
            <w:pPr>
              <w:adjustRightInd w:val="0"/>
              <w:ind w:firstLine="720"/>
              <w:jc w:val="center"/>
              <w:rPr>
                <w:rFonts w:ascii="Times New Roman" w:hAnsi="Times New Roman" w:cs="Times New Roman"/>
                <w:sz w:val="20"/>
                <w:szCs w:val="20"/>
              </w:rPr>
            </w:pPr>
          </w:p>
        </w:tc>
        <w:tc>
          <w:tcPr>
            <w:tcW w:w="1150" w:type="pct"/>
            <w:tcBorders>
              <w:top w:val="single" w:sz="12" w:space="0" w:color="auto"/>
            </w:tcBorders>
            <w:noWrap/>
            <w:vAlign w:val="center"/>
            <w:hideMark/>
          </w:tcPr>
          <w:p w14:paraId="429923B8" w14:textId="32069728" w:rsidR="0057738D" w:rsidRPr="005C5513" w:rsidRDefault="0057738D" w:rsidP="00474036">
            <w:pPr>
              <w:adjustRightInd w:val="0"/>
              <w:jc w:val="center"/>
              <w:rPr>
                <w:rFonts w:ascii="Times New Roman" w:hAnsi="Times New Roman" w:cs="Times New Roman"/>
                <w:sz w:val="20"/>
                <w:szCs w:val="20"/>
              </w:rPr>
            </w:pPr>
          </w:p>
        </w:tc>
        <w:tc>
          <w:tcPr>
            <w:tcW w:w="1376" w:type="pct"/>
            <w:tcBorders>
              <w:top w:val="single" w:sz="12" w:space="0" w:color="auto"/>
            </w:tcBorders>
            <w:vAlign w:val="center"/>
          </w:tcPr>
          <w:p w14:paraId="042C76AC" w14:textId="1BEA664B" w:rsidR="0057738D" w:rsidRPr="005C5513" w:rsidRDefault="0057738D" w:rsidP="0047403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Week 1</w:t>
            </w:r>
          </w:p>
        </w:tc>
        <w:tc>
          <w:tcPr>
            <w:tcW w:w="1024" w:type="pct"/>
            <w:tcBorders>
              <w:top w:val="single" w:sz="12" w:space="0" w:color="auto"/>
            </w:tcBorders>
            <w:vAlign w:val="center"/>
          </w:tcPr>
          <w:p w14:paraId="38D14ED2" w14:textId="66617E52" w:rsidR="0057738D" w:rsidRPr="005C5513" w:rsidRDefault="0057738D" w:rsidP="0047403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Week 4</w:t>
            </w:r>
          </w:p>
        </w:tc>
        <w:tc>
          <w:tcPr>
            <w:tcW w:w="633" w:type="pct"/>
            <w:tcBorders>
              <w:top w:val="single" w:sz="12" w:space="0" w:color="auto"/>
            </w:tcBorders>
            <w:vAlign w:val="center"/>
          </w:tcPr>
          <w:p w14:paraId="25A4319A" w14:textId="1D64A7FB" w:rsidR="0057738D" w:rsidRPr="005C5513" w:rsidRDefault="0057738D" w:rsidP="0057738D">
            <w:pPr>
              <w:adjustRightInd w:val="0"/>
              <w:jc w:val="center"/>
              <w:rPr>
                <w:rFonts w:ascii="Times New Roman" w:hAnsi="Times New Roman" w:cs="Times New Roman"/>
                <w:sz w:val="20"/>
                <w:szCs w:val="20"/>
              </w:rPr>
            </w:pPr>
          </w:p>
        </w:tc>
      </w:tr>
      <w:tr w:rsidR="0057738D" w:rsidRPr="005C5513" w14:paraId="075F20B6" w14:textId="270F9DDD" w:rsidTr="0057738D">
        <w:trPr>
          <w:trHeight w:val="444"/>
          <w:jc w:val="center"/>
        </w:trPr>
        <w:tc>
          <w:tcPr>
            <w:tcW w:w="817" w:type="pct"/>
            <w:tcBorders>
              <w:bottom w:val="single" w:sz="4" w:space="0" w:color="auto"/>
            </w:tcBorders>
            <w:noWrap/>
            <w:vAlign w:val="center"/>
            <w:hideMark/>
          </w:tcPr>
          <w:p w14:paraId="1EBA7585" w14:textId="77777777" w:rsidR="0057738D" w:rsidRPr="005C5513" w:rsidRDefault="0057738D" w:rsidP="00474036">
            <w:pPr>
              <w:adjustRightInd w:val="0"/>
              <w:rPr>
                <w:rFonts w:ascii="Times New Roman" w:hAnsi="Times New Roman" w:cs="Times New Roman"/>
                <w:sz w:val="20"/>
                <w:szCs w:val="20"/>
              </w:rPr>
            </w:pPr>
            <w:r w:rsidRPr="005C5513">
              <w:rPr>
                <w:rFonts w:ascii="Times New Roman" w:hAnsi="Times New Roman" w:cs="Times New Roman"/>
                <w:sz w:val="20"/>
                <w:szCs w:val="20"/>
              </w:rPr>
              <w:t>Variable</w:t>
            </w:r>
          </w:p>
        </w:tc>
        <w:tc>
          <w:tcPr>
            <w:tcW w:w="1150" w:type="pct"/>
            <w:tcBorders>
              <w:bottom w:val="single" w:sz="4" w:space="0" w:color="auto"/>
            </w:tcBorders>
            <w:noWrap/>
            <w:vAlign w:val="center"/>
            <w:hideMark/>
          </w:tcPr>
          <w:p w14:paraId="723B293C" w14:textId="154FD0B6" w:rsidR="0057738D" w:rsidRPr="005C5513" w:rsidRDefault="007D3388" w:rsidP="0047403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Baseline Assessment</w:t>
            </w:r>
          </w:p>
        </w:tc>
        <w:tc>
          <w:tcPr>
            <w:tcW w:w="1376" w:type="pct"/>
            <w:tcBorders>
              <w:bottom w:val="single" w:sz="4" w:space="0" w:color="auto"/>
            </w:tcBorders>
            <w:noWrap/>
            <w:vAlign w:val="center"/>
            <w:hideMark/>
          </w:tcPr>
          <w:p w14:paraId="62A9CC4B" w14:textId="0BDBB102" w:rsidR="0057738D" w:rsidRPr="005C5513" w:rsidRDefault="0057738D" w:rsidP="0047403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Pre</w:t>
            </w:r>
          </w:p>
        </w:tc>
        <w:tc>
          <w:tcPr>
            <w:tcW w:w="1024" w:type="pct"/>
            <w:tcBorders>
              <w:bottom w:val="single" w:sz="4" w:space="0" w:color="auto"/>
            </w:tcBorders>
            <w:noWrap/>
            <w:vAlign w:val="center"/>
            <w:hideMark/>
          </w:tcPr>
          <w:p w14:paraId="270F4FDC" w14:textId="4856D9E2" w:rsidR="0057738D" w:rsidRPr="005C5513" w:rsidRDefault="0057738D" w:rsidP="0047403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Pre</w:t>
            </w:r>
          </w:p>
        </w:tc>
        <w:tc>
          <w:tcPr>
            <w:tcW w:w="633" w:type="pct"/>
            <w:tcBorders>
              <w:bottom w:val="single" w:sz="4" w:space="0" w:color="auto"/>
            </w:tcBorders>
            <w:vAlign w:val="center"/>
          </w:tcPr>
          <w:p w14:paraId="1D27F49D" w14:textId="3F191A5E" w:rsidR="0057738D" w:rsidRPr="005C5513" w:rsidRDefault="0057738D" w:rsidP="0057738D">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p-value</w:t>
            </w:r>
          </w:p>
        </w:tc>
      </w:tr>
      <w:tr w:rsidR="007D3388" w:rsidRPr="005C5513" w14:paraId="18924E16" w14:textId="20DFEFE6" w:rsidTr="0057738D">
        <w:trPr>
          <w:trHeight w:val="444"/>
          <w:jc w:val="center"/>
        </w:trPr>
        <w:tc>
          <w:tcPr>
            <w:tcW w:w="817" w:type="pct"/>
            <w:tcBorders>
              <w:top w:val="single" w:sz="4" w:space="0" w:color="auto"/>
            </w:tcBorders>
            <w:noWrap/>
            <w:vAlign w:val="center"/>
            <w:hideMark/>
          </w:tcPr>
          <w:p w14:paraId="67768AAE" w14:textId="77777777" w:rsidR="007D3388" w:rsidRPr="005C5513" w:rsidRDefault="007D3388" w:rsidP="007D3388">
            <w:pPr>
              <w:adjustRightInd w:val="0"/>
              <w:rPr>
                <w:rFonts w:ascii="Times New Roman" w:hAnsi="Times New Roman" w:cs="Times New Roman"/>
                <w:sz w:val="20"/>
                <w:szCs w:val="20"/>
              </w:rPr>
            </w:pPr>
            <w:r w:rsidRPr="005C5513">
              <w:rPr>
                <w:rFonts w:ascii="Times New Roman" w:hAnsi="Times New Roman" w:cs="Times New Roman"/>
                <w:bCs/>
                <w:sz w:val="20"/>
                <w:szCs w:val="20"/>
              </w:rPr>
              <w:t>T (</w:t>
            </w:r>
            <w:proofErr w:type="spellStart"/>
            <w:r w:rsidRPr="005C5513">
              <w:rPr>
                <w:rFonts w:ascii="Times New Roman" w:hAnsi="Times New Roman" w:cs="Times New Roman"/>
                <w:bCs/>
                <w:sz w:val="20"/>
                <w:szCs w:val="20"/>
                <w:lang w:bidi="en-US"/>
              </w:rPr>
              <w:t>pg</w:t>
            </w:r>
            <w:proofErr w:type="spellEnd"/>
            <w:r w:rsidRPr="005C5513">
              <w:rPr>
                <w:rFonts w:ascii="Times New Roman" w:hAnsi="Times New Roman" w:cs="Times New Roman"/>
                <w:bCs/>
                <w:sz w:val="20"/>
                <w:szCs w:val="20"/>
                <w:lang w:bidi="en-US"/>
              </w:rPr>
              <w:t>/mL)</w:t>
            </w:r>
          </w:p>
        </w:tc>
        <w:tc>
          <w:tcPr>
            <w:tcW w:w="1150" w:type="pct"/>
            <w:tcBorders>
              <w:top w:val="single" w:sz="4" w:space="0" w:color="auto"/>
            </w:tcBorders>
            <w:noWrap/>
            <w:vAlign w:val="center"/>
            <w:hideMark/>
          </w:tcPr>
          <w:p w14:paraId="49B327A0" w14:textId="1554531E" w:rsidR="007D3388" w:rsidRPr="005C5513" w:rsidRDefault="0075498B" w:rsidP="007D3388">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176.8 (18.4)</w:t>
            </w:r>
          </w:p>
        </w:tc>
        <w:tc>
          <w:tcPr>
            <w:tcW w:w="1376" w:type="pct"/>
            <w:tcBorders>
              <w:top w:val="single" w:sz="4" w:space="0" w:color="auto"/>
            </w:tcBorders>
            <w:noWrap/>
            <w:vAlign w:val="center"/>
            <w:hideMark/>
          </w:tcPr>
          <w:p w14:paraId="79040CF9" w14:textId="2895D69E" w:rsidR="007D3388" w:rsidRPr="005C5513" w:rsidRDefault="007D3388" w:rsidP="007D3388">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145.8 (22.1)</w:t>
            </w:r>
          </w:p>
        </w:tc>
        <w:tc>
          <w:tcPr>
            <w:tcW w:w="1024" w:type="pct"/>
            <w:tcBorders>
              <w:top w:val="single" w:sz="4" w:space="0" w:color="auto"/>
            </w:tcBorders>
            <w:noWrap/>
            <w:vAlign w:val="center"/>
            <w:hideMark/>
          </w:tcPr>
          <w:p w14:paraId="2B72A338" w14:textId="46633B9F" w:rsidR="007D3388" w:rsidRPr="005C5513" w:rsidRDefault="007D3388" w:rsidP="007D3388">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128.1 (9.0)</w:t>
            </w:r>
          </w:p>
        </w:tc>
        <w:tc>
          <w:tcPr>
            <w:tcW w:w="633" w:type="pct"/>
            <w:tcBorders>
              <w:top w:val="single" w:sz="4" w:space="0" w:color="auto"/>
            </w:tcBorders>
            <w:vAlign w:val="center"/>
          </w:tcPr>
          <w:p w14:paraId="4A02FB42" w14:textId="0D31FEC8" w:rsidR="007D3388" w:rsidRPr="005C5513" w:rsidRDefault="00366219" w:rsidP="007D3388">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0.</w:t>
            </w:r>
            <w:r w:rsidR="00143E4D" w:rsidRPr="005C5513">
              <w:rPr>
                <w:rFonts w:ascii="Times New Roman" w:hAnsi="Times New Roman" w:cs="Times New Roman"/>
                <w:sz w:val="20"/>
                <w:szCs w:val="20"/>
              </w:rPr>
              <w:t>086</w:t>
            </w:r>
          </w:p>
        </w:tc>
      </w:tr>
      <w:tr w:rsidR="007D3388" w:rsidRPr="005C5513" w14:paraId="063B9FC8" w14:textId="6F6DEF5C" w:rsidTr="0057738D">
        <w:trPr>
          <w:trHeight w:val="444"/>
          <w:jc w:val="center"/>
        </w:trPr>
        <w:tc>
          <w:tcPr>
            <w:tcW w:w="817" w:type="pct"/>
            <w:vAlign w:val="center"/>
            <w:hideMark/>
          </w:tcPr>
          <w:p w14:paraId="3FCA7264" w14:textId="77777777" w:rsidR="007D3388" w:rsidRPr="005C5513" w:rsidRDefault="007D3388" w:rsidP="007D3388">
            <w:pPr>
              <w:adjustRightInd w:val="0"/>
              <w:rPr>
                <w:rFonts w:ascii="Times New Roman" w:hAnsi="Times New Roman" w:cs="Times New Roman"/>
                <w:sz w:val="20"/>
                <w:szCs w:val="20"/>
              </w:rPr>
            </w:pPr>
            <w:r w:rsidRPr="005C5513">
              <w:rPr>
                <w:rFonts w:ascii="Times New Roman" w:hAnsi="Times New Roman" w:cs="Times New Roman"/>
                <w:bCs/>
                <w:sz w:val="20"/>
                <w:szCs w:val="20"/>
              </w:rPr>
              <w:t xml:space="preserve">C </w:t>
            </w:r>
            <w:r w:rsidRPr="005C5513">
              <w:rPr>
                <w:rFonts w:ascii="Times New Roman" w:hAnsi="Times New Roman" w:cs="Times New Roman"/>
                <w:bCs/>
                <w:sz w:val="20"/>
                <w:szCs w:val="20"/>
                <w:lang w:bidi="en-US"/>
              </w:rPr>
              <w:t>(µg/dL)</w:t>
            </w:r>
          </w:p>
        </w:tc>
        <w:tc>
          <w:tcPr>
            <w:tcW w:w="1150" w:type="pct"/>
            <w:noWrap/>
            <w:vAlign w:val="center"/>
            <w:hideMark/>
          </w:tcPr>
          <w:p w14:paraId="54933C58" w14:textId="6DC0CBB2" w:rsidR="007D3388" w:rsidRPr="005C5513" w:rsidRDefault="003F52F4" w:rsidP="007D3388">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0.214 (</w:t>
            </w:r>
            <w:r w:rsidR="0075498B" w:rsidRPr="005C5513">
              <w:rPr>
                <w:rFonts w:ascii="Times New Roman" w:hAnsi="Times New Roman" w:cs="Times New Roman"/>
                <w:sz w:val="20"/>
                <w:szCs w:val="20"/>
              </w:rPr>
              <w:t>0.033)</w:t>
            </w:r>
          </w:p>
        </w:tc>
        <w:tc>
          <w:tcPr>
            <w:tcW w:w="1376" w:type="pct"/>
            <w:noWrap/>
            <w:vAlign w:val="center"/>
            <w:hideMark/>
          </w:tcPr>
          <w:p w14:paraId="2F7EE9E4" w14:textId="69CFC114" w:rsidR="007D3388" w:rsidRPr="005C5513" w:rsidRDefault="007D3388" w:rsidP="007D3388">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0.146 (0.017)</w:t>
            </w:r>
          </w:p>
        </w:tc>
        <w:tc>
          <w:tcPr>
            <w:tcW w:w="1024" w:type="pct"/>
            <w:noWrap/>
            <w:vAlign w:val="center"/>
            <w:hideMark/>
          </w:tcPr>
          <w:p w14:paraId="32DF9536" w14:textId="636FD5B1" w:rsidR="007D3388" w:rsidRPr="005C5513" w:rsidRDefault="007D3388" w:rsidP="007D3388">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0.188 (0.032)</w:t>
            </w:r>
          </w:p>
        </w:tc>
        <w:tc>
          <w:tcPr>
            <w:tcW w:w="633" w:type="pct"/>
            <w:vAlign w:val="center"/>
          </w:tcPr>
          <w:p w14:paraId="67849B33" w14:textId="2F8D77F5" w:rsidR="007D3388" w:rsidRPr="005C5513" w:rsidRDefault="00366219" w:rsidP="007D3388">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0.</w:t>
            </w:r>
            <w:r w:rsidR="00143E4D" w:rsidRPr="005C5513">
              <w:rPr>
                <w:rFonts w:ascii="Times New Roman" w:hAnsi="Times New Roman" w:cs="Times New Roman"/>
                <w:sz w:val="20"/>
                <w:szCs w:val="20"/>
              </w:rPr>
              <w:t>282</w:t>
            </w:r>
          </w:p>
        </w:tc>
      </w:tr>
      <w:tr w:rsidR="007D3388" w:rsidRPr="005C5513" w14:paraId="2B9EE037" w14:textId="6542DA41" w:rsidTr="0057738D">
        <w:trPr>
          <w:trHeight w:val="444"/>
          <w:jc w:val="center"/>
        </w:trPr>
        <w:tc>
          <w:tcPr>
            <w:tcW w:w="817" w:type="pct"/>
            <w:tcBorders>
              <w:bottom w:val="single" w:sz="4" w:space="0" w:color="auto"/>
            </w:tcBorders>
            <w:noWrap/>
            <w:vAlign w:val="center"/>
          </w:tcPr>
          <w:p w14:paraId="386D756D" w14:textId="77777777" w:rsidR="007D3388" w:rsidRPr="005C5513" w:rsidRDefault="007D3388" w:rsidP="007D3388">
            <w:pPr>
              <w:adjustRightInd w:val="0"/>
              <w:rPr>
                <w:rFonts w:ascii="Times New Roman" w:hAnsi="Times New Roman" w:cs="Times New Roman"/>
                <w:bCs/>
                <w:sz w:val="20"/>
                <w:szCs w:val="20"/>
              </w:rPr>
            </w:pPr>
            <w:r w:rsidRPr="005C5513">
              <w:rPr>
                <w:rFonts w:ascii="Times New Roman" w:hAnsi="Times New Roman" w:cs="Times New Roman"/>
                <w:bCs/>
                <w:sz w:val="20"/>
                <w:szCs w:val="20"/>
              </w:rPr>
              <w:t>T:C</w:t>
            </w:r>
          </w:p>
        </w:tc>
        <w:tc>
          <w:tcPr>
            <w:tcW w:w="1150" w:type="pct"/>
            <w:tcBorders>
              <w:bottom w:val="single" w:sz="4" w:space="0" w:color="auto"/>
            </w:tcBorders>
            <w:noWrap/>
            <w:vAlign w:val="center"/>
          </w:tcPr>
          <w:p w14:paraId="5A3EB229" w14:textId="76ACF515" w:rsidR="007D3388" w:rsidRPr="005C5513" w:rsidRDefault="00392E32" w:rsidP="007D3388">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949.8 (147.6)</w:t>
            </w:r>
          </w:p>
        </w:tc>
        <w:tc>
          <w:tcPr>
            <w:tcW w:w="1376" w:type="pct"/>
            <w:tcBorders>
              <w:bottom w:val="single" w:sz="4" w:space="0" w:color="auto"/>
            </w:tcBorders>
            <w:noWrap/>
            <w:vAlign w:val="center"/>
          </w:tcPr>
          <w:p w14:paraId="3245A763" w14:textId="37A8987C" w:rsidR="007D3388" w:rsidRPr="005C5513" w:rsidRDefault="007D3388" w:rsidP="007D3388">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1109.1 (149.8)</w:t>
            </w:r>
          </w:p>
        </w:tc>
        <w:tc>
          <w:tcPr>
            <w:tcW w:w="1024" w:type="pct"/>
            <w:tcBorders>
              <w:bottom w:val="single" w:sz="4" w:space="0" w:color="auto"/>
            </w:tcBorders>
            <w:noWrap/>
            <w:vAlign w:val="center"/>
          </w:tcPr>
          <w:p w14:paraId="3533484C" w14:textId="49E75DDD" w:rsidR="007D3388" w:rsidRPr="005C5513" w:rsidRDefault="007D3388" w:rsidP="007D3388">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894.4 (118.2)</w:t>
            </w:r>
          </w:p>
        </w:tc>
        <w:tc>
          <w:tcPr>
            <w:tcW w:w="633" w:type="pct"/>
            <w:tcBorders>
              <w:bottom w:val="single" w:sz="4" w:space="0" w:color="auto"/>
            </w:tcBorders>
            <w:vAlign w:val="center"/>
          </w:tcPr>
          <w:p w14:paraId="50BBCA93" w14:textId="5DBE5931" w:rsidR="007D3388" w:rsidRPr="005C5513" w:rsidRDefault="00143E4D" w:rsidP="007D3388">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0.471</w:t>
            </w:r>
          </w:p>
        </w:tc>
      </w:tr>
      <w:tr w:rsidR="007D3388" w:rsidRPr="005C5513" w14:paraId="39F6B7A8" w14:textId="4F5756DF" w:rsidTr="0057738D">
        <w:trPr>
          <w:trHeight w:val="444"/>
          <w:jc w:val="center"/>
        </w:trPr>
        <w:tc>
          <w:tcPr>
            <w:tcW w:w="5000" w:type="pct"/>
            <w:gridSpan w:val="5"/>
            <w:tcBorders>
              <w:top w:val="single" w:sz="4" w:space="0" w:color="auto"/>
            </w:tcBorders>
            <w:noWrap/>
            <w:vAlign w:val="center"/>
          </w:tcPr>
          <w:p w14:paraId="64AC914F" w14:textId="3EF175DD" w:rsidR="007D3388" w:rsidRPr="005C5513" w:rsidRDefault="007D3388" w:rsidP="007D3388">
            <w:pPr>
              <w:adjustRightInd w:val="0"/>
              <w:rPr>
                <w:rFonts w:ascii="Times New Roman" w:hAnsi="Times New Roman" w:cs="Times New Roman"/>
                <w:sz w:val="18"/>
                <w:szCs w:val="18"/>
              </w:rPr>
            </w:pPr>
            <w:r w:rsidRPr="005C5513">
              <w:rPr>
                <w:rFonts w:ascii="Times New Roman" w:hAnsi="Times New Roman" w:cs="Times New Roman"/>
                <w:sz w:val="18"/>
                <w:szCs w:val="18"/>
              </w:rPr>
              <w:t xml:space="preserve">Data presented as Mean (Standard Error). Pre = </w:t>
            </w:r>
            <w:r w:rsidR="001B479D" w:rsidRPr="005C5513">
              <w:rPr>
                <w:rFonts w:ascii="Times New Roman" w:hAnsi="Times New Roman" w:cs="Times New Roman"/>
                <w:sz w:val="18"/>
                <w:szCs w:val="18"/>
              </w:rPr>
              <w:t>P</w:t>
            </w:r>
            <w:r w:rsidRPr="005C5513">
              <w:rPr>
                <w:rFonts w:ascii="Times New Roman" w:hAnsi="Times New Roman" w:cs="Times New Roman"/>
                <w:sz w:val="18"/>
                <w:szCs w:val="18"/>
              </w:rPr>
              <w:t>re-</w:t>
            </w:r>
            <w:r w:rsidR="001B479D" w:rsidRPr="005C5513">
              <w:rPr>
                <w:rFonts w:ascii="Times New Roman" w:hAnsi="Times New Roman" w:cs="Times New Roman"/>
                <w:sz w:val="18"/>
                <w:szCs w:val="18"/>
              </w:rPr>
              <w:t>P</w:t>
            </w:r>
            <w:r w:rsidRPr="005C5513">
              <w:rPr>
                <w:rFonts w:ascii="Times New Roman" w:hAnsi="Times New Roman" w:cs="Times New Roman"/>
                <w:sz w:val="18"/>
                <w:szCs w:val="18"/>
              </w:rPr>
              <w:t xml:space="preserve">ractice; Post = </w:t>
            </w:r>
            <w:r w:rsidR="001B479D" w:rsidRPr="005C5513">
              <w:rPr>
                <w:rFonts w:ascii="Times New Roman" w:hAnsi="Times New Roman" w:cs="Times New Roman"/>
                <w:sz w:val="18"/>
                <w:szCs w:val="18"/>
              </w:rPr>
              <w:t>P</w:t>
            </w:r>
            <w:r w:rsidRPr="005C5513">
              <w:rPr>
                <w:rFonts w:ascii="Times New Roman" w:hAnsi="Times New Roman" w:cs="Times New Roman"/>
                <w:sz w:val="18"/>
                <w:szCs w:val="18"/>
              </w:rPr>
              <w:t>ost-</w:t>
            </w:r>
            <w:r w:rsidR="001B479D" w:rsidRPr="005C5513">
              <w:rPr>
                <w:rFonts w:ascii="Times New Roman" w:hAnsi="Times New Roman" w:cs="Times New Roman"/>
                <w:sz w:val="18"/>
                <w:szCs w:val="18"/>
              </w:rPr>
              <w:t>P</w:t>
            </w:r>
            <w:r w:rsidRPr="005C5513">
              <w:rPr>
                <w:rFonts w:ascii="Times New Roman" w:hAnsi="Times New Roman" w:cs="Times New Roman"/>
                <w:sz w:val="18"/>
                <w:szCs w:val="18"/>
              </w:rPr>
              <w:t xml:space="preserve">ractice; </w:t>
            </w:r>
            <w:r w:rsidR="003E184F" w:rsidRPr="005C5513">
              <w:rPr>
                <w:rFonts w:ascii="Times New Roman" w:hAnsi="Times New Roman" w:cs="Times New Roman"/>
                <w:sz w:val="18"/>
                <w:szCs w:val="18"/>
              </w:rPr>
              <w:t xml:space="preserve">T = Testosterone; C = Cortisol; </w:t>
            </w:r>
            <w:r w:rsidRPr="005C5513">
              <w:rPr>
                <w:rFonts w:ascii="Times New Roman" w:hAnsi="Times New Roman" w:cs="Times New Roman"/>
                <w:sz w:val="18"/>
                <w:szCs w:val="18"/>
              </w:rPr>
              <w:t xml:space="preserve">T:C = Testosterone to Cortisol Ratio; </w:t>
            </w:r>
            <w:proofErr w:type="spellStart"/>
            <w:r w:rsidR="003E184F" w:rsidRPr="005C5513">
              <w:rPr>
                <w:rFonts w:ascii="Times New Roman" w:hAnsi="Times New Roman" w:cs="Times New Roman"/>
                <w:bCs/>
                <w:sz w:val="18"/>
                <w:szCs w:val="18"/>
                <w:lang w:bidi="en-US"/>
              </w:rPr>
              <w:t>pg</w:t>
            </w:r>
            <w:proofErr w:type="spellEnd"/>
            <w:r w:rsidR="003E184F" w:rsidRPr="005C5513">
              <w:rPr>
                <w:rFonts w:ascii="Times New Roman" w:hAnsi="Times New Roman" w:cs="Times New Roman"/>
                <w:bCs/>
                <w:sz w:val="18"/>
                <w:szCs w:val="18"/>
                <w:lang w:bidi="en-US"/>
              </w:rPr>
              <w:t>/mL</w:t>
            </w:r>
            <w:r w:rsidR="003E184F" w:rsidRPr="005C5513">
              <w:rPr>
                <w:rFonts w:ascii="Times New Roman" w:hAnsi="Times New Roman" w:cs="Times New Roman"/>
                <w:sz w:val="18"/>
                <w:szCs w:val="18"/>
              </w:rPr>
              <w:t xml:space="preserve"> = picograms per milliliter;</w:t>
            </w:r>
            <w:r w:rsidR="003E184F" w:rsidRPr="005C5513">
              <w:rPr>
                <w:rFonts w:ascii="Times New Roman" w:hAnsi="Times New Roman" w:cs="Times New Roman"/>
                <w:bCs/>
                <w:sz w:val="18"/>
                <w:szCs w:val="18"/>
                <w:lang w:bidi="en-US"/>
              </w:rPr>
              <w:t xml:space="preserve"> µg/dL = micrograms per deciliter;</w:t>
            </w:r>
            <w:r w:rsidR="003E184F" w:rsidRPr="005C5513">
              <w:rPr>
                <w:rFonts w:ascii="Times New Roman" w:hAnsi="Times New Roman" w:cs="Times New Roman"/>
                <w:sz w:val="18"/>
                <w:szCs w:val="18"/>
              </w:rPr>
              <w:t xml:space="preserve"> </w:t>
            </w:r>
            <w:r w:rsidRPr="005C5513">
              <w:rPr>
                <w:rFonts w:ascii="Times New Roman" w:hAnsi="Times New Roman" w:cs="Times New Roman"/>
                <w:sz w:val="18"/>
                <w:szCs w:val="18"/>
              </w:rPr>
              <w:t>statistical significance set at p ≤ 0.05</w:t>
            </w:r>
          </w:p>
        </w:tc>
      </w:tr>
    </w:tbl>
    <w:p w14:paraId="294784AC" w14:textId="030A7B7E" w:rsidR="004649E3" w:rsidRDefault="00193307" w:rsidP="00E528A7">
      <w:pPr>
        <w:spacing w:line="480" w:lineRule="auto"/>
        <w:jc w:val="center"/>
        <w:rPr>
          <w:rFonts w:ascii="Times New Roman" w:hAnsi="Times New Roman" w:cs="Times New Roman"/>
        </w:rPr>
      </w:pPr>
      <w:r>
        <w:rPr>
          <w:noProof/>
        </w:rPr>
        <w:lastRenderedPageBreak/>
        <mc:AlternateContent>
          <mc:Choice Requires="wps">
            <w:drawing>
              <wp:anchor distT="0" distB="0" distL="114300" distR="114300" simplePos="0" relativeHeight="251714560" behindDoc="0" locked="0" layoutInCell="1" allowOverlap="1" wp14:anchorId="4A3BC01A" wp14:editId="0B15F8A9">
                <wp:simplePos x="0" y="0"/>
                <wp:positionH relativeFrom="column">
                  <wp:posOffset>261620</wp:posOffset>
                </wp:positionH>
                <wp:positionV relativeFrom="paragraph">
                  <wp:posOffset>4920615</wp:posOffset>
                </wp:positionV>
                <wp:extent cx="5457190" cy="635"/>
                <wp:effectExtent l="0" t="0" r="3810" b="6350"/>
                <wp:wrapTopAndBottom/>
                <wp:docPr id="67" name="Text Box 67"/>
                <wp:cNvGraphicFramePr/>
                <a:graphic xmlns:a="http://schemas.openxmlformats.org/drawingml/2006/main">
                  <a:graphicData uri="http://schemas.microsoft.com/office/word/2010/wordprocessingShape">
                    <wps:wsp>
                      <wps:cNvSpPr txBox="1"/>
                      <wps:spPr>
                        <a:xfrm>
                          <a:off x="0" y="0"/>
                          <a:ext cx="5457190" cy="635"/>
                        </a:xfrm>
                        <a:prstGeom prst="rect">
                          <a:avLst/>
                        </a:prstGeom>
                        <a:solidFill>
                          <a:prstClr val="white"/>
                        </a:solidFill>
                        <a:ln>
                          <a:noFill/>
                        </a:ln>
                      </wps:spPr>
                      <wps:txbx>
                        <w:txbxContent>
                          <w:p w14:paraId="024E2927" w14:textId="743C2415" w:rsidR="00BE2DF4" w:rsidRPr="00BE2DF4" w:rsidRDefault="00BE2DF4" w:rsidP="00BE2DF4">
                            <w:pPr>
                              <w:pStyle w:val="Caption"/>
                              <w:jc w:val="center"/>
                              <w:rPr>
                                <w:rFonts w:ascii="Times New Roman" w:hAnsi="Times New Roman"/>
                                <w:sz w:val="20"/>
                                <w:szCs w:val="20"/>
                              </w:rPr>
                            </w:pPr>
                            <w:bookmarkStart w:id="84" w:name="_Toc100670675"/>
                            <w:r w:rsidRPr="00BE2DF4">
                              <w:rPr>
                                <w:rFonts w:ascii="Times New Roman" w:hAnsi="Times New Roman"/>
                                <w:sz w:val="20"/>
                                <w:szCs w:val="20"/>
                              </w:rPr>
                              <w:t xml:space="preserve">Figure </w:t>
                            </w:r>
                            <w:r w:rsidRPr="00BE2DF4">
                              <w:rPr>
                                <w:rFonts w:ascii="Times New Roman" w:hAnsi="Times New Roman"/>
                                <w:sz w:val="20"/>
                                <w:szCs w:val="20"/>
                              </w:rPr>
                              <w:fldChar w:fldCharType="begin"/>
                            </w:r>
                            <w:r w:rsidRPr="00BE2DF4">
                              <w:rPr>
                                <w:rFonts w:ascii="Times New Roman" w:hAnsi="Times New Roman"/>
                                <w:sz w:val="20"/>
                                <w:szCs w:val="20"/>
                              </w:rPr>
                              <w:instrText xml:space="preserve"> SEQ Figure \* ARABIC </w:instrText>
                            </w:r>
                            <w:r w:rsidRPr="00BE2DF4">
                              <w:rPr>
                                <w:rFonts w:ascii="Times New Roman" w:hAnsi="Times New Roman"/>
                                <w:sz w:val="20"/>
                                <w:szCs w:val="20"/>
                              </w:rPr>
                              <w:fldChar w:fldCharType="separate"/>
                            </w:r>
                            <w:r w:rsidR="002101E0">
                              <w:rPr>
                                <w:rFonts w:ascii="Times New Roman" w:hAnsi="Times New Roman"/>
                                <w:noProof/>
                                <w:sz w:val="20"/>
                                <w:szCs w:val="20"/>
                              </w:rPr>
                              <w:t>11</w:t>
                            </w:r>
                            <w:r w:rsidRPr="00BE2DF4">
                              <w:rPr>
                                <w:rFonts w:ascii="Times New Roman" w:hAnsi="Times New Roman"/>
                                <w:sz w:val="20"/>
                                <w:szCs w:val="20"/>
                              </w:rPr>
                              <w:fldChar w:fldCharType="end"/>
                            </w:r>
                            <w:r w:rsidRPr="00BE2DF4">
                              <w:rPr>
                                <w:rFonts w:ascii="Times New Roman" w:hAnsi="Times New Roman"/>
                                <w:sz w:val="20"/>
                                <w:szCs w:val="20"/>
                              </w:rPr>
                              <w:t>. Endocrine Responses Across Time</w:t>
                            </w:r>
                            <w:bookmarkEnd w:id="84"/>
                          </w:p>
                          <w:p w14:paraId="52172223" w14:textId="5C857EEA" w:rsidR="00BE2DF4" w:rsidRPr="00BE2DF4" w:rsidRDefault="00BE2DF4" w:rsidP="00BE2DF4">
                            <w:pPr>
                              <w:jc w:val="center"/>
                              <w:rPr>
                                <w:rFonts w:ascii="Times New Roman" w:hAnsi="Times New Roman" w:cs="Times New Roman"/>
                                <w:sz w:val="20"/>
                                <w:szCs w:val="20"/>
                                <w:lang w:bidi="en-US"/>
                              </w:rPr>
                            </w:pPr>
                          </w:p>
                          <w:p w14:paraId="0862CDEC" w14:textId="7261F591" w:rsidR="00BE2DF4" w:rsidRPr="00BE2DF4" w:rsidRDefault="00BE2DF4" w:rsidP="00BE2DF4">
                            <w:pPr>
                              <w:jc w:val="center"/>
                              <w:rPr>
                                <w:rFonts w:ascii="Times New Roman" w:hAnsi="Times New Roman" w:cs="Times New Roman"/>
                                <w:sz w:val="20"/>
                                <w:szCs w:val="20"/>
                                <w:lang w:bidi="en-US"/>
                              </w:rPr>
                            </w:pPr>
                            <w:r>
                              <w:rPr>
                                <w:rFonts w:ascii="Times New Roman" w:hAnsi="Times New Roman" w:cs="Times New Roman"/>
                                <w:sz w:val="20"/>
                                <w:szCs w:val="20"/>
                                <w:lang w:bidi="en-US"/>
                              </w:rPr>
                              <w:t xml:space="preserve">Note: Data presented as Mean (Standard Error); Pre = Pre-Practice; Post = Post-Practice; * = </w:t>
                            </w:r>
                            <w:r w:rsidR="00916CDA">
                              <w:rPr>
                                <w:rFonts w:ascii="Times New Roman" w:hAnsi="Times New Roman" w:cs="Times New Roman"/>
                                <w:sz w:val="20"/>
                                <w:szCs w:val="20"/>
                                <w:lang w:bidi="en-US"/>
                              </w:rPr>
                              <w:t xml:space="preserve">Week 1 Pre </w:t>
                            </w:r>
                            <w:r>
                              <w:rPr>
                                <w:rFonts w:ascii="Times New Roman" w:hAnsi="Times New Roman" w:cs="Times New Roman"/>
                                <w:sz w:val="20"/>
                                <w:szCs w:val="20"/>
                                <w:lang w:bidi="en-US"/>
                              </w:rPr>
                              <w:t>significantly different than Post; † = Average of Week 1 and Week 4 Pre significantly different than average of Week 1 and Week 4 Post</w:t>
                            </w:r>
                            <w:r w:rsidR="00193307">
                              <w:rPr>
                                <w:rFonts w:ascii="Times New Roman" w:hAnsi="Times New Roman" w:cs="Times New Roman"/>
                                <w:sz w:val="20"/>
                                <w:szCs w:val="20"/>
                                <w:lang w:bidi="en-US"/>
                              </w:rPr>
                              <w:t xml:space="preserve">; </w:t>
                            </w:r>
                            <w:r w:rsidR="00193307" w:rsidRPr="00193307">
                              <w:rPr>
                                <w:rFonts w:ascii="Times New Roman" w:hAnsi="Times New Roman" w:cs="Times New Roman"/>
                                <w:color w:val="000000" w:themeColor="text1"/>
                                <w:sz w:val="20"/>
                                <w:szCs w:val="20"/>
                              </w:rPr>
                              <w:t>ˇ</w:t>
                            </w:r>
                            <w:r w:rsidR="00193307">
                              <w:rPr>
                                <w:rFonts w:ascii="Times New Roman" w:hAnsi="Times New Roman" w:cs="Times New Roman"/>
                                <w:color w:val="000000" w:themeColor="text1"/>
                                <w:sz w:val="20"/>
                                <w:szCs w:val="20"/>
                              </w:rPr>
                              <w:t xml:space="preserve"> = Week 1 Post is significantly different than Week 4 Post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A3BC01A" id="Text Box 67" o:spid="_x0000_s1036" type="#_x0000_t202" style="position:absolute;left:0;text-align:left;margin-left:20.6pt;margin-top:387.45pt;width:429.7pt;height:.0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" stroked="f">
                <v:textbox style="mso-fit-shape-to-text:t" inset="0,0,0,0">
                  <w:txbxContent>
                    <w:p w14:paraId="024E2927" w14:textId="743C2415" w:rsidR="00BE2DF4" w:rsidRPr="00BE2DF4" w:rsidRDefault="00BE2DF4" w:rsidP="00BE2DF4">
                      <w:pPr>
                        <w:pStyle w:val="Caption"/>
                        <w:jc w:val="center"/>
                        <w:rPr>
                          <w:rFonts w:ascii="Times New Roman" w:hAnsi="Times New Roman"/>
                          <w:sz w:val="20"/>
                          <w:szCs w:val="20"/>
                        </w:rPr>
                      </w:pPr>
                      <w:bookmarkStart w:id="95" w:name="_Toc100670675"/>
                      <w:r w:rsidRPr="00BE2DF4">
                        <w:rPr>
                          <w:rFonts w:ascii="Times New Roman" w:hAnsi="Times New Roman"/>
                          <w:sz w:val="20"/>
                          <w:szCs w:val="20"/>
                        </w:rPr>
                        <w:t xml:space="preserve">Figure </w:t>
                      </w:r>
                      <w:r w:rsidRPr="00BE2DF4">
                        <w:rPr>
                          <w:rFonts w:ascii="Times New Roman" w:hAnsi="Times New Roman"/>
                          <w:sz w:val="20"/>
                          <w:szCs w:val="20"/>
                        </w:rPr>
                        <w:fldChar w:fldCharType="begin"/>
                      </w:r>
                      <w:r w:rsidRPr="00BE2DF4">
                        <w:rPr>
                          <w:rFonts w:ascii="Times New Roman" w:hAnsi="Times New Roman"/>
                          <w:sz w:val="20"/>
                          <w:szCs w:val="20"/>
                        </w:rPr>
                        <w:instrText xml:space="preserve"> SEQ Figure \* ARABIC </w:instrText>
                      </w:r>
                      <w:r w:rsidRPr="00BE2DF4">
                        <w:rPr>
                          <w:rFonts w:ascii="Times New Roman" w:hAnsi="Times New Roman"/>
                          <w:sz w:val="20"/>
                          <w:szCs w:val="20"/>
                        </w:rPr>
                        <w:fldChar w:fldCharType="separate"/>
                      </w:r>
                      <w:r w:rsidR="002101E0">
                        <w:rPr>
                          <w:rFonts w:ascii="Times New Roman" w:hAnsi="Times New Roman"/>
                          <w:noProof/>
                          <w:sz w:val="20"/>
                          <w:szCs w:val="20"/>
                        </w:rPr>
                        <w:t>11</w:t>
                      </w:r>
                      <w:r w:rsidRPr="00BE2DF4">
                        <w:rPr>
                          <w:rFonts w:ascii="Times New Roman" w:hAnsi="Times New Roman"/>
                          <w:sz w:val="20"/>
                          <w:szCs w:val="20"/>
                        </w:rPr>
                        <w:fldChar w:fldCharType="end"/>
                      </w:r>
                      <w:r w:rsidRPr="00BE2DF4">
                        <w:rPr>
                          <w:rFonts w:ascii="Times New Roman" w:hAnsi="Times New Roman"/>
                          <w:sz w:val="20"/>
                          <w:szCs w:val="20"/>
                        </w:rPr>
                        <w:t>. Endocrine Responses Across Time</w:t>
                      </w:r>
                      <w:bookmarkEnd w:id="95"/>
                    </w:p>
                    <w:p w14:paraId="52172223" w14:textId="5C857EEA" w:rsidR="00BE2DF4" w:rsidRPr="00BE2DF4" w:rsidRDefault="00BE2DF4" w:rsidP="00BE2DF4">
                      <w:pPr>
                        <w:jc w:val="center"/>
                        <w:rPr>
                          <w:rFonts w:ascii="Times New Roman" w:hAnsi="Times New Roman" w:cs="Times New Roman"/>
                          <w:sz w:val="20"/>
                          <w:szCs w:val="20"/>
                          <w:lang w:bidi="en-US"/>
                        </w:rPr>
                      </w:pPr>
                    </w:p>
                    <w:p w14:paraId="0862CDEC" w14:textId="7261F591" w:rsidR="00BE2DF4" w:rsidRPr="00BE2DF4" w:rsidRDefault="00BE2DF4" w:rsidP="00BE2DF4">
                      <w:pPr>
                        <w:jc w:val="center"/>
                        <w:rPr>
                          <w:rFonts w:ascii="Times New Roman" w:hAnsi="Times New Roman" w:cs="Times New Roman"/>
                          <w:sz w:val="20"/>
                          <w:szCs w:val="20"/>
                          <w:lang w:bidi="en-US"/>
                        </w:rPr>
                      </w:pPr>
                      <w:r>
                        <w:rPr>
                          <w:rFonts w:ascii="Times New Roman" w:hAnsi="Times New Roman" w:cs="Times New Roman"/>
                          <w:sz w:val="20"/>
                          <w:szCs w:val="20"/>
                          <w:lang w:bidi="en-US"/>
                        </w:rPr>
                        <w:t xml:space="preserve">Note: Data presented as Mean (Standard Error); Pre = Pre-Practice; Post = Post-Practice; * = </w:t>
                      </w:r>
                      <w:r w:rsidR="00916CDA">
                        <w:rPr>
                          <w:rFonts w:ascii="Times New Roman" w:hAnsi="Times New Roman" w:cs="Times New Roman"/>
                          <w:sz w:val="20"/>
                          <w:szCs w:val="20"/>
                          <w:lang w:bidi="en-US"/>
                        </w:rPr>
                        <w:t xml:space="preserve">Week 1 Pre </w:t>
                      </w:r>
                      <w:r>
                        <w:rPr>
                          <w:rFonts w:ascii="Times New Roman" w:hAnsi="Times New Roman" w:cs="Times New Roman"/>
                          <w:sz w:val="20"/>
                          <w:szCs w:val="20"/>
                          <w:lang w:bidi="en-US"/>
                        </w:rPr>
                        <w:t>significantly different than Post; † = Average of Week 1 and Week 4 Pre significantly different than average of Week 1 and Week 4 Post</w:t>
                      </w:r>
                      <w:r w:rsidR="00193307">
                        <w:rPr>
                          <w:rFonts w:ascii="Times New Roman" w:hAnsi="Times New Roman" w:cs="Times New Roman"/>
                          <w:sz w:val="20"/>
                          <w:szCs w:val="20"/>
                          <w:lang w:bidi="en-US"/>
                        </w:rPr>
                        <w:t xml:space="preserve">; </w:t>
                      </w:r>
                      <w:r w:rsidR="00193307" w:rsidRPr="00193307">
                        <w:rPr>
                          <w:rFonts w:ascii="Times New Roman" w:hAnsi="Times New Roman" w:cs="Times New Roman"/>
                          <w:color w:val="000000" w:themeColor="text1"/>
                          <w:sz w:val="20"/>
                          <w:szCs w:val="20"/>
                        </w:rPr>
                        <w:t>ˇ</w:t>
                      </w:r>
                      <w:r w:rsidR="00193307">
                        <w:rPr>
                          <w:rFonts w:ascii="Times New Roman" w:hAnsi="Times New Roman" w:cs="Times New Roman"/>
                          <w:color w:val="000000" w:themeColor="text1"/>
                          <w:sz w:val="20"/>
                          <w:szCs w:val="20"/>
                        </w:rPr>
                        <w:t xml:space="preserve"> = Week 1 Post is significantly different than Week 4 Post</w:t>
                      </w:r>
                    </w:p>
                  </w:txbxContent>
                </v:textbox>
                <w10:wrap type="topAndBottom"/>
              </v:shape>
            </w:pict>
          </mc:Fallback>
        </mc:AlternateContent>
      </w:r>
      <w:r w:rsidR="00B411F2">
        <w:rPr>
          <w:noProof/>
        </w:rPr>
        <w:drawing>
          <wp:inline distT="0" distB="0" distL="0" distR="0" wp14:anchorId="66EC5A1C" wp14:editId="0A99DD3D">
            <wp:extent cx="1994170" cy="48352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6">
                      <a:extLst>
                        <a:ext uri="{28A0092B-C50C-407E-A947-70E740481C1C}">
                          <a14:useLocalDpi xmlns:a14="http://schemas.microsoft.com/office/drawing/2010/main" val="0"/>
                        </a:ext>
                      </a:extLst>
                    </a:blip>
                    <a:stretch>
                      <a:fillRect/>
                    </a:stretch>
                  </pic:blipFill>
                  <pic:spPr>
                    <a:xfrm>
                      <a:off x="0" y="0"/>
                      <a:ext cx="2031677" cy="4926199"/>
                    </a:xfrm>
                    <a:prstGeom prst="rect">
                      <a:avLst/>
                    </a:prstGeom>
                  </pic:spPr>
                </pic:pic>
              </a:graphicData>
            </a:graphic>
          </wp:inline>
        </w:drawing>
      </w:r>
    </w:p>
    <w:p w14:paraId="64CAA68F" w14:textId="6071A66D" w:rsidR="00E528A7" w:rsidRDefault="00E528A7" w:rsidP="00193307">
      <w:pPr>
        <w:jc w:val="center"/>
        <w:rPr>
          <w:rFonts w:ascii="Times New Roman" w:hAnsi="Times New Roman" w:cs="Times New Roman"/>
        </w:rPr>
      </w:pPr>
    </w:p>
    <w:p w14:paraId="2CD6627D" w14:textId="3B4E8DD2" w:rsidR="004F5C80" w:rsidRPr="004F5C80" w:rsidRDefault="004F5C80" w:rsidP="004F5C80">
      <w:pPr>
        <w:pStyle w:val="Caption"/>
        <w:keepNext/>
        <w:rPr>
          <w:rFonts w:ascii="Times New Roman" w:hAnsi="Times New Roman"/>
        </w:rPr>
      </w:pPr>
      <w:bookmarkStart w:id="85" w:name="_Toc93726102"/>
      <w:r w:rsidRPr="004F5C80">
        <w:rPr>
          <w:rFonts w:ascii="Times New Roman" w:hAnsi="Times New Roman"/>
        </w:rPr>
        <w:t xml:space="preserve">Table </w:t>
      </w:r>
      <w:r w:rsidRPr="004F5C80">
        <w:rPr>
          <w:rFonts w:ascii="Times New Roman" w:hAnsi="Times New Roman"/>
        </w:rPr>
        <w:fldChar w:fldCharType="begin"/>
      </w:r>
      <w:r w:rsidRPr="004F5C80">
        <w:rPr>
          <w:rFonts w:ascii="Times New Roman" w:hAnsi="Times New Roman"/>
        </w:rPr>
        <w:instrText xml:space="preserve"> SEQ Table \* ARABIC </w:instrText>
      </w:r>
      <w:r w:rsidRPr="004F5C80">
        <w:rPr>
          <w:rFonts w:ascii="Times New Roman" w:hAnsi="Times New Roman"/>
        </w:rPr>
        <w:fldChar w:fldCharType="separate"/>
      </w:r>
      <w:r w:rsidR="002101E0">
        <w:rPr>
          <w:rFonts w:ascii="Times New Roman" w:hAnsi="Times New Roman"/>
          <w:noProof/>
        </w:rPr>
        <w:t>6</w:t>
      </w:r>
      <w:r w:rsidRPr="004F5C80">
        <w:rPr>
          <w:rFonts w:ascii="Times New Roman" w:hAnsi="Times New Roman"/>
        </w:rPr>
        <w:fldChar w:fldCharType="end"/>
      </w:r>
      <w:r w:rsidRPr="004F5C80">
        <w:rPr>
          <w:rFonts w:ascii="Times New Roman" w:hAnsi="Times New Roman"/>
        </w:rPr>
        <w:t>. Endocrine Responses throughout the Preseason.</w:t>
      </w:r>
      <w:bookmarkEnd w:id="85"/>
    </w:p>
    <w:tbl>
      <w:tblPr>
        <w:tblStyle w:val="TableGrid"/>
        <w:tblW w:w="504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1"/>
        <w:gridCol w:w="1079"/>
        <w:gridCol w:w="1079"/>
        <w:gridCol w:w="1079"/>
        <w:gridCol w:w="1081"/>
        <w:gridCol w:w="900"/>
        <w:gridCol w:w="900"/>
        <w:gridCol w:w="1079"/>
        <w:gridCol w:w="1172"/>
      </w:tblGrid>
      <w:tr w:rsidR="005C0364" w:rsidRPr="005C5513" w14:paraId="62478E83" w14:textId="77777777" w:rsidTr="004F5C80">
        <w:trPr>
          <w:trHeight w:val="471"/>
          <w:jc w:val="center"/>
        </w:trPr>
        <w:tc>
          <w:tcPr>
            <w:tcW w:w="572" w:type="pct"/>
            <w:tcBorders>
              <w:top w:val="single" w:sz="12" w:space="0" w:color="auto"/>
            </w:tcBorders>
            <w:noWrap/>
            <w:vAlign w:val="center"/>
            <w:hideMark/>
          </w:tcPr>
          <w:p w14:paraId="70976DD5" w14:textId="77777777" w:rsidR="00610482" w:rsidRPr="005C5513" w:rsidRDefault="00610482" w:rsidP="005D0506">
            <w:pPr>
              <w:adjustRightInd w:val="0"/>
              <w:ind w:firstLine="720"/>
              <w:jc w:val="center"/>
              <w:rPr>
                <w:rFonts w:ascii="Times New Roman" w:hAnsi="Times New Roman" w:cs="Times New Roman"/>
                <w:sz w:val="20"/>
                <w:szCs w:val="20"/>
              </w:rPr>
            </w:pPr>
          </w:p>
        </w:tc>
        <w:tc>
          <w:tcPr>
            <w:tcW w:w="1142" w:type="pct"/>
            <w:gridSpan w:val="2"/>
            <w:tcBorders>
              <w:top w:val="single" w:sz="12" w:space="0" w:color="auto"/>
            </w:tcBorders>
            <w:noWrap/>
            <w:vAlign w:val="center"/>
            <w:hideMark/>
          </w:tcPr>
          <w:p w14:paraId="3740A24A" w14:textId="77777777" w:rsidR="00610482" w:rsidRPr="005C5513" w:rsidRDefault="00610482"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Week 1</w:t>
            </w:r>
          </w:p>
        </w:tc>
        <w:tc>
          <w:tcPr>
            <w:tcW w:w="1143" w:type="pct"/>
            <w:gridSpan w:val="2"/>
            <w:tcBorders>
              <w:top w:val="single" w:sz="12" w:space="0" w:color="auto"/>
            </w:tcBorders>
            <w:vAlign w:val="center"/>
          </w:tcPr>
          <w:p w14:paraId="7C5D80C2" w14:textId="76CAE1B5" w:rsidR="00610482" w:rsidRPr="005C5513" w:rsidRDefault="00610482"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Week 4</w:t>
            </w:r>
          </w:p>
        </w:tc>
        <w:tc>
          <w:tcPr>
            <w:tcW w:w="952" w:type="pct"/>
            <w:gridSpan w:val="2"/>
            <w:tcBorders>
              <w:top w:val="single" w:sz="12" w:space="0" w:color="auto"/>
              <w:left w:val="nil"/>
            </w:tcBorders>
            <w:noWrap/>
            <w:vAlign w:val="center"/>
            <w:hideMark/>
          </w:tcPr>
          <w:p w14:paraId="160658F0" w14:textId="6A254AB2" w:rsidR="00610482" w:rsidRPr="005C5513" w:rsidRDefault="00E71872"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Pre to Post Effect (</w:t>
            </w:r>
            <w:r w:rsidRPr="005C5513">
              <w:rPr>
                <w:rFonts w:ascii="Times New Roman" w:hAnsi="Times New Roman" w:cs="Times New Roman"/>
                <w:i/>
                <w:iCs/>
                <w:sz w:val="20"/>
                <w:szCs w:val="20"/>
              </w:rPr>
              <w:t>d</w:t>
            </w:r>
            <w:r w:rsidRPr="005C5513">
              <w:rPr>
                <w:rFonts w:ascii="Times New Roman" w:hAnsi="Times New Roman" w:cs="Times New Roman"/>
                <w:sz w:val="20"/>
                <w:szCs w:val="20"/>
              </w:rPr>
              <w:t>)</w:t>
            </w:r>
          </w:p>
        </w:tc>
        <w:tc>
          <w:tcPr>
            <w:tcW w:w="1191" w:type="pct"/>
            <w:gridSpan w:val="2"/>
            <w:tcBorders>
              <w:top w:val="single" w:sz="12" w:space="0" w:color="auto"/>
              <w:left w:val="nil"/>
            </w:tcBorders>
            <w:vAlign w:val="center"/>
          </w:tcPr>
          <w:p w14:paraId="2A218066" w14:textId="744534A9" w:rsidR="00610482" w:rsidRPr="005C5513" w:rsidRDefault="00E71872"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Week 1 to Week 4 Effect (</w:t>
            </w:r>
            <w:r w:rsidRPr="005C5513">
              <w:rPr>
                <w:rFonts w:ascii="Times New Roman" w:hAnsi="Times New Roman" w:cs="Times New Roman"/>
                <w:i/>
                <w:iCs/>
                <w:sz w:val="20"/>
                <w:szCs w:val="20"/>
              </w:rPr>
              <w:t>d</w:t>
            </w:r>
            <w:r w:rsidRPr="005C5513">
              <w:rPr>
                <w:rFonts w:ascii="Times New Roman" w:hAnsi="Times New Roman" w:cs="Times New Roman"/>
                <w:sz w:val="20"/>
                <w:szCs w:val="20"/>
              </w:rPr>
              <w:t>)</w:t>
            </w:r>
          </w:p>
        </w:tc>
      </w:tr>
      <w:tr w:rsidR="005C0364" w:rsidRPr="005C5513" w14:paraId="41BE6C62" w14:textId="77777777" w:rsidTr="004F5C80">
        <w:trPr>
          <w:trHeight w:val="444"/>
          <w:jc w:val="center"/>
        </w:trPr>
        <w:tc>
          <w:tcPr>
            <w:tcW w:w="572" w:type="pct"/>
            <w:tcBorders>
              <w:bottom w:val="single" w:sz="4" w:space="0" w:color="auto"/>
            </w:tcBorders>
            <w:noWrap/>
            <w:vAlign w:val="center"/>
            <w:hideMark/>
          </w:tcPr>
          <w:p w14:paraId="6E33200A" w14:textId="77777777" w:rsidR="002C2BF4" w:rsidRPr="005C5513" w:rsidRDefault="002C2BF4" w:rsidP="005D0506">
            <w:pPr>
              <w:adjustRightInd w:val="0"/>
              <w:rPr>
                <w:rFonts w:ascii="Times New Roman" w:hAnsi="Times New Roman" w:cs="Times New Roman"/>
                <w:sz w:val="20"/>
                <w:szCs w:val="20"/>
              </w:rPr>
            </w:pPr>
            <w:r w:rsidRPr="005C5513">
              <w:rPr>
                <w:rFonts w:ascii="Times New Roman" w:hAnsi="Times New Roman" w:cs="Times New Roman"/>
                <w:sz w:val="20"/>
                <w:szCs w:val="20"/>
              </w:rPr>
              <w:t>Variable</w:t>
            </w:r>
          </w:p>
        </w:tc>
        <w:tc>
          <w:tcPr>
            <w:tcW w:w="571" w:type="pct"/>
            <w:tcBorders>
              <w:bottom w:val="single" w:sz="4" w:space="0" w:color="auto"/>
            </w:tcBorders>
            <w:noWrap/>
            <w:vAlign w:val="center"/>
            <w:hideMark/>
          </w:tcPr>
          <w:p w14:paraId="3A61016A" w14:textId="77777777" w:rsidR="002C2BF4" w:rsidRPr="005C5513" w:rsidRDefault="002C2BF4"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Pre</w:t>
            </w:r>
          </w:p>
        </w:tc>
        <w:tc>
          <w:tcPr>
            <w:tcW w:w="571" w:type="pct"/>
            <w:tcBorders>
              <w:bottom w:val="single" w:sz="4" w:space="0" w:color="auto"/>
            </w:tcBorders>
            <w:noWrap/>
            <w:vAlign w:val="center"/>
            <w:hideMark/>
          </w:tcPr>
          <w:p w14:paraId="36801AFF" w14:textId="77777777" w:rsidR="002C2BF4" w:rsidRPr="005C5513" w:rsidRDefault="002C2BF4"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Post</w:t>
            </w:r>
          </w:p>
        </w:tc>
        <w:tc>
          <w:tcPr>
            <w:tcW w:w="571" w:type="pct"/>
            <w:tcBorders>
              <w:bottom w:val="single" w:sz="4" w:space="0" w:color="auto"/>
            </w:tcBorders>
            <w:noWrap/>
            <w:vAlign w:val="center"/>
            <w:hideMark/>
          </w:tcPr>
          <w:p w14:paraId="6B987A28" w14:textId="2DB5E138" w:rsidR="002C2BF4" w:rsidRPr="005C5513" w:rsidRDefault="00BA77F9"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Pre</w:t>
            </w:r>
          </w:p>
        </w:tc>
        <w:tc>
          <w:tcPr>
            <w:tcW w:w="572" w:type="pct"/>
            <w:tcBorders>
              <w:bottom w:val="single" w:sz="4" w:space="0" w:color="auto"/>
            </w:tcBorders>
            <w:vAlign w:val="center"/>
          </w:tcPr>
          <w:p w14:paraId="53934259" w14:textId="1380A63C" w:rsidR="002C2BF4" w:rsidRPr="005C5513" w:rsidRDefault="00BA77F9"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Post</w:t>
            </w:r>
          </w:p>
        </w:tc>
        <w:tc>
          <w:tcPr>
            <w:tcW w:w="476" w:type="pct"/>
            <w:tcBorders>
              <w:left w:val="nil"/>
              <w:bottom w:val="single" w:sz="4" w:space="0" w:color="auto"/>
            </w:tcBorders>
            <w:noWrap/>
            <w:vAlign w:val="center"/>
            <w:hideMark/>
          </w:tcPr>
          <w:p w14:paraId="536526E0" w14:textId="141A5FCB" w:rsidR="002C2BF4" w:rsidRPr="005C5513" w:rsidRDefault="00BA77F9"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 xml:space="preserve">Week 1 </w:t>
            </w:r>
          </w:p>
        </w:tc>
        <w:tc>
          <w:tcPr>
            <w:tcW w:w="476" w:type="pct"/>
            <w:tcBorders>
              <w:bottom w:val="single" w:sz="4" w:space="0" w:color="auto"/>
            </w:tcBorders>
            <w:noWrap/>
            <w:vAlign w:val="center"/>
            <w:hideMark/>
          </w:tcPr>
          <w:p w14:paraId="6A913158" w14:textId="52D9BAF3" w:rsidR="002C2BF4" w:rsidRPr="005C5513" w:rsidRDefault="00BA77F9"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 xml:space="preserve">Week 4 </w:t>
            </w:r>
          </w:p>
        </w:tc>
        <w:tc>
          <w:tcPr>
            <w:tcW w:w="571" w:type="pct"/>
            <w:tcBorders>
              <w:bottom w:val="single" w:sz="4" w:space="0" w:color="auto"/>
            </w:tcBorders>
            <w:noWrap/>
            <w:vAlign w:val="center"/>
            <w:hideMark/>
          </w:tcPr>
          <w:p w14:paraId="5F1EF23B" w14:textId="02AB05D5" w:rsidR="002C2BF4" w:rsidRPr="005C5513" w:rsidRDefault="005C0364"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Pre to Pre</w:t>
            </w:r>
          </w:p>
        </w:tc>
        <w:tc>
          <w:tcPr>
            <w:tcW w:w="620" w:type="pct"/>
            <w:tcBorders>
              <w:bottom w:val="single" w:sz="4" w:space="0" w:color="auto"/>
            </w:tcBorders>
            <w:vAlign w:val="center"/>
          </w:tcPr>
          <w:p w14:paraId="413FA58A" w14:textId="0BD27A77" w:rsidR="002C2BF4" w:rsidRPr="005C5513" w:rsidRDefault="005C0364"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Post to</w:t>
            </w:r>
            <w:r w:rsidR="00E71872" w:rsidRPr="005C5513">
              <w:rPr>
                <w:rFonts w:ascii="Times New Roman" w:hAnsi="Times New Roman" w:cs="Times New Roman"/>
                <w:sz w:val="20"/>
                <w:szCs w:val="20"/>
              </w:rPr>
              <w:t xml:space="preserve"> </w:t>
            </w:r>
            <w:r w:rsidRPr="005C5513">
              <w:rPr>
                <w:rFonts w:ascii="Times New Roman" w:hAnsi="Times New Roman" w:cs="Times New Roman"/>
                <w:sz w:val="20"/>
                <w:szCs w:val="20"/>
              </w:rPr>
              <w:t>Post</w:t>
            </w:r>
          </w:p>
        </w:tc>
      </w:tr>
      <w:tr w:rsidR="00E71872" w:rsidRPr="005C5513" w14:paraId="39BCDAEF" w14:textId="77777777" w:rsidTr="004F5C80">
        <w:trPr>
          <w:trHeight w:val="444"/>
          <w:jc w:val="center"/>
        </w:trPr>
        <w:tc>
          <w:tcPr>
            <w:tcW w:w="572" w:type="pct"/>
            <w:tcBorders>
              <w:top w:val="single" w:sz="4" w:space="0" w:color="auto"/>
            </w:tcBorders>
            <w:noWrap/>
            <w:vAlign w:val="center"/>
            <w:hideMark/>
          </w:tcPr>
          <w:p w14:paraId="4150CFDB" w14:textId="378F69B4" w:rsidR="00BA77F9" w:rsidRPr="005C5513" w:rsidRDefault="00BA77F9" w:rsidP="00BA77F9">
            <w:pPr>
              <w:adjustRightInd w:val="0"/>
              <w:rPr>
                <w:rFonts w:ascii="Times New Roman" w:hAnsi="Times New Roman" w:cs="Times New Roman"/>
                <w:sz w:val="20"/>
                <w:szCs w:val="20"/>
              </w:rPr>
            </w:pPr>
            <w:r w:rsidRPr="005C5513">
              <w:rPr>
                <w:rFonts w:ascii="Times New Roman" w:hAnsi="Times New Roman" w:cs="Times New Roman"/>
                <w:bCs/>
                <w:sz w:val="20"/>
                <w:szCs w:val="20"/>
              </w:rPr>
              <w:t>T (</w:t>
            </w:r>
            <w:proofErr w:type="spellStart"/>
            <w:r w:rsidRPr="005C5513">
              <w:rPr>
                <w:rFonts w:ascii="Times New Roman" w:hAnsi="Times New Roman" w:cs="Times New Roman"/>
                <w:bCs/>
                <w:sz w:val="20"/>
                <w:szCs w:val="20"/>
                <w:lang w:bidi="en-US"/>
              </w:rPr>
              <w:t>pg</w:t>
            </w:r>
            <w:proofErr w:type="spellEnd"/>
            <w:r w:rsidRPr="005C5513">
              <w:rPr>
                <w:rFonts w:ascii="Times New Roman" w:hAnsi="Times New Roman" w:cs="Times New Roman"/>
                <w:bCs/>
                <w:sz w:val="20"/>
                <w:szCs w:val="20"/>
                <w:lang w:bidi="en-US"/>
              </w:rPr>
              <w:t>/mL)</w:t>
            </w:r>
          </w:p>
        </w:tc>
        <w:tc>
          <w:tcPr>
            <w:tcW w:w="571" w:type="pct"/>
            <w:tcBorders>
              <w:top w:val="single" w:sz="4" w:space="0" w:color="auto"/>
            </w:tcBorders>
            <w:noWrap/>
            <w:vAlign w:val="center"/>
            <w:hideMark/>
          </w:tcPr>
          <w:p w14:paraId="5442DFBF" w14:textId="2FDBE195" w:rsidR="00BA77F9" w:rsidRPr="00627105" w:rsidRDefault="00BA77F9" w:rsidP="00BA77F9">
            <w:pPr>
              <w:adjustRightInd w:val="0"/>
              <w:jc w:val="center"/>
              <w:rPr>
                <w:rFonts w:ascii="Times New Roman" w:hAnsi="Times New Roman" w:cs="Times New Roman"/>
                <w:color w:val="000000" w:themeColor="text1"/>
                <w:sz w:val="20"/>
                <w:szCs w:val="20"/>
              </w:rPr>
            </w:pPr>
            <w:r w:rsidRPr="00627105">
              <w:rPr>
                <w:rFonts w:ascii="Times New Roman" w:hAnsi="Times New Roman" w:cs="Times New Roman"/>
                <w:color w:val="000000" w:themeColor="text1"/>
                <w:sz w:val="20"/>
                <w:szCs w:val="20"/>
              </w:rPr>
              <w:t>145.8 (22.1)</w:t>
            </w:r>
            <w:r w:rsidR="00371FCA" w:rsidRPr="00627105">
              <w:rPr>
                <w:rFonts w:ascii="Times New Roman" w:hAnsi="Times New Roman" w:cs="Times New Roman"/>
                <w:color w:val="000000" w:themeColor="text1"/>
                <w:sz w:val="20"/>
                <w:szCs w:val="20"/>
              </w:rPr>
              <w:t>†</w:t>
            </w:r>
          </w:p>
        </w:tc>
        <w:tc>
          <w:tcPr>
            <w:tcW w:w="571" w:type="pct"/>
            <w:tcBorders>
              <w:top w:val="single" w:sz="4" w:space="0" w:color="auto"/>
            </w:tcBorders>
            <w:noWrap/>
            <w:vAlign w:val="center"/>
            <w:hideMark/>
          </w:tcPr>
          <w:p w14:paraId="248E7E67" w14:textId="3E3CCD9D" w:rsidR="00BA77F9" w:rsidRPr="00627105" w:rsidRDefault="00BA77F9" w:rsidP="00BA77F9">
            <w:pPr>
              <w:adjustRightInd w:val="0"/>
              <w:jc w:val="center"/>
              <w:rPr>
                <w:rFonts w:ascii="Times New Roman" w:hAnsi="Times New Roman" w:cs="Times New Roman"/>
                <w:color w:val="000000" w:themeColor="text1"/>
                <w:sz w:val="20"/>
                <w:szCs w:val="20"/>
              </w:rPr>
            </w:pPr>
            <w:r w:rsidRPr="00627105">
              <w:rPr>
                <w:rFonts w:ascii="Times New Roman" w:hAnsi="Times New Roman" w:cs="Times New Roman"/>
                <w:color w:val="000000" w:themeColor="text1"/>
                <w:sz w:val="20"/>
                <w:szCs w:val="20"/>
              </w:rPr>
              <w:t>221.5 (34.1)</w:t>
            </w:r>
          </w:p>
        </w:tc>
        <w:tc>
          <w:tcPr>
            <w:tcW w:w="571" w:type="pct"/>
            <w:tcBorders>
              <w:top w:val="single" w:sz="4" w:space="0" w:color="auto"/>
            </w:tcBorders>
            <w:noWrap/>
            <w:vAlign w:val="center"/>
            <w:hideMark/>
          </w:tcPr>
          <w:p w14:paraId="0993EAFF" w14:textId="6D2C8239" w:rsidR="00BA77F9" w:rsidRPr="00627105" w:rsidRDefault="00BA77F9" w:rsidP="00BA77F9">
            <w:pPr>
              <w:adjustRightInd w:val="0"/>
              <w:jc w:val="center"/>
              <w:rPr>
                <w:rFonts w:ascii="Times New Roman" w:hAnsi="Times New Roman" w:cs="Times New Roman"/>
                <w:color w:val="000000" w:themeColor="text1"/>
                <w:sz w:val="20"/>
                <w:szCs w:val="20"/>
              </w:rPr>
            </w:pPr>
            <w:r w:rsidRPr="00627105">
              <w:rPr>
                <w:rFonts w:ascii="Times New Roman" w:hAnsi="Times New Roman" w:cs="Times New Roman"/>
                <w:color w:val="000000" w:themeColor="text1"/>
                <w:sz w:val="20"/>
                <w:szCs w:val="20"/>
              </w:rPr>
              <w:t>128.1 (9.0)</w:t>
            </w:r>
            <w:r w:rsidR="00371FCA" w:rsidRPr="00627105">
              <w:rPr>
                <w:rFonts w:ascii="Times New Roman" w:hAnsi="Times New Roman" w:cs="Times New Roman"/>
                <w:color w:val="000000" w:themeColor="text1"/>
                <w:sz w:val="20"/>
                <w:szCs w:val="20"/>
              </w:rPr>
              <w:t xml:space="preserve"> †</w:t>
            </w:r>
          </w:p>
        </w:tc>
        <w:tc>
          <w:tcPr>
            <w:tcW w:w="572" w:type="pct"/>
            <w:tcBorders>
              <w:top w:val="single" w:sz="4" w:space="0" w:color="auto"/>
              <w:right w:val="single" w:sz="4" w:space="0" w:color="auto"/>
            </w:tcBorders>
            <w:vAlign w:val="center"/>
          </w:tcPr>
          <w:p w14:paraId="0AAAE73F" w14:textId="3C1B8DCA" w:rsidR="00BA77F9" w:rsidRPr="00627105" w:rsidRDefault="00BA77F9" w:rsidP="00BA77F9">
            <w:pPr>
              <w:adjustRightInd w:val="0"/>
              <w:jc w:val="center"/>
              <w:rPr>
                <w:rFonts w:ascii="Times New Roman" w:hAnsi="Times New Roman" w:cs="Times New Roman"/>
                <w:color w:val="000000" w:themeColor="text1"/>
                <w:sz w:val="20"/>
                <w:szCs w:val="20"/>
              </w:rPr>
            </w:pPr>
            <w:r w:rsidRPr="00627105">
              <w:rPr>
                <w:rFonts w:ascii="Times New Roman" w:hAnsi="Times New Roman" w:cs="Times New Roman"/>
                <w:color w:val="000000" w:themeColor="text1"/>
                <w:sz w:val="20"/>
                <w:szCs w:val="20"/>
              </w:rPr>
              <w:t>173.9 (16.5)</w:t>
            </w:r>
          </w:p>
        </w:tc>
        <w:tc>
          <w:tcPr>
            <w:tcW w:w="476" w:type="pct"/>
            <w:tcBorders>
              <w:top w:val="single" w:sz="4" w:space="0" w:color="auto"/>
              <w:left w:val="single" w:sz="4" w:space="0" w:color="auto"/>
            </w:tcBorders>
            <w:noWrap/>
            <w:vAlign w:val="center"/>
            <w:hideMark/>
          </w:tcPr>
          <w:p w14:paraId="59760E9D" w14:textId="06ED0631" w:rsidR="00BA77F9" w:rsidRPr="005C5513" w:rsidRDefault="00BA77F9" w:rsidP="00BA77F9">
            <w:pPr>
              <w:adjustRightInd w:val="0"/>
              <w:jc w:val="center"/>
              <w:rPr>
                <w:rFonts w:ascii="Times New Roman" w:hAnsi="Times New Roman" w:cs="Times New Roman"/>
                <w:sz w:val="20"/>
                <w:szCs w:val="20"/>
              </w:rPr>
            </w:pPr>
            <w:r w:rsidRPr="005C5513">
              <w:rPr>
                <w:rFonts w:ascii="Times New Roman" w:hAnsi="Times New Roman" w:cs="Times New Roman"/>
                <w:color w:val="000000"/>
                <w:sz w:val="20"/>
                <w:szCs w:val="20"/>
              </w:rPr>
              <w:t>0.73</w:t>
            </w:r>
          </w:p>
        </w:tc>
        <w:tc>
          <w:tcPr>
            <w:tcW w:w="476" w:type="pct"/>
            <w:tcBorders>
              <w:top w:val="single" w:sz="4" w:space="0" w:color="auto"/>
            </w:tcBorders>
            <w:noWrap/>
            <w:vAlign w:val="center"/>
            <w:hideMark/>
          </w:tcPr>
          <w:p w14:paraId="211B75C1" w14:textId="51165B26" w:rsidR="00BA77F9" w:rsidRPr="005C5513" w:rsidRDefault="00BA77F9" w:rsidP="00BA77F9">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0.96</w:t>
            </w:r>
          </w:p>
        </w:tc>
        <w:tc>
          <w:tcPr>
            <w:tcW w:w="571" w:type="pct"/>
            <w:tcBorders>
              <w:top w:val="single" w:sz="4" w:space="0" w:color="auto"/>
            </w:tcBorders>
            <w:noWrap/>
            <w:vAlign w:val="center"/>
            <w:hideMark/>
          </w:tcPr>
          <w:p w14:paraId="358122FD" w14:textId="47F2A09F" w:rsidR="00BA77F9" w:rsidRPr="005C5513" w:rsidRDefault="005A0A9A" w:rsidP="00BA77F9">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0.29</w:t>
            </w:r>
          </w:p>
        </w:tc>
        <w:tc>
          <w:tcPr>
            <w:tcW w:w="620" w:type="pct"/>
            <w:tcBorders>
              <w:top w:val="single" w:sz="4" w:space="0" w:color="auto"/>
            </w:tcBorders>
            <w:vAlign w:val="center"/>
          </w:tcPr>
          <w:p w14:paraId="36280E64" w14:textId="1C5E1E36" w:rsidR="00BA77F9" w:rsidRPr="005C5513" w:rsidRDefault="005A0A9A" w:rsidP="00BA77F9">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0.49</w:t>
            </w:r>
          </w:p>
        </w:tc>
      </w:tr>
      <w:tr w:rsidR="00E71872" w:rsidRPr="005C5513" w14:paraId="21051202" w14:textId="77777777" w:rsidTr="004F5C80">
        <w:trPr>
          <w:trHeight w:val="444"/>
          <w:jc w:val="center"/>
        </w:trPr>
        <w:tc>
          <w:tcPr>
            <w:tcW w:w="572" w:type="pct"/>
            <w:vAlign w:val="center"/>
            <w:hideMark/>
          </w:tcPr>
          <w:p w14:paraId="1D27DD0A" w14:textId="2215C5E7" w:rsidR="00EF5E1E" w:rsidRPr="005C5513" w:rsidRDefault="00EF5E1E" w:rsidP="00EF5E1E">
            <w:pPr>
              <w:adjustRightInd w:val="0"/>
              <w:rPr>
                <w:rFonts w:ascii="Times New Roman" w:hAnsi="Times New Roman" w:cs="Times New Roman"/>
                <w:sz w:val="20"/>
                <w:szCs w:val="20"/>
              </w:rPr>
            </w:pPr>
            <w:r w:rsidRPr="005C5513">
              <w:rPr>
                <w:rFonts w:ascii="Times New Roman" w:hAnsi="Times New Roman" w:cs="Times New Roman"/>
                <w:bCs/>
                <w:sz w:val="20"/>
                <w:szCs w:val="20"/>
              </w:rPr>
              <w:t xml:space="preserve">C </w:t>
            </w:r>
            <w:r w:rsidRPr="005C5513">
              <w:rPr>
                <w:rFonts w:ascii="Times New Roman" w:hAnsi="Times New Roman" w:cs="Times New Roman"/>
                <w:bCs/>
                <w:sz w:val="20"/>
                <w:szCs w:val="20"/>
                <w:lang w:bidi="en-US"/>
              </w:rPr>
              <w:t>(µg/dL)</w:t>
            </w:r>
          </w:p>
        </w:tc>
        <w:tc>
          <w:tcPr>
            <w:tcW w:w="571" w:type="pct"/>
            <w:noWrap/>
            <w:vAlign w:val="center"/>
            <w:hideMark/>
          </w:tcPr>
          <w:p w14:paraId="1D5796C9" w14:textId="2C08DAF4" w:rsidR="00EF5E1E" w:rsidRPr="00627105" w:rsidRDefault="00EF5E1E" w:rsidP="00EF5E1E">
            <w:pPr>
              <w:adjustRightInd w:val="0"/>
              <w:jc w:val="center"/>
              <w:rPr>
                <w:rFonts w:ascii="Times New Roman" w:hAnsi="Times New Roman" w:cs="Times New Roman"/>
                <w:color w:val="000000" w:themeColor="text1"/>
                <w:sz w:val="20"/>
                <w:szCs w:val="20"/>
              </w:rPr>
            </w:pPr>
            <w:r w:rsidRPr="00627105">
              <w:rPr>
                <w:rFonts w:ascii="Times New Roman" w:hAnsi="Times New Roman" w:cs="Times New Roman"/>
                <w:color w:val="000000" w:themeColor="text1"/>
                <w:sz w:val="20"/>
                <w:szCs w:val="20"/>
              </w:rPr>
              <w:t>0.146 (0.017)</w:t>
            </w:r>
            <w:r w:rsidR="00EB0FE4" w:rsidRPr="00627105">
              <w:rPr>
                <w:rFonts w:ascii="Times New Roman" w:hAnsi="Times New Roman" w:cs="Times New Roman"/>
                <w:color w:val="000000" w:themeColor="text1"/>
                <w:sz w:val="20"/>
                <w:szCs w:val="20"/>
              </w:rPr>
              <w:t>*</w:t>
            </w:r>
            <w:r w:rsidR="00371FCA" w:rsidRPr="00627105">
              <w:rPr>
                <w:rFonts w:ascii="Times New Roman" w:hAnsi="Times New Roman" w:cs="Times New Roman"/>
                <w:color w:val="000000" w:themeColor="text1"/>
                <w:sz w:val="20"/>
                <w:szCs w:val="20"/>
              </w:rPr>
              <w:t>†</w:t>
            </w:r>
          </w:p>
        </w:tc>
        <w:tc>
          <w:tcPr>
            <w:tcW w:w="571" w:type="pct"/>
            <w:noWrap/>
            <w:vAlign w:val="center"/>
            <w:hideMark/>
          </w:tcPr>
          <w:p w14:paraId="444061CE" w14:textId="5C902D3B" w:rsidR="00EF5E1E" w:rsidRPr="00627105" w:rsidRDefault="00EF5E1E" w:rsidP="00EF5E1E">
            <w:pPr>
              <w:adjustRightInd w:val="0"/>
              <w:jc w:val="center"/>
              <w:rPr>
                <w:rFonts w:ascii="Times New Roman" w:hAnsi="Times New Roman" w:cs="Times New Roman"/>
                <w:color w:val="000000" w:themeColor="text1"/>
                <w:sz w:val="20"/>
                <w:szCs w:val="20"/>
              </w:rPr>
            </w:pPr>
            <w:r w:rsidRPr="00627105">
              <w:rPr>
                <w:rFonts w:ascii="Times New Roman" w:hAnsi="Times New Roman" w:cs="Times New Roman"/>
                <w:color w:val="000000" w:themeColor="text1"/>
                <w:sz w:val="20"/>
                <w:szCs w:val="20"/>
              </w:rPr>
              <w:t>0.376 (0.069)</w:t>
            </w:r>
          </w:p>
        </w:tc>
        <w:tc>
          <w:tcPr>
            <w:tcW w:w="571" w:type="pct"/>
            <w:noWrap/>
            <w:vAlign w:val="center"/>
            <w:hideMark/>
          </w:tcPr>
          <w:p w14:paraId="74F4EBEE" w14:textId="6AC486C0" w:rsidR="00EF5E1E" w:rsidRPr="00627105" w:rsidRDefault="00EF5E1E" w:rsidP="00EF5E1E">
            <w:pPr>
              <w:adjustRightInd w:val="0"/>
              <w:jc w:val="center"/>
              <w:rPr>
                <w:rFonts w:ascii="Times New Roman" w:hAnsi="Times New Roman" w:cs="Times New Roman"/>
                <w:color w:val="000000" w:themeColor="text1"/>
                <w:sz w:val="20"/>
                <w:szCs w:val="20"/>
              </w:rPr>
            </w:pPr>
            <w:r w:rsidRPr="00627105">
              <w:rPr>
                <w:rFonts w:ascii="Times New Roman" w:hAnsi="Times New Roman" w:cs="Times New Roman"/>
                <w:color w:val="000000" w:themeColor="text1"/>
                <w:sz w:val="20"/>
                <w:szCs w:val="20"/>
              </w:rPr>
              <w:t>0.188 (0.032)</w:t>
            </w:r>
            <w:r w:rsidR="00371FCA" w:rsidRPr="00627105">
              <w:rPr>
                <w:rFonts w:ascii="Times New Roman" w:hAnsi="Times New Roman" w:cs="Times New Roman"/>
                <w:color w:val="000000" w:themeColor="text1"/>
                <w:sz w:val="20"/>
                <w:szCs w:val="20"/>
              </w:rPr>
              <w:t>†</w:t>
            </w:r>
          </w:p>
        </w:tc>
        <w:tc>
          <w:tcPr>
            <w:tcW w:w="572" w:type="pct"/>
            <w:tcBorders>
              <w:right w:val="single" w:sz="4" w:space="0" w:color="auto"/>
            </w:tcBorders>
            <w:vAlign w:val="center"/>
          </w:tcPr>
          <w:p w14:paraId="730C1054" w14:textId="1876BE06" w:rsidR="00EF5E1E" w:rsidRPr="00627105" w:rsidRDefault="00EF5E1E" w:rsidP="00EF5E1E">
            <w:pPr>
              <w:adjustRightInd w:val="0"/>
              <w:jc w:val="center"/>
              <w:rPr>
                <w:rFonts w:ascii="Times New Roman" w:hAnsi="Times New Roman" w:cs="Times New Roman"/>
                <w:color w:val="000000" w:themeColor="text1"/>
                <w:sz w:val="20"/>
                <w:szCs w:val="20"/>
              </w:rPr>
            </w:pPr>
            <w:r w:rsidRPr="00627105">
              <w:rPr>
                <w:rFonts w:ascii="Times New Roman" w:hAnsi="Times New Roman" w:cs="Times New Roman"/>
                <w:color w:val="000000" w:themeColor="text1"/>
                <w:sz w:val="20"/>
                <w:szCs w:val="20"/>
              </w:rPr>
              <w:t>0.242 (0.049)</w:t>
            </w:r>
          </w:p>
        </w:tc>
        <w:tc>
          <w:tcPr>
            <w:tcW w:w="476" w:type="pct"/>
            <w:tcBorders>
              <w:left w:val="single" w:sz="4" w:space="0" w:color="auto"/>
            </w:tcBorders>
            <w:noWrap/>
            <w:vAlign w:val="center"/>
            <w:hideMark/>
          </w:tcPr>
          <w:p w14:paraId="30DB64EC" w14:textId="40A374D2" w:rsidR="00EF5E1E" w:rsidRPr="005C5513" w:rsidRDefault="00EF5E1E" w:rsidP="00EF5E1E">
            <w:pPr>
              <w:adjustRightInd w:val="0"/>
              <w:jc w:val="center"/>
              <w:rPr>
                <w:rFonts w:ascii="Times New Roman" w:hAnsi="Times New Roman" w:cs="Times New Roman"/>
                <w:sz w:val="20"/>
                <w:szCs w:val="20"/>
              </w:rPr>
            </w:pPr>
            <w:r w:rsidRPr="005C5513">
              <w:rPr>
                <w:rFonts w:ascii="Times New Roman" w:hAnsi="Times New Roman" w:cs="Times New Roman"/>
                <w:color w:val="000000"/>
                <w:sz w:val="20"/>
                <w:szCs w:val="20"/>
              </w:rPr>
              <w:t>1.27</w:t>
            </w:r>
          </w:p>
        </w:tc>
        <w:tc>
          <w:tcPr>
            <w:tcW w:w="476" w:type="pct"/>
            <w:noWrap/>
            <w:vAlign w:val="center"/>
            <w:hideMark/>
          </w:tcPr>
          <w:p w14:paraId="6BBB75B1" w14:textId="415D67D5" w:rsidR="00EF5E1E" w:rsidRPr="005C5513" w:rsidRDefault="00EF5E1E" w:rsidP="00EF5E1E">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0.36</w:t>
            </w:r>
          </w:p>
        </w:tc>
        <w:tc>
          <w:tcPr>
            <w:tcW w:w="571" w:type="pct"/>
            <w:noWrap/>
            <w:vAlign w:val="center"/>
            <w:hideMark/>
          </w:tcPr>
          <w:p w14:paraId="119EFDD7" w14:textId="5FCAA626" w:rsidR="00EF5E1E" w:rsidRPr="005C5513" w:rsidRDefault="00EF5E1E" w:rsidP="00EF5E1E">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0.45</w:t>
            </w:r>
          </w:p>
        </w:tc>
        <w:tc>
          <w:tcPr>
            <w:tcW w:w="620" w:type="pct"/>
            <w:vAlign w:val="center"/>
          </w:tcPr>
          <w:p w14:paraId="1B7CE25F" w14:textId="670E6731" w:rsidR="00EF5E1E" w:rsidRPr="005C5513" w:rsidRDefault="00EF5E1E" w:rsidP="00EF5E1E">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0.62</w:t>
            </w:r>
          </w:p>
        </w:tc>
      </w:tr>
      <w:tr w:rsidR="00E71872" w:rsidRPr="005C5513" w14:paraId="17DDDB1B" w14:textId="77777777" w:rsidTr="004F5C80">
        <w:trPr>
          <w:trHeight w:val="444"/>
          <w:jc w:val="center"/>
        </w:trPr>
        <w:tc>
          <w:tcPr>
            <w:tcW w:w="572" w:type="pct"/>
            <w:tcBorders>
              <w:bottom w:val="single" w:sz="4" w:space="0" w:color="auto"/>
            </w:tcBorders>
            <w:noWrap/>
            <w:vAlign w:val="center"/>
          </w:tcPr>
          <w:p w14:paraId="4A10D03F" w14:textId="5A8D4C35" w:rsidR="00EF5E1E" w:rsidRPr="005C5513" w:rsidRDefault="00EF5E1E" w:rsidP="00EF5E1E">
            <w:pPr>
              <w:adjustRightInd w:val="0"/>
              <w:rPr>
                <w:rFonts w:ascii="Times New Roman" w:hAnsi="Times New Roman" w:cs="Times New Roman"/>
                <w:bCs/>
                <w:sz w:val="20"/>
                <w:szCs w:val="20"/>
              </w:rPr>
            </w:pPr>
            <w:r w:rsidRPr="005C5513">
              <w:rPr>
                <w:rFonts w:ascii="Times New Roman" w:hAnsi="Times New Roman" w:cs="Times New Roman"/>
                <w:bCs/>
                <w:sz w:val="20"/>
                <w:szCs w:val="20"/>
              </w:rPr>
              <w:t>T:C</w:t>
            </w:r>
          </w:p>
        </w:tc>
        <w:tc>
          <w:tcPr>
            <w:tcW w:w="571" w:type="pct"/>
            <w:tcBorders>
              <w:bottom w:val="single" w:sz="4" w:space="0" w:color="auto"/>
            </w:tcBorders>
            <w:noWrap/>
            <w:vAlign w:val="center"/>
          </w:tcPr>
          <w:p w14:paraId="0211DDBA" w14:textId="6A474824" w:rsidR="00EF5E1E" w:rsidRPr="00627105" w:rsidRDefault="00EF5E1E" w:rsidP="00EF5E1E">
            <w:pPr>
              <w:adjustRightInd w:val="0"/>
              <w:jc w:val="center"/>
              <w:rPr>
                <w:rFonts w:ascii="Times New Roman" w:hAnsi="Times New Roman" w:cs="Times New Roman"/>
                <w:color w:val="000000" w:themeColor="text1"/>
                <w:sz w:val="20"/>
                <w:szCs w:val="20"/>
              </w:rPr>
            </w:pPr>
            <w:r w:rsidRPr="00627105">
              <w:rPr>
                <w:rFonts w:ascii="Times New Roman" w:hAnsi="Times New Roman" w:cs="Times New Roman"/>
                <w:color w:val="000000" w:themeColor="text1"/>
                <w:sz w:val="20"/>
                <w:szCs w:val="20"/>
              </w:rPr>
              <w:t>1109.1 (149.8)</w:t>
            </w:r>
          </w:p>
        </w:tc>
        <w:tc>
          <w:tcPr>
            <w:tcW w:w="571" w:type="pct"/>
            <w:tcBorders>
              <w:bottom w:val="single" w:sz="4" w:space="0" w:color="auto"/>
            </w:tcBorders>
            <w:noWrap/>
            <w:vAlign w:val="center"/>
          </w:tcPr>
          <w:p w14:paraId="0273DE13" w14:textId="2EE3C357" w:rsidR="00EF5E1E" w:rsidRPr="00627105" w:rsidRDefault="00EF5E1E" w:rsidP="00EF5E1E">
            <w:pPr>
              <w:adjustRightInd w:val="0"/>
              <w:jc w:val="center"/>
              <w:rPr>
                <w:rFonts w:ascii="Times New Roman" w:hAnsi="Times New Roman" w:cs="Times New Roman"/>
                <w:color w:val="000000" w:themeColor="text1"/>
                <w:sz w:val="20"/>
                <w:szCs w:val="20"/>
              </w:rPr>
            </w:pPr>
            <w:r w:rsidRPr="00627105">
              <w:rPr>
                <w:rFonts w:ascii="Times New Roman" w:hAnsi="Times New Roman" w:cs="Times New Roman"/>
                <w:color w:val="000000" w:themeColor="text1"/>
                <w:sz w:val="20"/>
                <w:szCs w:val="20"/>
              </w:rPr>
              <w:t>739.0 (154.3)</w:t>
            </w:r>
            <w:r w:rsidR="0041013C" w:rsidRPr="00627105">
              <w:rPr>
                <w:rFonts w:ascii="Times New Roman" w:hAnsi="Times New Roman" w:cs="Times New Roman"/>
                <w:color w:val="000000" w:themeColor="text1"/>
                <w:sz w:val="20"/>
                <w:szCs w:val="20"/>
              </w:rPr>
              <w:t>ˇ</w:t>
            </w:r>
          </w:p>
        </w:tc>
        <w:tc>
          <w:tcPr>
            <w:tcW w:w="571" w:type="pct"/>
            <w:tcBorders>
              <w:bottom w:val="single" w:sz="4" w:space="0" w:color="auto"/>
            </w:tcBorders>
            <w:noWrap/>
            <w:vAlign w:val="center"/>
          </w:tcPr>
          <w:p w14:paraId="321B268B" w14:textId="75100C11" w:rsidR="00EF5E1E" w:rsidRPr="00627105" w:rsidRDefault="00EF5E1E" w:rsidP="00EF5E1E">
            <w:pPr>
              <w:adjustRightInd w:val="0"/>
              <w:jc w:val="center"/>
              <w:rPr>
                <w:rFonts w:ascii="Times New Roman" w:hAnsi="Times New Roman" w:cs="Times New Roman"/>
                <w:color w:val="000000" w:themeColor="text1"/>
                <w:sz w:val="20"/>
                <w:szCs w:val="20"/>
              </w:rPr>
            </w:pPr>
            <w:r w:rsidRPr="00627105">
              <w:rPr>
                <w:rFonts w:ascii="Times New Roman" w:hAnsi="Times New Roman" w:cs="Times New Roman"/>
                <w:color w:val="000000" w:themeColor="text1"/>
                <w:sz w:val="20"/>
                <w:szCs w:val="20"/>
              </w:rPr>
              <w:t>894.4 (118.2)</w:t>
            </w:r>
          </w:p>
        </w:tc>
        <w:tc>
          <w:tcPr>
            <w:tcW w:w="572" w:type="pct"/>
            <w:tcBorders>
              <w:bottom w:val="single" w:sz="4" w:space="0" w:color="auto"/>
              <w:right w:val="single" w:sz="4" w:space="0" w:color="auto"/>
            </w:tcBorders>
            <w:vAlign w:val="center"/>
          </w:tcPr>
          <w:p w14:paraId="56A27057" w14:textId="082F0CDC" w:rsidR="00EF5E1E" w:rsidRPr="00627105" w:rsidRDefault="00EF5E1E" w:rsidP="00EF5E1E">
            <w:pPr>
              <w:adjustRightInd w:val="0"/>
              <w:jc w:val="center"/>
              <w:rPr>
                <w:rFonts w:ascii="Times New Roman" w:hAnsi="Times New Roman" w:cs="Times New Roman"/>
                <w:color w:val="000000" w:themeColor="text1"/>
                <w:sz w:val="20"/>
                <w:szCs w:val="20"/>
              </w:rPr>
            </w:pPr>
            <w:r w:rsidRPr="00627105">
              <w:rPr>
                <w:rFonts w:ascii="Times New Roman" w:hAnsi="Times New Roman" w:cs="Times New Roman"/>
                <w:color w:val="000000" w:themeColor="text1"/>
                <w:sz w:val="20"/>
                <w:szCs w:val="20"/>
              </w:rPr>
              <w:t>1047.8 (216.7)</w:t>
            </w:r>
          </w:p>
        </w:tc>
        <w:tc>
          <w:tcPr>
            <w:tcW w:w="476" w:type="pct"/>
            <w:tcBorders>
              <w:left w:val="single" w:sz="4" w:space="0" w:color="auto"/>
              <w:bottom w:val="single" w:sz="4" w:space="0" w:color="auto"/>
            </w:tcBorders>
            <w:noWrap/>
            <w:vAlign w:val="center"/>
          </w:tcPr>
          <w:p w14:paraId="30BCA79A" w14:textId="66D4AE40" w:rsidR="00EF5E1E" w:rsidRPr="005C5513" w:rsidRDefault="00EF5E1E" w:rsidP="00EF5E1E">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0.68</w:t>
            </w:r>
          </w:p>
        </w:tc>
        <w:tc>
          <w:tcPr>
            <w:tcW w:w="476" w:type="pct"/>
            <w:tcBorders>
              <w:bottom w:val="single" w:sz="4" w:space="0" w:color="auto"/>
            </w:tcBorders>
            <w:noWrap/>
            <w:vAlign w:val="center"/>
          </w:tcPr>
          <w:p w14:paraId="50768B4C" w14:textId="3CF268CE" w:rsidR="00EF5E1E" w:rsidRPr="005C5513" w:rsidRDefault="00EF5E1E" w:rsidP="00EF5E1E">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0.24</w:t>
            </w:r>
          </w:p>
        </w:tc>
        <w:tc>
          <w:tcPr>
            <w:tcW w:w="571" w:type="pct"/>
            <w:tcBorders>
              <w:bottom w:val="single" w:sz="4" w:space="0" w:color="auto"/>
            </w:tcBorders>
            <w:noWrap/>
            <w:vAlign w:val="center"/>
          </w:tcPr>
          <w:p w14:paraId="6ECABFF8" w14:textId="143C5E74" w:rsidR="00EF5E1E" w:rsidRPr="005C5513" w:rsidRDefault="009A4F63" w:rsidP="00EF5E1E">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0.44</w:t>
            </w:r>
          </w:p>
        </w:tc>
        <w:tc>
          <w:tcPr>
            <w:tcW w:w="620" w:type="pct"/>
            <w:vAlign w:val="center"/>
          </w:tcPr>
          <w:p w14:paraId="7333735E" w14:textId="600E6B04" w:rsidR="00EF5E1E" w:rsidRPr="005C5513" w:rsidRDefault="009A4F63" w:rsidP="00EF5E1E">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0.46</w:t>
            </w:r>
          </w:p>
        </w:tc>
      </w:tr>
      <w:tr w:rsidR="00EF5E1E" w:rsidRPr="005C5513" w14:paraId="5B5B41B0" w14:textId="77777777" w:rsidTr="000F3FB8">
        <w:trPr>
          <w:trHeight w:val="444"/>
          <w:jc w:val="center"/>
        </w:trPr>
        <w:tc>
          <w:tcPr>
            <w:tcW w:w="5000" w:type="pct"/>
            <w:gridSpan w:val="9"/>
            <w:tcBorders>
              <w:top w:val="single" w:sz="4" w:space="0" w:color="auto"/>
            </w:tcBorders>
            <w:noWrap/>
            <w:vAlign w:val="center"/>
          </w:tcPr>
          <w:p w14:paraId="352B5B53" w14:textId="04E2F969" w:rsidR="00EF5E1E" w:rsidRPr="00D66C52" w:rsidRDefault="00EF5E1E" w:rsidP="00193307">
            <w:pPr>
              <w:rPr>
                <w:rFonts w:ascii="Times New Roman" w:hAnsi="Times New Roman" w:cs="Times New Roman"/>
                <w:sz w:val="18"/>
                <w:szCs w:val="18"/>
                <w:lang w:bidi="en-US"/>
              </w:rPr>
            </w:pPr>
            <w:r w:rsidRPr="00D66C52">
              <w:rPr>
                <w:rFonts w:ascii="Times New Roman" w:hAnsi="Times New Roman" w:cs="Times New Roman"/>
                <w:sz w:val="18"/>
                <w:szCs w:val="18"/>
              </w:rPr>
              <w:t xml:space="preserve">Data presented as Mean (Standard Error). Pre = </w:t>
            </w:r>
            <w:r w:rsidR="001B479D" w:rsidRPr="00D66C52">
              <w:rPr>
                <w:rFonts w:ascii="Times New Roman" w:hAnsi="Times New Roman" w:cs="Times New Roman"/>
                <w:sz w:val="18"/>
                <w:szCs w:val="18"/>
              </w:rPr>
              <w:t>P</w:t>
            </w:r>
            <w:r w:rsidRPr="00D66C52">
              <w:rPr>
                <w:rFonts w:ascii="Times New Roman" w:hAnsi="Times New Roman" w:cs="Times New Roman"/>
                <w:sz w:val="18"/>
                <w:szCs w:val="18"/>
              </w:rPr>
              <w:t>re-</w:t>
            </w:r>
            <w:r w:rsidR="001B479D" w:rsidRPr="00D66C52">
              <w:rPr>
                <w:rFonts w:ascii="Times New Roman" w:hAnsi="Times New Roman" w:cs="Times New Roman"/>
                <w:sz w:val="18"/>
                <w:szCs w:val="18"/>
              </w:rPr>
              <w:t>P</w:t>
            </w:r>
            <w:r w:rsidRPr="00D66C52">
              <w:rPr>
                <w:rFonts w:ascii="Times New Roman" w:hAnsi="Times New Roman" w:cs="Times New Roman"/>
                <w:sz w:val="18"/>
                <w:szCs w:val="18"/>
              </w:rPr>
              <w:t xml:space="preserve">ractice; Post = </w:t>
            </w:r>
            <w:r w:rsidR="001B479D" w:rsidRPr="00D66C52">
              <w:rPr>
                <w:rFonts w:ascii="Times New Roman" w:hAnsi="Times New Roman" w:cs="Times New Roman"/>
                <w:sz w:val="18"/>
                <w:szCs w:val="18"/>
              </w:rPr>
              <w:t>P</w:t>
            </w:r>
            <w:r w:rsidRPr="00D66C52">
              <w:rPr>
                <w:rFonts w:ascii="Times New Roman" w:hAnsi="Times New Roman" w:cs="Times New Roman"/>
                <w:sz w:val="18"/>
                <w:szCs w:val="18"/>
              </w:rPr>
              <w:t>ost-</w:t>
            </w:r>
            <w:r w:rsidR="001B479D" w:rsidRPr="00D66C52">
              <w:rPr>
                <w:rFonts w:ascii="Times New Roman" w:hAnsi="Times New Roman" w:cs="Times New Roman"/>
                <w:sz w:val="18"/>
                <w:szCs w:val="18"/>
              </w:rPr>
              <w:t>P</w:t>
            </w:r>
            <w:r w:rsidRPr="00D66C52">
              <w:rPr>
                <w:rFonts w:ascii="Times New Roman" w:hAnsi="Times New Roman" w:cs="Times New Roman"/>
                <w:sz w:val="18"/>
                <w:szCs w:val="18"/>
              </w:rPr>
              <w:t xml:space="preserve">ractice; </w:t>
            </w:r>
            <w:r w:rsidR="003E184F" w:rsidRPr="00D66C52">
              <w:rPr>
                <w:rFonts w:ascii="Times New Roman" w:hAnsi="Times New Roman" w:cs="Times New Roman"/>
                <w:sz w:val="18"/>
                <w:szCs w:val="18"/>
              </w:rPr>
              <w:t xml:space="preserve">T = Testosterone; C = Cortisol; T:C = Testosterone to Cortisol Ratio; </w:t>
            </w:r>
            <w:proofErr w:type="spellStart"/>
            <w:r w:rsidR="003E184F" w:rsidRPr="00D66C52">
              <w:rPr>
                <w:rFonts w:ascii="Times New Roman" w:hAnsi="Times New Roman" w:cs="Times New Roman"/>
                <w:bCs/>
                <w:sz w:val="18"/>
                <w:szCs w:val="18"/>
                <w:lang w:bidi="en-US"/>
              </w:rPr>
              <w:t>pg</w:t>
            </w:r>
            <w:proofErr w:type="spellEnd"/>
            <w:r w:rsidR="003E184F" w:rsidRPr="00D66C52">
              <w:rPr>
                <w:rFonts w:ascii="Times New Roman" w:hAnsi="Times New Roman" w:cs="Times New Roman"/>
                <w:bCs/>
                <w:sz w:val="18"/>
                <w:szCs w:val="18"/>
                <w:lang w:bidi="en-US"/>
              </w:rPr>
              <w:t>/mL</w:t>
            </w:r>
            <w:r w:rsidR="003E184F" w:rsidRPr="00D66C52">
              <w:rPr>
                <w:rFonts w:ascii="Times New Roman" w:hAnsi="Times New Roman" w:cs="Times New Roman"/>
                <w:sz w:val="18"/>
                <w:szCs w:val="18"/>
              </w:rPr>
              <w:t xml:space="preserve"> = picograms per milliliter;</w:t>
            </w:r>
            <w:r w:rsidR="003E184F" w:rsidRPr="00D66C52">
              <w:rPr>
                <w:rFonts w:ascii="Times New Roman" w:hAnsi="Times New Roman" w:cs="Times New Roman"/>
                <w:bCs/>
                <w:sz w:val="18"/>
                <w:szCs w:val="18"/>
                <w:lang w:bidi="en-US"/>
              </w:rPr>
              <w:t xml:space="preserve"> µg/dL = micrograms per deciliter</w:t>
            </w:r>
            <w:r w:rsidRPr="00D66C52">
              <w:rPr>
                <w:rFonts w:ascii="Times New Roman" w:hAnsi="Times New Roman" w:cs="Times New Roman"/>
                <w:sz w:val="18"/>
                <w:szCs w:val="18"/>
              </w:rPr>
              <w:t>; statistical significance set at p ≤ 0.</w:t>
            </w:r>
            <w:r w:rsidRPr="00916CDA">
              <w:rPr>
                <w:rFonts w:ascii="Times New Roman" w:hAnsi="Times New Roman" w:cs="Times New Roman"/>
                <w:sz w:val="18"/>
                <w:szCs w:val="18"/>
              </w:rPr>
              <w:t xml:space="preserve">05; </w:t>
            </w:r>
            <w:r w:rsidR="00916CDA" w:rsidRPr="00916CDA">
              <w:rPr>
                <w:rFonts w:ascii="Times New Roman" w:hAnsi="Times New Roman" w:cs="Times New Roman"/>
                <w:sz w:val="18"/>
                <w:szCs w:val="18"/>
                <w:lang w:bidi="en-US"/>
              </w:rPr>
              <w:t>* = Week 1 Pre significantly different than Post;</w:t>
            </w:r>
            <w:r w:rsidR="00916CDA">
              <w:rPr>
                <w:rFonts w:ascii="Times New Roman" w:hAnsi="Times New Roman" w:cs="Times New Roman"/>
                <w:sz w:val="20"/>
                <w:szCs w:val="20"/>
                <w:lang w:bidi="en-US"/>
              </w:rPr>
              <w:t xml:space="preserve"> </w:t>
            </w:r>
            <w:r w:rsidR="00667BD3" w:rsidRPr="00D66C52">
              <w:rPr>
                <w:rFonts w:ascii="Times New Roman" w:hAnsi="Times New Roman" w:cs="Times New Roman"/>
                <w:sz w:val="18"/>
                <w:szCs w:val="18"/>
                <w:lang w:bidi="en-US"/>
              </w:rPr>
              <w:t>† = Average of Week 1 and Week 4 Pre significantly different than average of Week 1 and Week 4 Post</w:t>
            </w:r>
            <w:r w:rsidR="00193307" w:rsidRPr="00D66C52">
              <w:rPr>
                <w:rFonts w:ascii="Times New Roman" w:hAnsi="Times New Roman" w:cs="Times New Roman"/>
                <w:sz w:val="18"/>
                <w:szCs w:val="18"/>
                <w:lang w:bidi="en-US"/>
              </w:rPr>
              <w:t xml:space="preserve">; </w:t>
            </w:r>
            <w:r w:rsidR="00193307" w:rsidRPr="00D66C52">
              <w:rPr>
                <w:rFonts w:ascii="Times New Roman" w:hAnsi="Times New Roman" w:cs="Times New Roman"/>
                <w:color w:val="000000" w:themeColor="text1"/>
                <w:sz w:val="18"/>
                <w:szCs w:val="18"/>
              </w:rPr>
              <w:t xml:space="preserve">ˇ = Week 1 Post is significantly different than Week 4 Post; </w:t>
            </w:r>
            <w:r w:rsidR="00DF6371" w:rsidRPr="00D66C52">
              <w:rPr>
                <w:rFonts w:ascii="Times New Roman" w:hAnsi="Times New Roman" w:cs="Times New Roman"/>
                <w:bCs/>
                <w:i/>
                <w:sz w:val="18"/>
                <w:szCs w:val="18"/>
                <w:lang w:bidi="en-US"/>
              </w:rPr>
              <w:t xml:space="preserve">d = </w:t>
            </w:r>
            <w:r w:rsidR="00DF6371" w:rsidRPr="00D66C52">
              <w:rPr>
                <w:rFonts w:ascii="Times New Roman" w:hAnsi="Times New Roman" w:cs="Times New Roman"/>
                <w:bCs/>
                <w:sz w:val="18"/>
                <w:szCs w:val="18"/>
                <w:lang w:bidi="en-US"/>
              </w:rPr>
              <w:t xml:space="preserve">Cohen’s </w:t>
            </w:r>
            <w:r w:rsidR="00DF6371" w:rsidRPr="00D66C52">
              <w:rPr>
                <w:rFonts w:ascii="Times New Roman" w:hAnsi="Times New Roman" w:cs="Times New Roman"/>
                <w:bCs/>
                <w:i/>
                <w:sz w:val="18"/>
                <w:szCs w:val="18"/>
                <w:lang w:bidi="en-US"/>
              </w:rPr>
              <w:t>d</w:t>
            </w:r>
            <w:r w:rsidR="00DF6371" w:rsidRPr="00D66C52">
              <w:rPr>
                <w:rFonts w:ascii="Times New Roman" w:hAnsi="Times New Roman" w:cs="Times New Roman"/>
                <w:bCs/>
                <w:sz w:val="18"/>
                <w:szCs w:val="18"/>
                <w:lang w:bidi="en-US"/>
              </w:rPr>
              <w:t xml:space="preserve">, interpreted as </w:t>
            </w:r>
            <w:r w:rsidR="00DF6371" w:rsidRPr="00D66C52">
              <w:rPr>
                <w:rFonts w:ascii="Times New Roman" w:hAnsi="Times New Roman" w:cs="Times New Roman"/>
                <w:sz w:val="18"/>
                <w:szCs w:val="18"/>
                <w:lang w:bidi="en-US"/>
              </w:rPr>
              <w:t>trivial (0–0.19), small (0.20–0.49), medium (0.50–0.79), and large (≥ 0.80).</w:t>
            </w:r>
          </w:p>
        </w:tc>
      </w:tr>
    </w:tbl>
    <w:p w14:paraId="31AFBCBB" w14:textId="4C2D753A" w:rsidR="0020711D" w:rsidRDefault="00D00A3B" w:rsidP="00E528A7">
      <w:pPr>
        <w:spacing w:line="480" w:lineRule="auto"/>
        <w:jc w:val="center"/>
        <w:rPr>
          <w:rFonts w:ascii="Times New Roman" w:hAnsi="Times New Roman" w:cs="Times New Roman"/>
        </w:rPr>
      </w:pPr>
      <w:r>
        <w:rPr>
          <w:noProof/>
        </w:rPr>
        <w:lastRenderedPageBreak/>
        <mc:AlternateContent>
          <mc:Choice Requires="wps">
            <w:drawing>
              <wp:anchor distT="0" distB="0" distL="114300" distR="114300" simplePos="0" relativeHeight="251722752" behindDoc="0" locked="0" layoutInCell="1" allowOverlap="1" wp14:anchorId="6964BD8A" wp14:editId="6D6CFB66">
                <wp:simplePos x="0" y="0"/>
                <wp:positionH relativeFrom="column">
                  <wp:posOffset>1400162</wp:posOffset>
                </wp:positionH>
                <wp:positionV relativeFrom="paragraph">
                  <wp:posOffset>7642347</wp:posOffset>
                </wp:positionV>
                <wp:extent cx="3151762" cy="635"/>
                <wp:effectExtent l="0" t="0" r="0" b="0"/>
                <wp:wrapTopAndBottom/>
                <wp:docPr id="14" name="Text Box 14"/>
                <wp:cNvGraphicFramePr/>
                <a:graphic xmlns:a="http://schemas.openxmlformats.org/drawingml/2006/main">
                  <a:graphicData uri="http://schemas.microsoft.com/office/word/2010/wordprocessingShape">
                    <wps:wsp>
                      <wps:cNvSpPr txBox="1"/>
                      <wps:spPr>
                        <a:xfrm>
                          <a:off x="0" y="0"/>
                          <a:ext cx="3151762" cy="635"/>
                        </a:xfrm>
                        <a:prstGeom prst="rect">
                          <a:avLst/>
                        </a:prstGeom>
                        <a:solidFill>
                          <a:prstClr val="white"/>
                        </a:solidFill>
                        <a:ln>
                          <a:noFill/>
                        </a:ln>
                      </wps:spPr>
                      <wps:txbx>
                        <w:txbxContent>
                          <w:p w14:paraId="27FF697B" w14:textId="057A4D5D" w:rsidR="00D00A3B" w:rsidRPr="00D00A3B" w:rsidRDefault="00D00A3B" w:rsidP="00D00A3B">
                            <w:pPr>
                              <w:pStyle w:val="Caption"/>
                              <w:jc w:val="center"/>
                              <w:rPr>
                                <w:rFonts w:ascii="Times New Roman" w:hAnsi="Times New Roman"/>
                                <w:sz w:val="20"/>
                                <w:szCs w:val="20"/>
                              </w:rPr>
                            </w:pPr>
                            <w:bookmarkStart w:id="86" w:name="_Toc100670676"/>
                            <w:r w:rsidRPr="00D00A3B">
                              <w:rPr>
                                <w:rFonts w:ascii="Times New Roman" w:hAnsi="Times New Roman"/>
                                <w:sz w:val="20"/>
                                <w:szCs w:val="20"/>
                              </w:rPr>
                              <w:t xml:space="preserve">Figure </w:t>
                            </w:r>
                            <w:r w:rsidRPr="00D00A3B">
                              <w:rPr>
                                <w:rFonts w:ascii="Times New Roman" w:hAnsi="Times New Roman"/>
                                <w:sz w:val="20"/>
                                <w:szCs w:val="20"/>
                              </w:rPr>
                              <w:fldChar w:fldCharType="begin"/>
                            </w:r>
                            <w:r w:rsidRPr="00D00A3B">
                              <w:rPr>
                                <w:rFonts w:ascii="Times New Roman" w:hAnsi="Times New Roman"/>
                                <w:sz w:val="20"/>
                                <w:szCs w:val="20"/>
                              </w:rPr>
                              <w:instrText xml:space="preserve"> SEQ Figure \* ARABIC </w:instrText>
                            </w:r>
                            <w:r w:rsidRPr="00D00A3B">
                              <w:rPr>
                                <w:rFonts w:ascii="Times New Roman" w:hAnsi="Times New Roman"/>
                                <w:sz w:val="20"/>
                                <w:szCs w:val="20"/>
                              </w:rPr>
                              <w:fldChar w:fldCharType="separate"/>
                            </w:r>
                            <w:r w:rsidR="002101E0">
                              <w:rPr>
                                <w:rFonts w:ascii="Times New Roman" w:hAnsi="Times New Roman"/>
                                <w:noProof/>
                                <w:sz w:val="20"/>
                                <w:szCs w:val="20"/>
                              </w:rPr>
                              <w:t>12</w:t>
                            </w:r>
                            <w:r w:rsidRPr="00D00A3B">
                              <w:rPr>
                                <w:rFonts w:ascii="Times New Roman" w:hAnsi="Times New Roman"/>
                                <w:sz w:val="20"/>
                                <w:szCs w:val="20"/>
                              </w:rPr>
                              <w:fldChar w:fldCharType="end"/>
                            </w:r>
                            <w:r w:rsidRPr="00D00A3B">
                              <w:rPr>
                                <w:rFonts w:ascii="Times New Roman" w:hAnsi="Times New Roman"/>
                                <w:sz w:val="20"/>
                                <w:szCs w:val="20"/>
                              </w:rPr>
                              <w:t>. Individual Endocrine Responses Across Time</w:t>
                            </w:r>
                            <w:bookmarkEnd w:id="86"/>
                          </w:p>
                          <w:p w14:paraId="3D45D8E0" w14:textId="77777777" w:rsidR="00D00A3B" w:rsidRPr="00D00A3B" w:rsidRDefault="00D00A3B" w:rsidP="00D00A3B">
                            <w:pPr>
                              <w:rPr>
                                <w:rFonts w:ascii="Times New Roman" w:hAnsi="Times New Roman" w:cs="Times New Roman"/>
                                <w:sz w:val="20"/>
                                <w:szCs w:val="20"/>
                                <w:lang w:bidi="en-US"/>
                              </w:rPr>
                            </w:pPr>
                          </w:p>
                          <w:p w14:paraId="10F6F01B" w14:textId="2E019AEC" w:rsidR="00D00A3B" w:rsidRPr="00D00A3B" w:rsidRDefault="00D00A3B" w:rsidP="00D00A3B">
                            <w:pPr>
                              <w:jc w:val="center"/>
                              <w:rPr>
                                <w:rFonts w:ascii="Times New Roman" w:hAnsi="Times New Roman" w:cs="Times New Roman"/>
                                <w:sz w:val="20"/>
                                <w:szCs w:val="20"/>
                                <w:lang w:bidi="en-US"/>
                              </w:rPr>
                            </w:pPr>
                            <w:r w:rsidRPr="00D00A3B">
                              <w:rPr>
                                <w:rFonts w:ascii="Times New Roman" w:hAnsi="Times New Roman" w:cs="Times New Roman"/>
                                <w:sz w:val="20"/>
                                <w:szCs w:val="20"/>
                                <w:lang w:bidi="en-US"/>
                              </w:rPr>
                              <w:t>Note: Data presented as Mean; Pre = Pre-Practice; Post = Post-Practice.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964BD8A" id="Text Box 14" o:spid="_x0000_s1037" type="#_x0000_t202" style="position:absolute;left:0;text-align:left;margin-left:110.25pt;margin-top:601.75pt;width:248.15pt;height:.0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" stroked="f">
                <v:textbox style="mso-fit-shape-to-text:t" inset="0,0,0,0">
                  <w:txbxContent>
                    <w:p w14:paraId="27FF697B" w14:textId="057A4D5D" w:rsidR="00D00A3B" w:rsidRPr="00D00A3B" w:rsidRDefault="00D00A3B" w:rsidP="00D00A3B">
                      <w:pPr>
                        <w:pStyle w:val="Caption"/>
                        <w:jc w:val="center"/>
                        <w:rPr>
                          <w:rFonts w:ascii="Times New Roman" w:hAnsi="Times New Roman"/>
                          <w:sz w:val="20"/>
                          <w:szCs w:val="20"/>
                        </w:rPr>
                      </w:pPr>
                      <w:bookmarkStart w:id="98" w:name="_Toc100670676"/>
                      <w:r w:rsidRPr="00D00A3B">
                        <w:rPr>
                          <w:rFonts w:ascii="Times New Roman" w:hAnsi="Times New Roman"/>
                          <w:sz w:val="20"/>
                          <w:szCs w:val="20"/>
                        </w:rPr>
                        <w:t xml:space="preserve">Figure </w:t>
                      </w:r>
                      <w:r w:rsidRPr="00D00A3B">
                        <w:rPr>
                          <w:rFonts w:ascii="Times New Roman" w:hAnsi="Times New Roman"/>
                          <w:sz w:val="20"/>
                          <w:szCs w:val="20"/>
                        </w:rPr>
                        <w:fldChar w:fldCharType="begin"/>
                      </w:r>
                      <w:r w:rsidRPr="00D00A3B">
                        <w:rPr>
                          <w:rFonts w:ascii="Times New Roman" w:hAnsi="Times New Roman"/>
                          <w:sz w:val="20"/>
                          <w:szCs w:val="20"/>
                        </w:rPr>
                        <w:instrText xml:space="preserve"> SEQ Figure \* ARABIC </w:instrText>
                      </w:r>
                      <w:r w:rsidRPr="00D00A3B">
                        <w:rPr>
                          <w:rFonts w:ascii="Times New Roman" w:hAnsi="Times New Roman"/>
                          <w:sz w:val="20"/>
                          <w:szCs w:val="20"/>
                        </w:rPr>
                        <w:fldChar w:fldCharType="separate"/>
                      </w:r>
                      <w:r w:rsidR="002101E0">
                        <w:rPr>
                          <w:rFonts w:ascii="Times New Roman" w:hAnsi="Times New Roman"/>
                          <w:noProof/>
                          <w:sz w:val="20"/>
                          <w:szCs w:val="20"/>
                        </w:rPr>
                        <w:t>12</w:t>
                      </w:r>
                      <w:r w:rsidRPr="00D00A3B">
                        <w:rPr>
                          <w:rFonts w:ascii="Times New Roman" w:hAnsi="Times New Roman"/>
                          <w:sz w:val="20"/>
                          <w:szCs w:val="20"/>
                        </w:rPr>
                        <w:fldChar w:fldCharType="end"/>
                      </w:r>
                      <w:r w:rsidRPr="00D00A3B">
                        <w:rPr>
                          <w:rFonts w:ascii="Times New Roman" w:hAnsi="Times New Roman"/>
                          <w:sz w:val="20"/>
                          <w:szCs w:val="20"/>
                        </w:rPr>
                        <w:t>. Individual Endocrine Responses Across Time</w:t>
                      </w:r>
                      <w:bookmarkEnd w:id="98"/>
                    </w:p>
                    <w:p w14:paraId="3D45D8E0" w14:textId="77777777" w:rsidR="00D00A3B" w:rsidRPr="00D00A3B" w:rsidRDefault="00D00A3B" w:rsidP="00D00A3B">
                      <w:pPr>
                        <w:rPr>
                          <w:rFonts w:ascii="Times New Roman" w:hAnsi="Times New Roman" w:cs="Times New Roman"/>
                          <w:sz w:val="20"/>
                          <w:szCs w:val="20"/>
                          <w:lang w:bidi="en-US"/>
                        </w:rPr>
                      </w:pPr>
                    </w:p>
                    <w:p w14:paraId="10F6F01B" w14:textId="2E019AEC" w:rsidR="00D00A3B" w:rsidRPr="00D00A3B" w:rsidRDefault="00D00A3B" w:rsidP="00D00A3B">
                      <w:pPr>
                        <w:jc w:val="center"/>
                        <w:rPr>
                          <w:rFonts w:ascii="Times New Roman" w:hAnsi="Times New Roman" w:cs="Times New Roman"/>
                          <w:sz w:val="20"/>
                          <w:szCs w:val="20"/>
                          <w:lang w:bidi="en-US"/>
                        </w:rPr>
                      </w:pPr>
                      <w:r w:rsidRPr="00D00A3B">
                        <w:rPr>
                          <w:rFonts w:ascii="Times New Roman" w:hAnsi="Times New Roman" w:cs="Times New Roman"/>
                          <w:sz w:val="20"/>
                          <w:szCs w:val="20"/>
                          <w:lang w:bidi="en-US"/>
                        </w:rPr>
                        <w:t>Note: Data presented as Mean; Pre = Pre-Practice; Post = Post-Practice.</w:t>
                      </w:r>
                    </w:p>
                  </w:txbxContent>
                </v:textbox>
                <w10:wrap type="topAndBottom"/>
              </v:shape>
            </w:pict>
          </mc:Fallback>
        </mc:AlternateContent>
      </w:r>
      <w:r w:rsidR="006F68F6">
        <w:rPr>
          <w:rFonts w:ascii="Times New Roman" w:hAnsi="Times New Roman" w:cs="Times New Roman"/>
          <w:noProof/>
        </w:rPr>
        <w:drawing>
          <wp:inline distT="0" distB="0" distL="0" distR="0" wp14:anchorId="1FB347FA" wp14:editId="06F71607">
            <wp:extent cx="5335512" cy="7324928"/>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7">
                      <a:extLst>
                        <a:ext uri="{28A0092B-C50C-407E-A947-70E740481C1C}">
                          <a14:useLocalDpi xmlns:a14="http://schemas.microsoft.com/office/drawing/2010/main" val="0"/>
                        </a:ext>
                      </a:extLst>
                    </a:blip>
                    <a:stretch>
                      <a:fillRect/>
                    </a:stretch>
                  </pic:blipFill>
                  <pic:spPr>
                    <a:xfrm>
                      <a:off x="0" y="0"/>
                      <a:ext cx="5335512" cy="7324928"/>
                    </a:xfrm>
                    <a:prstGeom prst="rect">
                      <a:avLst/>
                    </a:prstGeom>
                  </pic:spPr>
                </pic:pic>
              </a:graphicData>
            </a:graphic>
          </wp:inline>
        </w:drawing>
      </w:r>
    </w:p>
    <w:p w14:paraId="5BFE45AA" w14:textId="7167AEF4" w:rsidR="00673B57" w:rsidRDefault="00AD791D" w:rsidP="00E528A7">
      <w:pPr>
        <w:spacing w:line="480" w:lineRule="auto"/>
        <w:jc w:val="center"/>
        <w:rPr>
          <w:rFonts w:ascii="Times New Roman" w:hAnsi="Times New Roman" w:cs="Times New Roman"/>
        </w:rPr>
      </w:pPr>
      <w:r>
        <w:rPr>
          <w:noProof/>
        </w:rPr>
        <w:lastRenderedPageBreak/>
        <mc:AlternateContent>
          <mc:Choice Requires="wps">
            <w:drawing>
              <wp:anchor distT="0" distB="0" distL="114300" distR="114300" simplePos="0" relativeHeight="251716608" behindDoc="0" locked="0" layoutInCell="1" allowOverlap="1" wp14:anchorId="33DD17A6" wp14:editId="386A4F2A">
                <wp:simplePos x="0" y="0"/>
                <wp:positionH relativeFrom="column">
                  <wp:posOffset>807085</wp:posOffset>
                </wp:positionH>
                <wp:positionV relativeFrom="paragraph">
                  <wp:posOffset>5252463</wp:posOffset>
                </wp:positionV>
                <wp:extent cx="4532630" cy="635"/>
                <wp:effectExtent l="0" t="0" r="1270" b="0"/>
                <wp:wrapTopAndBottom/>
                <wp:docPr id="68" name="Text Box 68"/>
                <wp:cNvGraphicFramePr/>
                <a:graphic xmlns:a="http://schemas.openxmlformats.org/drawingml/2006/main">
                  <a:graphicData uri="http://schemas.microsoft.com/office/word/2010/wordprocessingShape">
                    <wps:wsp>
                      <wps:cNvSpPr txBox="1"/>
                      <wps:spPr>
                        <a:xfrm>
                          <a:off x="0" y="0"/>
                          <a:ext cx="4532630" cy="635"/>
                        </a:xfrm>
                        <a:prstGeom prst="rect">
                          <a:avLst/>
                        </a:prstGeom>
                        <a:solidFill>
                          <a:prstClr val="white"/>
                        </a:solidFill>
                        <a:ln>
                          <a:noFill/>
                        </a:ln>
                      </wps:spPr>
                      <wps:txbx>
                        <w:txbxContent>
                          <w:p w14:paraId="055B0A9C" w14:textId="02FFE5CC" w:rsidR="00AD791D" w:rsidRPr="00AD791D" w:rsidRDefault="00AD791D" w:rsidP="00AD791D">
                            <w:pPr>
                              <w:pStyle w:val="Caption"/>
                              <w:jc w:val="center"/>
                              <w:rPr>
                                <w:rFonts w:ascii="Times New Roman" w:hAnsi="Times New Roman"/>
                                <w:sz w:val="20"/>
                                <w:szCs w:val="20"/>
                              </w:rPr>
                            </w:pPr>
                            <w:bookmarkStart w:id="87" w:name="_Toc100670677"/>
                            <w:r w:rsidRPr="00AD791D">
                              <w:rPr>
                                <w:rFonts w:ascii="Times New Roman" w:hAnsi="Times New Roman"/>
                                <w:sz w:val="20"/>
                                <w:szCs w:val="20"/>
                              </w:rPr>
                              <w:t xml:space="preserve">Figure </w:t>
                            </w:r>
                            <w:r w:rsidRPr="00AD791D">
                              <w:rPr>
                                <w:rFonts w:ascii="Times New Roman" w:hAnsi="Times New Roman"/>
                                <w:sz w:val="20"/>
                                <w:szCs w:val="20"/>
                              </w:rPr>
                              <w:fldChar w:fldCharType="begin"/>
                            </w:r>
                            <w:r w:rsidRPr="00AD791D">
                              <w:rPr>
                                <w:rFonts w:ascii="Times New Roman" w:hAnsi="Times New Roman"/>
                                <w:sz w:val="20"/>
                                <w:szCs w:val="20"/>
                              </w:rPr>
                              <w:instrText xml:space="preserve"> SEQ Figure \* ARABIC </w:instrText>
                            </w:r>
                            <w:r w:rsidRPr="00AD791D">
                              <w:rPr>
                                <w:rFonts w:ascii="Times New Roman" w:hAnsi="Times New Roman"/>
                                <w:sz w:val="20"/>
                                <w:szCs w:val="20"/>
                              </w:rPr>
                              <w:fldChar w:fldCharType="separate"/>
                            </w:r>
                            <w:r w:rsidR="002101E0">
                              <w:rPr>
                                <w:rFonts w:ascii="Times New Roman" w:hAnsi="Times New Roman"/>
                                <w:noProof/>
                                <w:sz w:val="20"/>
                                <w:szCs w:val="20"/>
                              </w:rPr>
                              <w:t>13</w:t>
                            </w:r>
                            <w:r w:rsidRPr="00AD791D">
                              <w:rPr>
                                <w:rFonts w:ascii="Times New Roman" w:hAnsi="Times New Roman"/>
                                <w:sz w:val="20"/>
                                <w:szCs w:val="20"/>
                              </w:rPr>
                              <w:fldChar w:fldCharType="end"/>
                            </w:r>
                            <w:r w:rsidRPr="00AD791D">
                              <w:rPr>
                                <w:rFonts w:ascii="Times New Roman" w:hAnsi="Times New Roman"/>
                                <w:sz w:val="20"/>
                                <w:szCs w:val="20"/>
                              </w:rPr>
                              <w:t>. Endocrine Absolute Changes Across Time</w:t>
                            </w:r>
                            <w:bookmarkEnd w:id="87"/>
                          </w:p>
                          <w:p w14:paraId="35246F57" w14:textId="51D024E9" w:rsidR="00AD791D" w:rsidRPr="00AD791D" w:rsidRDefault="00AD791D" w:rsidP="00AD791D">
                            <w:pPr>
                              <w:jc w:val="center"/>
                              <w:rPr>
                                <w:rFonts w:ascii="Times New Roman" w:hAnsi="Times New Roman" w:cs="Times New Roman"/>
                                <w:sz w:val="20"/>
                                <w:szCs w:val="20"/>
                                <w:lang w:bidi="en-US"/>
                              </w:rPr>
                            </w:pPr>
                          </w:p>
                          <w:p w14:paraId="3924E359" w14:textId="28D70729" w:rsidR="00AD791D" w:rsidRPr="00AD791D" w:rsidRDefault="00AD791D" w:rsidP="00AD791D">
                            <w:pPr>
                              <w:jc w:val="center"/>
                              <w:rPr>
                                <w:rFonts w:ascii="Times New Roman" w:hAnsi="Times New Roman" w:cs="Times New Roman"/>
                                <w:sz w:val="20"/>
                                <w:szCs w:val="20"/>
                                <w:lang w:bidi="en-US"/>
                              </w:rPr>
                            </w:pPr>
                            <w:r>
                              <w:rPr>
                                <w:rFonts w:ascii="Times New Roman" w:hAnsi="Times New Roman" w:cs="Times New Roman"/>
                                <w:sz w:val="20"/>
                                <w:szCs w:val="20"/>
                                <w:lang w:bidi="en-US"/>
                              </w:rPr>
                              <w:t xml:space="preserve">Note: Data presented as Mean (Standard Error); Pre = Pre-Practice; Post = Post-Practice; </w:t>
                            </w:r>
                            <w:r w:rsidR="000C4B8A">
                              <w:rPr>
                                <w:rFonts w:ascii="Times New Roman" w:hAnsi="Times New Roman" w:cs="Times New Roman"/>
                                <w:bCs/>
                                <w:sz w:val="20"/>
                                <w:szCs w:val="20"/>
                                <w:lang w:bidi="en-US"/>
                              </w:rPr>
                              <w:t>abs</w:t>
                            </w:r>
                            <w:r w:rsidR="000C4B8A" w:rsidRPr="00D66C52">
                              <w:rPr>
                                <w:rFonts w:ascii="Times New Roman" w:hAnsi="Times New Roman" w:cs="Times New Roman"/>
                                <w:sz w:val="18"/>
                                <w:szCs w:val="18"/>
                                <w:lang w:bidi="en-US"/>
                              </w:rPr>
                              <w:sym w:font="Symbol" w:char="F044"/>
                            </w:r>
                            <w:r w:rsidR="000C4B8A">
                              <w:rPr>
                                <w:rFonts w:ascii="Times New Roman" w:hAnsi="Times New Roman" w:cs="Times New Roman"/>
                                <w:sz w:val="18"/>
                                <w:szCs w:val="18"/>
                                <w:lang w:bidi="en-US"/>
                              </w:rPr>
                              <w:t xml:space="preserve"> = absolute change; </w:t>
                            </w:r>
                            <w:r>
                              <w:rPr>
                                <w:rFonts w:ascii="Times New Roman" w:hAnsi="Times New Roman" w:cs="Times New Roman"/>
                                <w:sz w:val="20"/>
                                <w:szCs w:val="20"/>
                                <w:lang w:bidi="en-US"/>
                              </w:rPr>
                              <w:t xml:space="preserve">* = </w:t>
                            </w:r>
                            <w:r w:rsidR="00376A56">
                              <w:rPr>
                                <w:rFonts w:ascii="Times New Roman" w:hAnsi="Times New Roman" w:cs="Times New Roman"/>
                                <w:sz w:val="20"/>
                                <w:szCs w:val="20"/>
                                <w:lang w:bidi="en-US"/>
                              </w:rPr>
                              <w:t xml:space="preserve">Week 1 </w:t>
                            </w:r>
                            <w:r>
                              <w:rPr>
                                <w:rFonts w:ascii="Times New Roman" w:hAnsi="Times New Roman" w:cs="Times New Roman"/>
                                <w:sz w:val="20"/>
                                <w:szCs w:val="20"/>
                                <w:lang w:bidi="en-US"/>
                              </w:rPr>
                              <w:t>significantly different than Week 4, set at p ≤ 0.05.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3DD17A6" id="Text Box 68" o:spid="_x0000_s1038" type="#_x0000_t202" style="position:absolute;left:0;text-align:left;margin-left:63.55pt;margin-top:413.6pt;width:356.9pt;height:.0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" stroked="f">
                <v:textbox style="mso-fit-shape-to-text:t" inset="0,0,0,0">
                  <w:txbxContent>
                    <w:p w14:paraId="055B0A9C" w14:textId="02FFE5CC" w:rsidR="00AD791D" w:rsidRPr="00AD791D" w:rsidRDefault="00AD791D" w:rsidP="00AD791D">
                      <w:pPr>
                        <w:pStyle w:val="Caption"/>
                        <w:jc w:val="center"/>
                        <w:rPr>
                          <w:rFonts w:ascii="Times New Roman" w:hAnsi="Times New Roman"/>
                          <w:sz w:val="20"/>
                          <w:szCs w:val="20"/>
                        </w:rPr>
                      </w:pPr>
                      <w:bookmarkStart w:id="100" w:name="_Toc100670677"/>
                      <w:r w:rsidRPr="00AD791D">
                        <w:rPr>
                          <w:rFonts w:ascii="Times New Roman" w:hAnsi="Times New Roman"/>
                          <w:sz w:val="20"/>
                          <w:szCs w:val="20"/>
                        </w:rPr>
                        <w:t xml:space="preserve">Figure </w:t>
                      </w:r>
                      <w:r w:rsidRPr="00AD791D">
                        <w:rPr>
                          <w:rFonts w:ascii="Times New Roman" w:hAnsi="Times New Roman"/>
                          <w:sz w:val="20"/>
                          <w:szCs w:val="20"/>
                        </w:rPr>
                        <w:fldChar w:fldCharType="begin"/>
                      </w:r>
                      <w:r w:rsidRPr="00AD791D">
                        <w:rPr>
                          <w:rFonts w:ascii="Times New Roman" w:hAnsi="Times New Roman"/>
                          <w:sz w:val="20"/>
                          <w:szCs w:val="20"/>
                        </w:rPr>
                        <w:instrText xml:space="preserve"> SEQ Figure \* ARABIC </w:instrText>
                      </w:r>
                      <w:r w:rsidRPr="00AD791D">
                        <w:rPr>
                          <w:rFonts w:ascii="Times New Roman" w:hAnsi="Times New Roman"/>
                          <w:sz w:val="20"/>
                          <w:szCs w:val="20"/>
                        </w:rPr>
                        <w:fldChar w:fldCharType="separate"/>
                      </w:r>
                      <w:r w:rsidR="002101E0">
                        <w:rPr>
                          <w:rFonts w:ascii="Times New Roman" w:hAnsi="Times New Roman"/>
                          <w:noProof/>
                          <w:sz w:val="20"/>
                          <w:szCs w:val="20"/>
                        </w:rPr>
                        <w:t>13</w:t>
                      </w:r>
                      <w:r w:rsidRPr="00AD791D">
                        <w:rPr>
                          <w:rFonts w:ascii="Times New Roman" w:hAnsi="Times New Roman"/>
                          <w:sz w:val="20"/>
                          <w:szCs w:val="20"/>
                        </w:rPr>
                        <w:fldChar w:fldCharType="end"/>
                      </w:r>
                      <w:r w:rsidRPr="00AD791D">
                        <w:rPr>
                          <w:rFonts w:ascii="Times New Roman" w:hAnsi="Times New Roman"/>
                          <w:sz w:val="20"/>
                          <w:szCs w:val="20"/>
                        </w:rPr>
                        <w:t>. Endocrine Absolute Changes Across Time</w:t>
                      </w:r>
                      <w:bookmarkEnd w:id="100"/>
                    </w:p>
                    <w:p w14:paraId="35246F57" w14:textId="51D024E9" w:rsidR="00AD791D" w:rsidRPr="00AD791D" w:rsidRDefault="00AD791D" w:rsidP="00AD791D">
                      <w:pPr>
                        <w:jc w:val="center"/>
                        <w:rPr>
                          <w:rFonts w:ascii="Times New Roman" w:hAnsi="Times New Roman" w:cs="Times New Roman"/>
                          <w:sz w:val="20"/>
                          <w:szCs w:val="20"/>
                          <w:lang w:bidi="en-US"/>
                        </w:rPr>
                      </w:pPr>
                    </w:p>
                    <w:p w14:paraId="3924E359" w14:textId="28D70729" w:rsidR="00AD791D" w:rsidRPr="00AD791D" w:rsidRDefault="00AD791D" w:rsidP="00AD791D">
                      <w:pPr>
                        <w:jc w:val="center"/>
                        <w:rPr>
                          <w:rFonts w:ascii="Times New Roman" w:hAnsi="Times New Roman" w:cs="Times New Roman"/>
                          <w:sz w:val="20"/>
                          <w:szCs w:val="20"/>
                          <w:lang w:bidi="en-US"/>
                        </w:rPr>
                      </w:pPr>
                      <w:r>
                        <w:rPr>
                          <w:rFonts w:ascii="Times New Roman" w:hAnsi="Times New Roman" w:cs="Times New Roman"/>
                          <w:sz w:val="20"/>
                          <w:szCs w:val="20"/>
                          <w:lang w:bidi="en-US"/>
                        </w:rPr>
                        <w:t xml:space="preserve">Note: Data presented as Mean (Standard Error); Pre = Pre-Practice; Post = Post-Practice; </w:t>
                      </w:r>
                      <w:r w:rsidR="000C4B8A">
                        <w:rPr>
                          <w:rFonts w:ascii="Times New Roman" w:hAnsi="Times New Roman" w:cs="Times New Roman"/>
                          <w:bCs/>
                          <w:sz w:val="20"/>
                          <w:szCs w:val="20"/>
                          <w:lang w:bidi="en-US"/>
                        </w:rPr>
                        <w:t>abs</w:t>
                      </w:r>
                      <w:r w:rsidR="000C4B8A" w:rsidRPr="00D66C52">
                        <w:rPr>
                          <w:rFonts w:ascii="Times New Roman" w:hAnsi="Times New Roman" w:cs="Times New Roman"/>
                          <w:sz w:val="18"/>
                          <w:szCs w:val="18"/>
                          <w:lang w:bidi="en-US"/>
                        </w:rPr>
                        <w:sym w:font="Symbol" w:char="F044"/>
                      </w:r>
                      <w:r w:rsidR="000C4B8A">
                        <w:rPr>
                          <w:rFonts w:ascii="Times New Roman" w:hAnsi="Times New Roman" w:cs="Times New Roman"/>
                          <w:sz w:val="18"/>
                          <w:szCs w:val="18"/>
                          <w:lang w:bidi="en-US"/>
                        </w:rPr>
                        <w:t xml:space="preserve"> = absolute change; </w:t>
                      </w:r>
                      <w:r>
                        <w:rPr>
                          <w:rFonts w:ascii="Times New Roman" w:hAnsi="Times New Roman" w:cs="Times New Roman"/>
                          <w:sz w:val="20"/>
                          <w:szCs w:val="20"/>
                          <w:lang w:bidi="en-US"/>
                        </w:rPr>
                        <w:t xml:space="preserve">* = </w:t>
                      </w:r>
                      <w:r w:rsidR="00376A56">
                        <w:rPr>
                          <w:rFonts w:ascii="Times New Roman" w:hAnsi="Times New Roman" w:cs="Times New Roman"/>
                          <w:sz w:val="20"/>
                          <w:szCs w:val="20"/>
                          <w:lang w:bidi="en-US"/>
                        </w:rPr>
                        <w:t xml:space="preserve">Week 1 </w:t>
                      </w:r>
                      <w:r>
                        <w:rPr>
                          <w:rFonts w:ascii="Times New Roman" w:hAnsi="Times New Roman" w:cs="Times New Roman"/>
                          <w:sz w:val="20"/>
                          <w:szCs w:val="20"/>
                          <w:lang w:bidi="en-US"/>
                        </w:rPr>
                        <w:t>significantly different than Week 4, set at p ≤ 0.05.</w:t>
                      </w:r>
                    </w:p>
                  </w:txbxContent>
                </v:textbox>
                <w10:wrap type="topAndBottom"/>
              </v:shape>
            </w:pict>
          </mc:Fallback>
        </mc:AlternateContent>
      </w:r>
      <w:r w:rsidR="00B86DDF">
        <w:rPr>
          <w:rFonts w:ascii="Times New Roman" w:hAnsi="Times New Roman" w:cs="Times New Roman"/>
          <w:noProof/>
        </w:rPr>
        <w:drawing>
          <wp:inline distT="0" distB="0" distL="0" distR="0" wp14:anchorId="6772C44C" wp14:editId="772C000C">
            <wp:extent cx="2222669" cy="5204298"/>
            <wp:effectExtent l="0" t="0" r="0" b="3175"/>
            <wp:docPr id="3" name="Picture 3" descr="A picture containing text, devic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device, gauge&#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2239973" cy="5244815"/>
                    </a:xfrm>
                    <a:prstGeom prst="rect">
                      <a:avLst/>
                    </a:prstGeom>
                  </pic:spPr>
                </pic:pic>
              </a:graphicData>
            </a:graphic>
          </wp:inline>
        </w:drawing>
      </w:r>
    </w:p>
    <w:p w14:paraId="1B01E4B3" w14:textId="6AB73B69" w:rsidR="00673B57" w:rsidRDefault="00673B57" w:rsidP="00AD791D">
      <w:pPr>
        <w:spacing w:line="480" w:lineRule="auto"/>
        <w:jc w:val="center"/>
        <w:rPr>
          <w:rFonts w:ascii="Times New Roman" w:hAnsi="Times New Roman" w:cs="Times New Roman"/>
        </w:rPr>
      </w:pPr>
    </w:p>
    <w:p w14:paraId="556FF354" w14:textId="1A207F44" w:rsidR="004F5C80" w:rsidRPr="004F5C80" w:rsidRDefault="004F5C80" w:rsidP="004F5C80">
      <w:pPr>
        <w:pStyle w:val="Caption"/>
        <w:keepNext/>
        <w:rPr>
          <w:rFonts w:ascii="Times New Roman" w:hAnsi="Times New Roman"/>
        </w:rPr>
      </w:pPr>
      <w:bookmarkStart w:id="88" w:name="_Toc93726103"/>
      <w:r w:rsidRPr="004F5C80">
        <w:rPr>
          <w:rFonts w:ascii="Times New Roman" w:hAnsi="Times New Roman"/>
        </w:rPr>
        <w:t xml:space="preserve">Table </w:t>
      </w:r>
      <w:r w:rsidRPr="004F5C80">
        <w:rPr>
          <w:rFonts w:ascii="Times New Roman" w:hAnsi="Times New Roman"/>
        </w:rPr>
        <w:fldChar w:fldCharType="begin"/>
      </w:r>
      <w:r w:rsidRPr="004F5C80">
        <w:rPr>
          <w:rFonts w:ascii="Times New Roman" w:hAnsi="Times New Roman"/>
        </w:rPr>
        <w:instrText xml:space="preserve"> SEQ Table \* ARABIC </w:instrText>
      </w:r>
      <w:r w:rsidRPr="004F5C80">
        <w:rPr>
          <w:rFonts w:ascii="Times New Roman" w:hAnsi="Times New Roman"/>
        </w:rPr>
        <w:fldChar w:fldCharType="separate"/>
      </w:r>
      <w:r w:rsidR="002101E0">
        <w:rPr>
          <w:rFonts w:ascii="Times New Roman" w:hAnsi="Times New Roman"/>
          <w:noProof/>
        </w:rPr>
        <w:t>7</w:t>
      </w:r>
      <w:r w:rsidRPr="004F5C80">
        <w:rPr>
          <w:rFonts w:ascii="Times New Roman" w:hAnsi="Times New Roman"/>
        </w:rPr>
        <w:fldChar w:fldCharType="end"/>
      </w:r>
      <w:r w:rsidRPr="004F5C80">
        <w:rPr>
          <w:rFonts w:ascii="Times New Roman" w:hAnsi="Times New Roman"/>
        </w:rPr>
        <w:t xml:space="preserve">. </w:t>
      </w:r>
      <w:r w:rsidRPr="00B86DDF">
        <w:rPr>
          <w:rFonts w:ascii="Times New Roman" w:hAnsi="Times New Roman"/>
        </w:rPr>
        <w:t>Absolute Change</w:t>
      </w:r>
      <w:r w:rsidRPr="004F5C80">
        <w:rPr>
          <w:rFonts w:ascii="Times New Roman" w:hAnsi="Times New Roman"/>
        </w:rPr>
        <w:t xml:space="preserve"> Scores in Endocrine Responses throughout the Preseason.</w:t>
      </w:r>
      <w:bookmarkEnd w:id="88"/>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1891"/>
        <w:gridCol w:w="1981"/>
        <w:gridCol w:w="1801"/>
        <w:gridCol w:w="1887"/>
      </w:tblGrid>
      <w:tr w:rsidR="00E02F0D" w:rsidRPr="005C5513" w14:paraId="3A930B1B" w14:textId="77777777" w:rsidTr="002D7417">
        <w:trPr>
          <w:trHeight w:val="471"/>
          <w:jc w:val="center"/>
        </w:trPr>
        <w:tc>
          <w:tcPr>
            <w:tcW w:w="962" w:type="pct"/>
            <w:tcBorders>
              <w:top w:val="single" w:sz="12" w:space="0" w:color="auto"/>
            </w:tcBorders>
            <w:noWrap/>
            <w:vAlign w:val="center"/>
            <w:hideMark/>
          </w:tcPr>
          <w:p w14:paraId="1EF80685" w14:textId="77777777" w:rsidR="00E02F0D" w:rsidRPr="005C5513" w:rsidRDefault="00E02F0D" w:rsidP="005D0506">
            <w:pPr>
              <w:adjustRightInd w:val="0"/>
              <w:ind w:firstLine="720"/>
              <w:jc w:val="center"/>
              <w:rPr>
                <w:rFonts w:ascii="Times New Roman" w:hAnsi="Times New Roman" w:cs="Times New Roman"/>
                <w:sz w:val="20"/>
                <w:szCs w:val="20"/>
              </w:rPr>
            </w:pPr>
          </w:p>
        </w:tc>
        <w:tc>
          <w:tcPr>
            <w:tcW w:w="1010" w:type="pct"/>
            <w:tcBorders>
              <w:top w:val="single" w:sz="12" w:space="0" w:color="auto"/>
            </w:tcBorders>
            <w:noWrap/>
            <w:vAlign w:val="center"/>
            <w:hideMark/>
          </w:tcPr>
          <w:p w14:paraId="3A1D3EF0" w14:textId="77777777" w:rsidR="00E02F0D" w:rsidRPr="005C5513" w:rsidRDefault="00E02F0D"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Week 1</w:t>
            </w:r>
          </w:p>
        </w:tc>
        <w:tc>
          <w:tcPr>
            <w:tcW w:w="1058" w:type="pct"/>
            <w:tcBorders>
              <w:top w:val="single" w:sz="12" w:space="0" w:color="auto"/>
            </w:tcBorders>
            <w:vAlign w:val="center"/>
          </w:tcPr>
          <w:p w14:paraId="2C1EE36D" w14:textId="457A4781" w:rsidR="00E02F0D" w:rsidRPr="005C5513" w:rsidRDefault="00E02F0D"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Week 4</w:t>
            </w:r>
          </w:p>
        </w:tc>
        <w:tc>
          <w:tcPr>
            <w:tcW w:w="962" w:type="pct"/>
            <w:tcBorders>
              <w:top w:val="single" w:sz="12" w:space="0" w:color="auto"/>
              <w:left w:val="nil"/>
            </w:tcBorders>
            <w:noWrap/>
            <w:vAlign w:val="center"/>
            <w:hideMark/>
          </w:tcPr>
          <w:p w14:paraId="14F3F19E" w14:textId="535ABBA1" w:rsidR="00E02F0D" w:rsidRPr="005C5513" w:rsidRDefault="00E02F0D"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 xml:space="preserve">Week </w:t>
            </w:r>
            <w:r w:rsidR="00F861A4" w:rsidRPr="005C5513">
              <w:rPr>
                <w:rFonts w:ascii="Times New Roman" w:hAnsi="Times New Roman" w:cs="Times New Roman"/>
                <w:sz w:val="20"/>
                <w:szCs w:val="20"/>
              </w:rPr>
              <w:t>1</w:t>
            </w:r>
            <w:r w:rsidRPr="005C5513">
              <w:rPr>
                <w:rFonts w:ascii="Times New Roman" w:hAnsi="Times New Roman" w:cs="Times New Roman"/>
                <w:sz w:val="20"/>
                <w:szCs w:val="20"/>
              </w:rPr>
              <w:t xml:space="preserve"> </w:t>
            </w:r>
            <w:r w:rsidR="00F861A4" w:rsidRPr="005C5513">
              <w:rPr>
                <w:rFonts w:ascii="Times New Roman" w:hAnsi="Times New Roman" w:cs="Times New Roman"/>
                <w:sz w:val="20"/>
                <w:szCs w:val="20"/>
              </w:rPr>
              <w:t>to</w:t>
            </w:r>
            <w:r w:rsidR="00392380" w:rsidRPr="005C5513">
              <w:rPr>
                <w:rFonts w:ascii="Times New Roman" w:hAnsi="Times New Roman" w:cs="Times New Roman"/>
                <w:sz w:val="20"/>
                <w:szCs w:val="20"/>
              </w:rPr>
              <w:t xml:space="preserve"> </w:t>
            </w:r>
            <w:r w:rsidRPr="005C5513">
              <w:rPr>
                <w:rFonts w:ascii="Times New Roman" w:hAnsi="Times New Roman" w:cs="Times New Roman"/>
                <w:sz w:val="20"/>
                <w:szCs w:val="20"/>
              </w:rPr>
              <w:t xml:space="preserve">Week </w:t>
            </w:r>
            <w:r w:rsidR="00F861A4" w:rsidRPr="005C5513">
              <w:rPr>
                <w:rFonts w:ascii="Times New Roman" w:hAnsi="Times New Roman" w:cs="Times New Roman"/>
                <w:sz w:val="20"/>
                <w:szCs w:val="20"/>
              </w:rPr>
              <w:t>4</w:t>
            </w:r>
          </w:p>
        </w:tc>
        <w:tc>
          <w:tcPr>
            <w:tcW w:w="1009" w:type="pct"/>
            <w:tcBorders>
              <w:top w:val="single" w:sz="12" w:space="0" w:color="auto"/>
              <w:left w:val="nil"/>
            </w:tcBorders>
            <w:vAlign w:val="center"/>
          </w:tcPr>
          <w:p w14:paraId="6D88F7B0" w14:textId="0D7C15B3" w:rsidR="00E02F0D" w:rsidRPr="005C5513" w:rsidRDefault="00E02F0D" w:rsidP="009469A9">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 xml:space="preserve">Week </w:t>
            </w:r>
            <w:r w:rsidR="00F861A4" w:rsidRPr="005C5513">
              <w:rPr>
                <w:rFonts w:ascii="Times New Roman" w:hAnsi="Times New Roman" w:cs="Times New Roman"/>
                <w:sz w:val="20"/>
                <w:szCs w:val="20"/>
              </w:rPr>
              <w:t>1</w:t>
            </w:r>
            <w:r w:rsidRPr="005C5513">
              <w:rPr>
                <w:rFonts w:ascii="Times New Roman" w:hAnsi="Times New Roman" w:cs="Times New Roman"/>
                <w:sz w:val="20"/>
                <w:szCs w:val="20"/>
              </w:rPr>
              <w:t xml:space="preserve"> </w:t>
            </w:r>
            <w:r w:rsidR="00F861A4" w:rsidRPr="005C5513">
              <w:rPr>
                <w:rFonts w:ascii="Times New Roman" w:hAnsi="Times New Roman" w:cs="Times New Roman"/>
                <w:sz w:val="20"/>
                <w:szCs w:val="20"/>
              </w:rPr>
              <w:t>to</w:t>
            </w:r>
            <w:r w:rsidR="00392380" w:rsidRPr="005C5513">
              <w:rPr>
                <w:rFonts w:ascii="Times New Roman" w:hAnsi="Times New Roman" w:cs="Times New Roman"/>
                <w:sz w:val="20"/>
                <w:szCs w:val="20"/>
              </w:rPr>
              <w:t xml:space="preserve"> </w:t>
            </w:r>
            <w:r w:rsidRPr="005C5513">
              <w:rPr>
                <w:rFonts w:ascii="Times New Roman" w:hAnsi="Times New Roman" w:cs="Times New Roman"/>
                <w:sz w:val="20"/>
                <w:szCs w:val="20"/>
              </w:rPr>
              <w:t xml:space="preserve">Week </w:t>
            </w:r>
            <w:r w:rsidR="00F861A4" w:rsidRPr="005C5513">
              <w:rPr>
                <w:rFonts w:ascii="Times New Roman" w:hAnsi="Times New Roman" w:cs="Times New Roman"/>
                <w:sz w:val="20"/>
                <w:szCs w:val="20"/>
              </w:rPr>
              <w:t>4</w:t>
            </w:r>
          </w:p>
        </w:tc>
      </w:tr>
      <w:tr w:rsidR="00E02F0D" w:rsidRPr="005C5513" w14:paraId="44ACD522" w14:textId="77777777" w:rsidTr="002D7417">
        <w:trPr>
          <w:trHeight w:val="444"/>
          <w:jc w:val="center"/>
        </w:trPr>
        <w:tc>
          <w:tcPr>
            <w:tcW w:w="962" w:type="pct"/>
            <w:tcBorders>
              <w:bottom w:val="single" w:sz="4" w:space="0" w:color="auto"/>
            </w:tcBorders>
            <w:noWrap/>
            <w:vAlign w:val="center"/>
            <w:hideMark/>
          </w:tcPr>
          <w:p w14:paraId="361DE180" w14:textId="77777777" w:rsidR="00E02F0D" w:rsidRPr="005C5513" w:rsidRDefault="00E02F0D" w:rsidP="005D0506">
            <w:pPr>
              <w:adjustRightInd w:val="0"/>
              <w:rPr>
                <w:rFonts w:ascii="Times New Roman" w:hAnsi="Times New Roman" w:cs="Times New Roman"/>
                <w:sz w:val="20"/>
                <w:szCs w:val="20"/>
              </w:rPr>
            </w:pPr>
            <w:r w:rsidRPr="005C5513">
              <w:rPr>
                <w:rFonts w:ascii="Times New Roman" w:hAnsi="Times New Roman" w:cs="Times New Roman"/>
                <w:sz w:val="20"/>
                <w:szCs w:val="20"/>
              </w:rPr>
              <w:t>Variable</w:t>
            </w:r>
          </w:p>
        </w:tc>
        <w:tc>
          <w:tcPr>
            <w:tcW w:w="1010" w:type="pct"/>
            <w:tcBorders>
              <w:bottom w:val="single" w:sz="4" w:space="0" w:color="auto"/>
            </w:tcBorders>
            <w:noWrap/>
            <w:vAlign w:val="center"/>
            <w:hideMark/>
          </w:tcPr>
          <w:p w14:paraId="3360CB69" w14:textId="366501BB" w:rsidR="00E02F0D" w:rsidRPr="005C5513" w:rsidRDefault="00E02F0D" w:rsidP="005D0506">
            <w:pPr>
              <w:adjustRightInd w:val="0"/>
              <w:jc w:val="center"/>
              <w:rPr>
                <w:rFonts w:ascii="Times New Roman" w:hAnsi="Times New Roman" w:cs="Times New Roman"/>
                <w:sz w:val="20"/>
                <w:szCs w:val="20"/>
              </w:rPr>
            </w:pPr>
            <w:r w:rsidRPr="005C5513">
              <w:rPr>
                <w:rFonts w:ascii="Times New Roman" w:hAnsi="Times New Roman" w:cs="Times New Roman"/>
                <w:b/>
                <w:bCs/>
                <w:sz w:val="20"/>
                <w:szCs w:val="20"/>
                <w:lang w:bidi="en-US"/>
              </w:rPr>
              <w:t>Δ</w:t>
            </w:r>
            <w:r w:rsidRPr="005C5513">
              <w:rPr>
                <w:rFonts w:ascii="Times New Roman" w:hAnsi="Times New Roman" w:cs="Times New Roman"/>
                <w:b/>
                <w:bCs/>
                <w:sz w:val="20"/>
                <w:szCs w:val="20"/>
                <w:vertAlign w:val="subscript"/>
                <w:lang w:bidi="en-US"/>
              </w:rPr>
              <w:t>1</w:t>
            </w:r>
            <w:r w:rsidRPr="005C5513">
              <w:rPr>
                <w:rFonts w:ascii="Times New Roman" w:hAnsi="Times New Roman" w:cs="Times New Roman"/>
                <w:b/>
                <w:bCs/>
                <w:sz w:val="20"/>
                <w:szCs w:val="20"/>
                <w:lang w:bidi="en-US"/>
              </w:rPr>
              <w:t xml:space="preserve"> = P</w:t>
            </w:r>
            <w:r w:rsidR="00A23403" w:rsidRPr="005C5513">
              <w:rPr>
                <w:rFonts w:ascii="Times New Roman" w:hAnsi="Times New Roman" w:cs="Times New Roman"/>
                <w:b/>
                <w:bCs/>
                <w:sz w:val="20"/>
                <w:szCs w:val="20"/>
                <w:lang w:bidi="en-US"/>
              </w:rPr>
              <w:t>re to Post</w:t>
            </w:r>
          </w:p>
        </w:tc>
        <w:tc>
          <w:tcPr>
            <w:tcW w:w="1058" w:type="pct"/>
            <w:tcBorders>
              <w:bottom w:val="single" w:sz="4" w:space="0" w:color="auto"/>
            </w:tcBorders>
            <w:noWrap/>
            <w:vAlign w:val="center"/>
            <w:hideMark/>
          </w:tcPr>
          <w:p w14:paraId="71B13A53" w14:textId="77E16A0A" w:rsidR="00E02F0D" w:rsidRPr="005C5513" w:rsidRDefault="00E02F0D" w:rsidP="005D0506">
            <w:pPr>
              <w:adjustRightInd w:val="0"/>
              <w:jc w:val="center"/>
              <w:rPr>
                <w:rFonts w:ascii="Times New Roman" w:hAnsi="Times New Roman" w:cs="Times New Roman"/>
                <w:sz w:val="20"/>
                <w:szCs w:val="20"/>
              </w:rPr>
            </w:pPr>
            <w:r w:rsidRPr="005C5513">
              <w:rPr>
                <w:rFonts w:ascii="Times New Roman" w:hAnsi="Times New Roman" w:cs="Times New Roman"/>
                <w:b/>
                <w:bCs/>
                <w:sz w:val="20"/>
                <w:szCs w:val="20"/>
                <w:lang w:bidi="en-US"/>
              </w:rPr>
              <w:t>Δ</w:t>
            </w:r>
            <w:r w:rsidRPr="005C5513">
              <w:rPr>
                <w:rFonts w:ascii="Times New Roman" w:hAnsi="Times New Roman" w:cs="Times New Roman"/>
                <w:b/>
                <w:bCs/>
                <w:sz w:val="20"/>
                <w:szCs w:val="20"/>
                <w:vertAlign w:val="subscript"/>
                <w:lang w:bidi="en-US"/>
              </w:rPr>
              <w:t>1</w:t>
            </w:r>
            <w:r w:rsidRPr="005C5513">
              <w:rPr>
                <w:rFonts w:ascii="Times New Roman" w:hAnsi="Times New Roman" w:cs="Times New Roman"/>
                <w:b/>
                <w:bCs/>
                <w:sz w:val="20"/>
                <w:szCs w:val="20"/>
                <w:lang w:bidi="en-US"/>
              </w:rPr>
              <w:t xml:space="preserve"> = P</w:t>
            </w:r>
            <w:r w:rsidR="00A23403" w:rsidRPr="005C5513">
              <w:rPr>
                <w:rFonts w:ascii="Times New Roman" w:hAnsi="Times New Roman" w:cs="Times New Roman"/>
                <w:b/>
                <w:bCs/>
                <w:sz w:val="20"/>
                <w:szCs w:val="20"/>
                <w:lang w:bidi="en-US"/>
              </w:rPr>
              <w:t xml:space="preserve">re to </w:t>
            </w:r>
            <w:r w:rsidRPr="005C5513">
              <w:rPr>
                <w:rFonts w:ascii="Times New Roman" w:hAnsi="Times New Roman" w:cs="Times New Roman"/>
                <w:b/>
                <w:bCs/>
                <w:sz w:val="20"/>
                <w:szCs w:val="20"/>
                <w:lang w:bidi="en-US"/>
              </w:rPr>
              <w:t>P</w:t>
            </w:r>
            <w:r w:rsidR="00A23403" w:rsidRPr="005C5513">
              <w:rPr>
                <w:rFonts w:ascii="Times New Roman" w:hAnsi="Times New Roman" w:cs="Times New Roman"/>
                <w:b/>
                <w:bCs/>
                <w:sz w:val="20"/>
                <w:szCs w:val="20"/>
                <w:lang w:bidi="en-US"/>
              </w:rPr>
              <w:t>ost</w:t>
            </w:r>
          </w:p>
        </w:tc>
        <w:tc>
          <w:tcPr>
            <w:tcW w:w="962" w:type="pct"/>
            <w:tcBorders>
              <w:bottom w:val="single" w:sz="4" w:space="0" w:color="auto"/>
            </w:tcBorders>
            <w:noWrap/>
            <w:vAlign w:val="center"/>
            <w:hideMark/>
          </w:tcPr>
          <w:p w14:paraId="0AA73426" w14:textId="0FAE96C1" w:rsidR="00E02F0D" w:rsidRPr="005C5513" w:rsidRDefault="00816CA7" w:rsidP="005D0506">
            <w:pPr>
              <w:adjustRightInd w:val="0"/>
              <w:jc w:val="center"/>
              <w:rPr>
                <w:rFonts w:ascii="Times New Roman" w:hAnsi="Times New Roman" w:cs="Times New Roman"/>
                <w:sz w:val="20"/>
                <w:szCs w:val="20"/>
              </w:rPr>
            </w:pPr>
            <w:r w:rsidRPr="005C5513">
              <w:rPr>
                <w:rFonts w:ascii="Times New Roman" w:hAnsi="Times New Roman" w:cs="Times New Roman"/>
                <w:b/>
                <w:bCs/>
                <w:sz w:val="20"/>
                <w:szCs w:val="20"/>
                <w:lang w:bidi="en-US"/>
              </w:rPr>
              <w:t>Δ</w:t>
            </w:r>
            <w:r w:rsidRPr="005C5513">
              <w:rPr>
                <w:rFonts w:ascii="Times New Roman" w:hAnsi="Times New Roman" w:cs="Times New Roman"/>
                <w:b/>
                <w:bCs/>
                <w:sz w:val="20"/>
                <w:szCs w:val="20"/>
                <w:vertAlign w:val="subscript"/>
                <w:lang w:bidi="en-US"/>
              </w:rPr>
              <w:t>1</w:t>
            </w:r>
            <w:r w:rsidRPr="005C5513">
              <w:rPr>
                <w:rFonts w:ascii="Times New Roman" w:hAnsi="Times New Roman" w:cs="Times New Roman"/>
                <w:b/>
                <w:bCs/>
                <w:sz w:val="20"/>
                <w:szCs w:val="20"/>
                <w:lang w:bidi="en-US"/>
              </w:rPr>
              <w:t xml:space="preserve"> = Pre</w:t>
            </w:r>
            <w:r w:rsidR="00D12A5D" w:rsidRPr="005C5513">
              <w:rPr>
                <w:rFonts w:ascii="Times New Roman" w:hAnsi="Times New Roman" w:cs="Times New Roman"/>
                <w:b/>
                <w:bCs/>
                <w:sz w:val="20"/>
                <w:szCs w:val="20"/>
                <w:lang w:bidi="en-US"/>
              </w:rPr>
              <w:t xml:space="preserve"> to </w:t>
            </w:r>
            <w:r w:rsidRPr="005C5513">
              <w:rPr>
                <w:rFonts w:ascii="Times New Roman" w:hAnsi="Times New Roman" w:cs="Times New Roman"/>
                <w:b/>
                <w:bCs/>
                <w:sz w:val="20"/>
                <w:szCs w:val="20"/>
                <w:lang w:bidi="en-US"/>
              </w:rPr>
              <w:t>Pre</w:t>
            </w:r>
          </w:p>
        </w:tc>
        <w:tc>
          <w:tcPr>
            <w:tcW w:w="1009" w:type="pct"/>
            <w:tcBorders>
              <w:bottom w:val="single" w:sz="4" w:space="0" w:color="auto"/>
            </w:tcBorders>
            <w:vAlign w:val="center"/>
          </w:tcPr>
          <w:p w14:paraId="4B883D84" w14:textId="1DFEFB67" w:rsidR="00E02F0D" w:rsidRPr="005C5513" w:rsidRDefault="00816CA7" w:rsidP="005D0506">
            <w:pPr>
              <w:adjustRightInd w:val="0"/>
              <w:jc w:val="center"/>
              <w:rPr>
                <w:rFonts w:ascii="Times New Roman" w:hAnsi="Times New Roman" w:cs="Times New Roman"/>
                <w:sz w:val="20"/>
                <w:szCs w:val="20"/>
              </w:rPr>
            </w:pPr>
            <w:r w:rsidRPr="005C5513">
              <w:rPr>
                <w:rFonts w:ascii="Times New Roman" w:hAnsi="Times New Roman" w:cs="Times New Roman"/>
                <w:b/>
                <w:bCs/>
                <w:sz w:val="20"/>
                <w:szCs w:val="20"/>
                <w:lang w:bidi="en-US"/>
              </w:rPr>
              <w:t>Δ</w:t>
            </w:r>
            <w:r w:rsidRPr="005C5513">
              <w:rPr>
                <w:rFonts w:ascii="Times New Roman" w:hAnsi="Times New Roman" w:cs="Times New Roman"/>
                <w:b/>
                <w:bCs/>
                <w:sz w:val="20"/>
                <w:szCs w:val="20"/>
                <w:vertAlign w:val="subscript"/>
                <w:lang w:bidi="en-US"/>
              </w:rPr>
              <w:t>1</w:t>
            </w:r>
            <w:r w:rsidRPr="005C5513">
              <w:rPr>
                <w:rFonts w:ascii="Times New Roman" w:hAnsi="Times New Roman" w:cs="Times New Roman"/>
                <w:b/>
                <w:bCs/>
                <w:sz w:val="20"/>
                <w:szCs w:val="20"/>
                <w:lang w:bidi="en-US"/>
              </w:rPr>
              <w:t xml:space="preserve"> = Post</w:t>
            </w:r>
            <w:r w:rsidR="00D12A5D" w:rsidRPr="005C5513">
              <w:rPr>
                <w:rFonts w:ascii="Times New Roman" w:hAnsi="Times New Roman" w:cs="Times New Roman"/>
                <w:b/>
                <w:bCs/>
                <w:sz w:val="20"/>
                <w:szCs w:val="20"/>
                <w:lang w:bidi="en-US"/>
              </w:rPr>
              <w:t xml:space="preserve"> to </w:t>
            </w:r>
            <w:r w:rsidRPr="005C5513">
              <w:rPr>
                <w:rFonts w:ascii="Times New Roman" w:hAnsi="Times New Roman" w:cs="Times New Roman"/>
                <w:b/>
                <w:bCs/>
                <w:sz w:val="20"/>
                <w:szCs w:val="20"/>
                <w:lang w:bidi="en-US"/>
              </w:rPr>
              <w:t>Post</w:t>
            </w:r>
          </w:p>
        </w:tc>
      </w:tr>
      <w:tr w:rsidR="00E02F0D" w:rsidRPr="005C5513" w14:paraId="333723F2" w14:textId="77777777" w:rsidTr="002D7417">
        <w:trPr>
          <w:trHeight w:val="444"/>
          <w:jc w:val="center"/>
        </w:trPr>
        <w:tc>
          <w:tcPr>
            <w:tcW w:w="962" w:type="pct"/>
            <w:tcBorders>
              <w:top w:val="single" w:sz="4" w:space="0" w:color="auto"/>
            </w:tcBorders>
            <w:noWrap/>
            <w:vAlign w:val="center"/>
            <w:hideMark/>
          </w:tcPr>
          <w:p w14:paraId="35794D92" w14:textId="4727B624" w:rsidR="00E02F0D" w:rsidRPr="005C5513" w:rsidRDefault="00E02F0D" w:rsidP="005D0506">
            <w:pPr>
              <w:adjustRightInd w:val="0"/>
              <w:rPr>
                <w:rFonts w:ascii="Times New Roman" w:hAnsi="Times New Roman" w:cs="Times New Roman"/>
                <w:sz w:val="20"/>
                <w:szCs w:val="20"/>
              </w:rPr>
            </w:pPr>
            <w:r w:rsidRPr="005C5513">
              <w:rPr>
                <w:rFonts w:ascii="Times New Roman" w:hAnsi="Times New Roman" w:cs="Times New Roman"/>
                <w:bCs/>
                <w:sz w:val="20"/>
                <w:szCs w:val="20"/>
              </w:rPr>
              <w:t>T (</w:t>
            </w:r>
            <w:proofErr w:type="spellStart"/>
            <w:r w:rsidRPr="005C5513">
              <w:rPr>
                <w:rFonts w:ascii="Times New Roman" w:hAnsi="Times New Roman" w:cs="Times New Roman"/>
                <w:bCs/>
                <w:sz w:val="20"/>
                <w:szCs w:val="20"/>
                <w:lang w:bidi="en-US"/>
              </w:rPr>
              <w:t>pg</w:t>
            </w:r>
            <w:proofErr w:type="spellEnd"/>
            <w:r w:rsidRPr="005C5513">
              <w:rPr>
                <w:rFonts w:ascii="Times New Roman" w:hAnsi="Times New Roman" w:cs="Times New Roman"/>
                <w:bCs/>
                <w:sz w:val="20"/>
                <w:szCs w:val="20"/>
                <w:lang w:bidi="en-US"/>
              </w:rPr>
              <w:t>/mL)</w:t>
            </w:r>
            <w:r w:rsidR="002D7417">
              <w:rPr>
                <w:rFonts w:ascii="Times New Roman" w:hAnsi="Times New Roman" w:cs="Times New Roman"/>
                <w:bCs/>
                <w:sz w:val="20"/>
                <w:szCs w:val="20"/>
                <w:lang w:bidi="en-US"/>
              </w:rPr>
              <w:t xml:space="preserve"> (abs</w:t>
            </w:r>
            <w:r w:rsidR="002D7417" w:rsidRPr="00D66C52">
              <w:rPr>
                <w:rFonts w:ascii="Times New Roman" w:hAnsi="Times New Roman" w:cs="Times New Roman"/>
                <w:sz w:val="18"/>
                <w:szCs w:val="18"/>
                <w:lang w:bidi="en-US"/>
              </w:rPr>
              <w:sym w:font="Symbol" w:char="F044"/>
            </w:r>
            <w:r w:rsidR="002D7417">
              <w:rPr>
                <w:rFonts w:ascii="Times New Roman" w:hAnsi="Times New Roman" w:cs="Times New Roman"/>
                <w:sz w:val="18"/>
                <w:szCs w:val="18"/>
                <w:lang w:bidi="en-US"/>
              </w:rPr>
              <w:t>)</w:t>
            </w:r>
          </w:p>
        </w:tc>
        <w:tc>
          <w:tcPr>
            <w:tcW w:w="1010" w:type="pct"/>
            <w:tcBorders>
              <w:top w:val="single" w:sz="4" w:space="0" w:color="auto"/>
            </w:tcBorders>
            <w:noWrap/>
            <w:vAlign w:val="center"/>
            <w:hideMark/>
          </w:tcPr>
          <w:p w14:paraId="09A1BA2D" w14:textId="044C7579" w:rsidR="00E02F0D" w:rsidRPr="005C5513" w:rsidRDefault="00515A1C"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7</w:t>
            </w:r>
            <w:r w:rsidR="00F519D5" w:rsidRPr="005C5513">
              <w:rPr>
                <w:rFonts w:ascii="Times New Roman" w:hAnsi="Times New Roman" w:cs="Times New Roman"/>
                <w:sz w:val="20"/>
                <w:szCs w:val="20"/>
              </w:rPr>
              <w:t>5.</w:t>
            </w:r>
            <w:r w:rsidRPr="005C5513">
              <w:rPr>
                <w:rFonts w:ascii="Times New Roman" w:hAnsi="Times New Roman" w:cs="Times New Roman"/>
                <w:sz w:val="20"/>
                <w:szCs w:val="20"/>
              </w:rPr>
              <w:t>7</w:t>
            </w:r>
            <w:r w:rsidR="00F519D5" w:rsidRPr="005C5513">
              <w:rPr>
                <w:rFonts w:ascii="Times New Roman" w:hAnsi="Times New Roman" w:cs="Times New Roman"/>
                <w:sz w:val="20"/>
                <w:szCs w:val="20"/>
              </w:rPr>
              <w:t xml:space="preserve"> ± 1</w:t>
            </w:r>
            <w:r w:rsidRPr="005C5513">
              <w:rPr>
                <w:rFonts w:ascii="Times New Roman" w:hAnsi="Times New Roman" w:cs="Times New Roman"/>
                <w:sz w:val="20"/>
                <w:szCs w:val="20"/>
              </w:rPr>
              <w:t>24</w:t>
            </w:r>
            <w:r w:rsidR="00F519D5" w:rsidRPr="005C5513">
              <w:rPr>
                <w:rFonts w:ascii="Times New Roman" w:hAnsi="Times New Roman" w:cs="Times New Roman"/>
                <w:sz w:val="20"/>
                <w:szCs w:val="20"/>
              </w:rPr>
              <w:t>.</w:t>
            </w:r>
            <w:r w:rsidRPr="005C5513">
              <w:rPr>
                <w:rFonts w:ascii="Times New Roman" w:hAnsi="Times New Roman" w:cs="Times New Roman"/>
                <w:sz w:val="20"/>
                <w:szCs w:val="20"/>
              </w:rPr>
              <w:t>7</w:t>
            </w:r>
          </w:p>
        </w:tc>
        <w:tc>
          <w:tcPr>
            <w:tcW w:w="1058" w:type="pct"/>
            <w:tcBorders>
              <w:top w:val="single" w:sz="4" w:space="0" w:color="auto"/>
            </w:tcBorders>
            <w:noWrap/>
            <w:vAlign w:val="center"/>
            <w:hideMark/>
          </w:tcPr>
          <w:p w14:paraId="1091A45A" w14:textId="2948B340" w:rsidR="00E02F0D" w:rsidRPr="005C5513" w:rsidRDefault="00F519D5"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45.8 ± 52.3</w:t>
            </w:r>
          </w:p>
        </w:tc>
        <w:tc>
          <w:tcPr>
            <w:tcW w:w="962" w:type="pct"/>
            <w:tcBorders>
              <w:top w:val="single" w:sz="4" w:space="0" w:color="auto"/>
            </w:tcBorders>
            <w:noWrap/>
            <w:vAlign w:val="center"/>
            <w:hideMark/>
          </w:tcPr>
          <w:p w14:paraId="21787632" w14:textId="3F811498" w:rsidR="00E02F0D" w:rsidRPr="005C5513" w:rsidRDefault="00851437"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 xml:space="preserve">- </w:t>
            </w:r>
            <w:r w:rsidR="00515A1C" w:rsidRPr="005C5513">
              <w:rPr>
                <w:rFonts w:ascii="Times New Roman" w:hAnsi="Times New Roman" w:cs="Times New Roman"/>
                <w:sz w:val="20"/>
                <w:szCs w:val="20"/>
              </w:rPr>
              <w:t>17</w:t>
            </w:r>
            <w:r w:rsidRPr="005C5513">
              <w:rPr>
                <w:rFonts w:ascii="Times New Roman" w:hAnsi="Times New Roman" w:cs="Times New Roman"/>
                <w:sz w:val="20"/>
                <w:szCs w:val="20"/>
              </w:rPr>
              <w:t>.</w:t>
            </w:r>
            <w:r w:rsidR="00515A1C" w:rsidRPr="005C5513">
              <w:rPr>
                <w:rFonts w:ascii="Times New Roman" w:hAnsi="Times New Roman" w:cs="Times New Roman"/>
                <w:sz w:val="20"/>
                <w:szCs w:val="20"/>
              </w:rPr>
              <w:t>7</w:t>
            </w:r>
            <w:r w:rsidRPr="005C5513">
              <w:rPr>
                <w:rFonts w:ascii="Times New Roman" w:hAnsi="Times New Roman" w:cs="Times New Roman"/>
                <w:sz w:val="20"/>
                <w:szCs w:val="20"/>
              </w:rPr>
              <w:t xml:space="preserve"> ± </w:t>
            </w:r>
            <w:r w:rsidR="00515A1C" w:rsidRPr="005C5513">
              <w:rPr>
                <w:rFonts w:ascii="Times New Roman" w:hAnsi="Times New Roman" w:cs="Times New Roman"/>
                <w:sz w:val="20"/>
                <w:szCs w:val="20"/>
              </w:rPr>
              <w:t>59</w:t>
            </w:r>
            <w:r w:rsidRPr="005C5513">
              <w:rPr>
                <w:rFonts w:ascii="Times New Roman" w:hAnsi="Times New Roman" w:cs="Times New Roman"/>
                <w:sz w:val="20"/>
                <w:szCs w:val="20"/>
              </w:rPr>
              <w:t>.</w:t>
            </w:r>
            <w:r w:rsidR="00515A1C" w:rsidRPr="005C5513">
              <w:rPr>
                <w:rFonts w:ascii="Times New Roman" w:hAnsi="Times New Roman" w:cs="Times New Roman"/>
                <w:sz w:val="20"/>
                <w:szCs w:val="20"/>
              </w:rPr>
              <w:t>0</w:t>
            </w:r>
          </w:p>
        </w:tc>
        <w:tc>
          <w:tcPr>
            <w:tcW w:w="1009" w:type="pct"/>
            <w:tcBorders>
              <w:top w:val="single" w:sz="4" w:space="0" w:color="auto"/>
            </w:tcBorders>
            <w:vAlign w:val="center"/>
          </w:tcPr>
          <w:p w14:paraId="255B1B68" w14:textId="2454CF02" w:rsidR="00E02F0D" w:rsidRPr="005C5513" w:rsidRDefault="00851437"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 xml:space="preserve">- </w:t>
            </w:r>
            <w:r w:rsidR="005E2A7D" w:rsidRPr="005C5513">
              <w:rPr>
                <w:rFonts w:ascii="Times New Roman" w:hAnsi="Times New Roman" w:cs="Times New Roman"/>
                <w:sz w:val="20"/>
                <w:szCs w:val="20"/>
              </w:rPr>
              <w:t>47</w:t>
            </w:r>
            <w:r w:rsidRPr="005C5513">
              <w:rPr>
                <w:rFonts w:ascii="Times New Roman" w:hAnsi="Times New Roman" w:cs="Times New Roman"/>
                <w:sz w:val="20"/>
                <w:szCs w:val="20"/>
              </w:rPr>
              <w:t>.</w:t>
            </w:r>
            <w:r w:rsidR="005E2A7D" w:rsidRPr="005C5513">
              <w:rPr>
                <w:rFonts w:ascii="Times New Roman" w:hAnsi="Times New Roman" w:cs="Times New Roman"/>
                <w:sz w:val="20"/>
                <w:szCs w:val="20"/>
              </w:rPr>
              <w:t>7</w:t>
            </w:r>
            <w:r w:rsidRPr="005C5513">
              <w:rPr>
                <w:rFonts w:ascii="Times New Roman" w:hAnsi="Times New Roman" w:cs="Times New Roman"/>
                <w:sz w:val="20"/>
                <w:szCs w:val="20"/>
              </w:rPr>
              <w:t xml:space="preserve"> ± </w:t>
            </w:r>
            <w:r w:rsidR="005E2A7D" w:rsidRPr="005C5513">
              <w:rPr>
                <w:rFonts w:ascii="Times New Roman" w:hAnsi="Times New Roman" w:cs="Times New Roman"/>
                <w:sz w:val="20"/>
                <w:szCs w:val="20"/>
              </w:rPr>
              <w:t>114</w:t>
            </w:r>
            <w:r w:rsidRPr="005C5513">
              <w:rPr>
                <w:rFonts w:ascii="Times New Roman" w:hAnsi="Times New Roman" w:cs="Times New Roman"/>
                <w:sz w:val="20"/>
                <w:szCs w:val="20"/>
              </w:rPr>
              <w:t>.4</w:t>
            </w:r>
          </w:p>
        </w:tc>
      </w:tr>
      <w:tr w:rsidR="00E02F0D" w:rsidRPr="005C5513" w14:paraId="71C71B02" w14:textId="77777777" w:rsidTr="002D7417">
        <w:trPr>
          <w:trHeight w:val="444"/>
          <w:jc w:val="center"/>
        </w:trPr>
        <w:tc>
          <w:tcPr>
            <w:tcW w:w="962" w:type="pct"/>
            <w:vAlign w:val="center"/>
            <w:hideMark/>
          </w:tcPr>
          <w:p w14:paraId="656AD979" w14:textId="34CD6323" w:rsidR="00E02F0D" w:rsidRPr="005C5513" w:rsidRDefault="00E02F0D" w:rsidP="005D0506">
            <w:pPr>
              <w:adjustRightInd w:val="0"/>
              <w:rPr>
                <w:rFonts w:ascii="Times New Roman" w:hAnsi="Times New Roman" w:cs="Times New Roman"/>
                <w:sz w:val="20"/>
                <w:szCs w:val="20"/>
              </w:rPr>
            </w:pPr>
            <w:r w:rsidRPr="005C5513">
              <w:rPr>
                <w:rFonts w:ascii="Times New Roman" w:hAnsi="Times New Roman" w:cs="Times New Roman"/>
                <w:bCs/>
                <w:sz w:val="20"/>
                <w:szCs w:val="20"/>
              </w:rPr>
              <w:t xml:space="preserve">C </w:t>
            </w:r>
            <w:r w:rsidRPr="005C5513">
              <w:rPr>
                <w:rFonts w:ascii="Times New Roman" w:hAnsi="Times New Roman" w:cs="Times New Roman"/>
                <w:bCs/>
                <w:sz w:val="20"/>
                <w:szCs w:val="20"/>
                <w:lang w:bidi="en-US"/>
              </w:rPr>
              <w:t>(µg/dL)</w:t>
            </w:r>
            <w:r w:rsidR="002D7417">
              <w:rPr>
                <w:rFonts w:ascii="Times New Roman" w:hAnsi="Times New Roman" w:cs="Times New Roman"/>
                <w:bCs/>
                <w:sz w:val="20"/>
                <w:szCs w:val="20"/>
                <w:lang w:bidi="en-US"/>
              </w:rPr>
              <w:t xml:space="preserve">  (abs</w:t>
            </w:r>
            <w:r w:rsidR="002D7417" w:rsidRPr="00D66C52">
              <w:rPr>
                <w:rFonts w:ascii="Times New Roman" w:hAnsi="Times New Roman" w:cs="Times New Roman"/>
                <w:sz w:val="18"/>
                <w:szCs w:val="18"/>
                <w:lang w:bidi="en-US"/>
              </w:rPr>
              <w:sym w:font="Symbol" w:char="F044"/>
            </w:r>
            <w:r w:rsidR="002D7417">
              <w:rPr>
                <w:rFonts w:ascii="Times New Roman" w:hAnsi="Times New Roman" w:cs="Times New Roman"/>
                <w:sz w:val="18"/>
                <w:szCs w:val="18"/>
                <w:lang w:bidi="en-US"/>
              </w:rPr>
              <w:t>)</w:t>
            </w:r>
          </w:p>
        </w:tc>
        <w:tc>
          <w:tcPr>
            <w:tcW w:w="1010" w:type="pct"/>
            <w:noWrap/>
            <w:vAlign w:val="center"/>
            <w:hideMark/>
          </w:tcPr>
          <w:p w14:paraId="4F25D9A3" w14:textId="516ED0CD" w:rsidR="00E02F0D" w:rsidRPr="00627105" w:rsidRDefault="00DF08C3" w:rsidP="005D0506">
            <w:pPr>
              <w:adjustRightInd w:val="0"/>
              <w:jc w:val="center"/>
              <w:rPr>
                <w:rFonts w:ascii="Times New Roman" w:hAnsi="Times New Roman" w:cs="Times New Roman"/>
                <w:color w:val="000000" w:themeColor="text1"/>
                <w:sz w:val="20"/>
                <w:szCs w:val="20"/>
              </w:rPr>
            </w:pPr>
            <w:r w:rsidRPr="00627105">
              <w:rPr>
                <w:rFonts w:ascii="Times New Roman" w:hAnsi="Times New Roman" w:cs="Times New Roman"/>
                <w:color w:val="000000" w:themeColor="text1"/>
                <w:sz w:val="20"/>
                <w:szCs w:val="20"/>
              </w:rPr>
              <w:t>0.</w:t>
            </w:r>
            <w:r w:rsidR="007127AC" w:rsidRPr="00627105">
              <w:rPr>
                <w:rFonts w:ascii="Times New Roman" w:hAnsi="Times New Roman" w:cs="Times New Roman"/>
                <w:color w:val="000000" w:themeColor="text1"/>
                <w:sz w:val="20"/>
                <w:szCs w:val="20"/>
              </w:rPr>
              <w:t>230</w:t>
            </w:r>
            <w:r w:rsidRPr="00627105">
              <w:rPr>
                <w:rFonts w:ascii="Times New Roman" w:hAnsi="Times New Roman" w:cs="Times New Roman"/>
                <w:color w:val="000000" w:themeColor="text1"/>
                <w:sz w:val="20"/>
                <w:szCs w:val="20"/>
              </w:rPr>
              <w:t xml:space="preserve"> ± 0.2</w:t>
            </w:r>
            <w:r w:rsidR="007127AC" w:rsidRPr="00627105">
              <w:rPr>
                <w:rFonts w:ascii="Times New Roman" w:hAnsi="Times New Roman" w:cs="Times New Roman"/>
                <w:color w:val="000000" w:themeColor="text1"/>
                <w:sz w:val="20"/>
                <w:szCs w:val="20"/>
              </w:rPr>
              <w:t>61</w:t>
            </w:r>
            <w:r w:rsidR="001935D8" w:rsidRPr="00627105">
              <w:rPr>
                <w:rFonts w:ascii="Times New Roman" w:hAnsi="Times New Roman" w:cs="Times New Roman"/>
                <w:color w:val="000000" w:themeColor="text1"/>
                <w:sz w:val="20"/>
                <w:szCs w:val="20"/>
              </w:rPr>
              <w:t>*</w:t>
            </w:r>
          </w:p>
        </w:tc>
        <w:tc>
          <w:tcPr>
            <w:tcW w:w="1058" w:type="pct"/>
            <w:noWrap/>
            <w:vAlign w:val="center"/>
            <w:hideMark/>
          </w:tcPr>
          <w:p w14:paraId="7E54E824" w14:textId="6415D4E8" w:rsidR="00E02F0D" w:rsidRPr="005C5513" w:rsidRDefault="00DF08C3"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0.0</w:t>
            </w:r>
            <w:r w:rsidR="000A2070" w:rsidRPr="005C5513">
              <w:rPr>
                <w:rFonts w:ascii="Times New Roman" w:hAnsi="Times New Roman" w:cs="Times New Roman"/>
                <w:sz w:val="20"/>
                <w:szCs w:val="20"/>
              </w:rPr>
              <w:t>54</w:t>
            </w:r>
            <w:r w:rsidRPr="005C5513">
              <w:rPr>
                <w:rFonts w:ascii="Times New Roman" w:hAnsi="Times New Roman" w:cs="Times New Roman"/>
                <w:sz w:val="20"/>
                <w:szCs w:val="20"/>
              </w:rPr>
              <w:t xml:space="preserve"> ± 0.2</w:t>
            </w:r>
            <w:r w:rsidR="000A2070" w:rsidRPr="005C5513">
              <w:rPr>
                <w:rFonts w:ascii="Times New Roman" w:hAnsi="Times New Roman" w:cs="Times New Roman"/>
                <w:sz w:val="20"/>
                <w:szCs w:val="20"/>
              </w:rPr>
              <w:t>21</w:t>
            </w:r>
          </w:p>
        </w:tc>
        <w:tc>
          <w:tcPr>
            <w:tcW w:w="962" w:type="pct"/>
            <w:noWrap/>
            <w:vAlign w:val="center"/>
            <w:hideMark/>
          </w:tcPr>
          <w:p w14:paraId="5749787C" w14:textId="754BBA83" w:rsidR="00E02F0D" w:rsidRPr="005C5513" w:rsidRDefault="00DF08C3"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0.0</w:t>
            </w:r>
            <w:r w:rsidR="007127AC" w:rsidRPr="005C5513">
              <w:rPr>
                <w:rFonts w:ascii="Times New Roman" w:hAnsi="Times New Roman" w:cs="Times New Roman"/>
                <w:sz w:val="20"/>
                <w:szCs w:val="20"/>
              </w:rPr>
              <w:t>42</w:t>
            </w:r>
            <w:r w:rsidRPr="005C5513">
              <w:rPr>
                <w:rFonts w:ascii="Times New Roman" w:hAnsi="Times New Roman" w:cs="Times New Roman"/>
                <w:sz w:val="20"/>
                <w:szCs w:val="20"/>
              </w:rPr>
              <w:t xml:space="preserve"> ± 0.</w:t>
            </w:r>
            <w:r w:rsidR="000A2070" w:rsidRPr="005C5513">
              <w:rPr>
                <w:rFonts w:ascii="Times New Roman" w:hAnsi="Times New Roman" w:cs="Times New Roman"/>
                <w:sz w:val="20"/>
                <w:szCs w:val="20"/>
              </w:rPr>
              <w:t>090</w:t>
            </w:r>
          </w:p>
        </w:tc>
        <w:tc>
          <w:tcPr>
            <w:tcW w:w="1009" w:type="pct"/>
            <w:vAlign w:val="center"/>
          </w:tcPr>
          <w:p w14:paraId="38A01EB7" w14:textId="66E77D8B" w:rsidR="00E02F0D" w:rsidRPr="005C5513" w:rsidRDefault="00DF08C3"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- 0.1</w:t>
            </w:r>
            <w:r w:rsidR="000A2070" w:rsidRPr="005C5513">
              <w:rPr>
                <w:rFonts w:ascii="Times New Roman" w:hAnsi="Times New Roman" w:cs="Times New Roman"/>
                <w:sz w:val="20"/>
                <w:szCs w:val="20"/>
              </w:rPr>
              <w:t>35</w:t>
            </w:r>
            <w:r w:rsidRPr="005C5513">
              <w:rPr>
                <w:rFonts w:ascii="Times New Roman" w:hAnsi="Times New Roman" w:cs="Times New Roman"/>
                <w:sz w:val="20"/>
                <w:szCs w:val="20"/>
              </w:rPr>
              <w:t xml:space="preserve"> ± 0.2</w:t>
            </w:r>
            <w:r w:rsidR="000A2070" w:rsidRPr="005C5513">
              <w:rPr>
                <w:rFonts w:ascii="Times New Roman" w:hAnsi="Times New Roman" w:cs="Times New Roman"/>
                <w:sz w:val="20"/>
                <w:szCs w:val="20"/>
              </w:rPr>
              <w:t>78</w:t>
            </w:r>
          </w:p>
        </w:tc>
      </w:tr>
      <w:tr w:rsidR="00E02F0D" w:rsidRPr="005C5513" w14:paraId="0FCE6825" w14:textId="77777777" w:rsidTr="002D7417">
        <w:trPr>
          <w:trHeight w:val="444"/>
          <w:jc w:val="center"/>
        </w:trPr>
        <w:tc>
          <w:tcPr>
            <w:tcW w:w="962" w:type="pct"/>
            <w:tcBorders>
              <w:bottom w:val="single" w:sz="4" w:space="0" w:color="auto"/>
            </w:tcBorders>
            <w:noWrap/>
            <w:vAlign w:val="center"/>
          </w:tcPr>
          <w:p w14:paraId="7E641555" w14:textId="5CDA110F" w:rsidR="00E02F0D" w:rsidRPr="005C5513" w:rsidRDefault="00E02F0D" w:rsidP="005D0506">
            <w:pPr>
              <w:adjustRightInd w:val="0"/>
              <w:rPr>
                <w:rFonts w:ascii="Times New Roman" w:hAnsi="Times New Roman" w:cs="Times New Roman"/>
                <w:bCs/>
                <w:sz w:val="20"/>
                <w:szCs w:val="20"/>
              </w:rPr>
            </w:pPr>
            <w:r w:rsidRPr="005C5513">
              <w:rPr>
                <w:rFonts w:ascii="Times New Roman" w:hAnsi="Times New Roman" w:cs="Times New Roman"/>
                <w:bCs/>
                <w:sz w:val="20"/>
                <w:szCs w:val="20"/>
              </w:rPr>
              <w:t>T:C</w:t>
            </w:r>
            <w:r w:rsidR="002D7417">
              <w:rPr>
                <w:rFonts w:ascii="Times New Roman" w:hAnsi="Times New Roman" w:cs="Times New Roman"/>
                <w:bCs/>
                <w:sz w:val="20"/>
                <w:szCs w:val="20"/>
              </w:rPr>
              <w:t xml:space="preserve"> </w:t>
            </w:r>
            <w:r w:rsidR="002D7417">
              <w:rPr>
                <w:rFonts w:ascii="Times New Roman" w:hAnsi="Times New Roman" w:cs="Times New Roman"/>
                <w:bCs/>
                <w:sz w:val="20"/>
                <w:szCs w:val="20"/>
                <w:lang w:bidi="en-US"/>
              </w:rPr>
              <w:t>(abs</w:t>
            </w:r>
            <w:r w:rsidR="002D7417" w:rsidRPr="00D66C52">
              <w:rPr>
                <w:rFonts w:ascii="Times New Roman" w:hAnsi="Times New Roman" w:cs="Times New Roman"/>
                <w:sz w:val="18"/>
                <w:szCs w:val="18"/>
                <w:lang w:bidi="en-US"/>
              </w:rPr>
              <w:sym w:font="Symbol" w:char="F044"/>
            </w:r>
            <w:r w:rsidR="002D7417">
              <w:rPr>
                <w:rFonts w:ascii="Times New Roman" w:hAnsi="Times New Roman" w:cs="Times New Roman"/>
                <w:sz w:val="18"/>
                <w:szCs w:val="18"/>
                <w:lang w:bidi="en-US"/>
              </w:rPr>
              <w:t>)</w:t>
            </w:r>
          </w:p>
        </w:tc>
        <w:tc>
          <w:tcPr>
            <w:tcW w:w="1010" w:type="pct"/>
            <w:tcBorders>
              <w:bottom w:val="single" w:sz="4" w:space="0" w:color="auto"/>
            </w:tcBorders>
            <w:noWrap/>
            <w:vAlign w:val="center"/>
          </w:tcPr>
          <w:p w14:paraId="60935696" w14:textId="234D1E1E" w:rsidR="00E02F0D" w:rsidRPr="00627105" w:rsidRDefault="00E5041A" w:rsidP="00E5041A">
            <w:pPr>
              <w:adjustRightInd w:val="0"/>
              <w:jc w:val="center"/>
              <w:rPr>
                <w:rFonts w:ascii="Times New Roman" w:hAnsi="Times New Roman" w:cs="Times New Roman"/>
                <w:color w:val="000000" w:themeColor="text1"/>
                <w:sz w:val="20"/>
                <w:szCs w:val="20"/>
              </w:rPr>
            </w:pPr>
            <w:r w:rsidRPr="00627105">
              <w:rPr>
                <w:rFonts w:ascii="Times New Roman" w:hAnsi="Times New Roman" w:cs="Times New Roman"/>
                <w:color w:val="000000" w:themeColor="text1"/>
                <w:sz w:val="20"/>
                <w:szCs w:val="20"/>
              </w:rPr>
              <w:t xml:space="preserve">- </w:t>
            </w:r>
            <w:r w:rsidR="007127AC" w:rsidRPr="00627105">
              <w:rPr>
                <w:rFonts w:ascii="Times New Roman" w:hAnsi="Times New Roman" w:cs="Times New Roman"/>
                <w:color w:val="000000" w:themeColor="text1"/>
                <w:sz w:val="20"/>
                <w:szCs w:val="20"/>
              </w:rPr>
              <w:t>370</w:t>
            </w:r>
            <w:r w:rsidRPr="00627105">
              <w:rPr>
                <w:rFonts w:ascii="Times New Roman" w:hAnsi="Times New Roman" w:cs="Times New Roman"/>
                <w:color w:val="000000" w:themeColor="text1"/>
                <w:sz w:val="20"/>
                <w:szCs w:val="20"/>
              </w:rPr>
              <w:t>.</w:t>
            </w:r>
            <w:r w:rsidR="007127AC" w:rsidRPr="00627105">
              <w:rPr>
                <w:rFonts w:ascii="Times New Roman" w:hAnsi="Times New Roman" w:cs="Times New Roman"/>
                <w:color w:val="000000" w:themeColor="text1"/>
                <w:sz w:val="20"/>
                <w:szCs w:val="20"/>
              </w:rPr>
              <w:t>2</w:t>
            </w:r>
            <w:r w:rsidRPr="00627105">
              <w:rPr>
                <w:rFonts w:ascii="Times New Roman" w:hAnsi="Times New Roman" w:cs="Times New Roman"/>
                <w:color w:val="000000" w:themeColor="text1"/>
                <w:sz w:val="20"/>
                <w:szCs w:val="20"/>
              </w:rPr>
              <w:t xml:space="preserve"> ± </w:t>
            </w:r>
            <w:r w:rsidR="007127AC" w:rsidRPr="00627105">
              <w:rPr>
                <w:rFonts w:ascii="Times New Roman" w:hAnsi="Times New Roman" w:cs="Times New Roman"/>
                <w:color w:val="000000" w:themeColor="text1"/>
                <w:sz w:val="20"/>
                <w:szCs w:val="20"/>
              </w:rPr>
              <w:t>707</w:t>
            </w:r>
            <w:r w:rsidRPr="00627105">
              <w:rPr>
                <w:rFonts w:ascii="Times New Roman" w:hAnsi="Times New Roman" w:cs="Times New Roman"/>
                <w:color w:val="000000" w:themeColor="text1"/>
                <w:sz w:val="20"/>
                <w:szCs w:val="20"/>
              </w:rPr>
              <w:t>.</w:t>
            </w:r>
            <w:r w:rsidR="007127AC" w:rsidRPr="00627105">
              <w:rPr>
                <w:rFonts w:ascii="Times New Roman" w:hAnsi="Times New Roman" w:cs="Times New Roman"/>
                <w:color w:val="000000" w:themeColor="text1"/>
                <w:sz w:val="20"/>
                <w:szCs w:val="20"/>
              </w:rPr>
              <w:t>0</w:t>
            </w:r>
            <w:r w:rsidR="001935D8" w:rsidRPr="00627105">
              <w:rPr>
                <w:rFonts w:ascii="Times New Roman" w:hAnsi="Times New Roman" w:cs="Times New Roman"/>
                <w:color w:val="000000" w:themeColor="text1"/>
                <w:sz w:val="20"/>
                <w:szCs w:val="20"/>
              </w:rPr>
              <w:t>*</w:t>
            </w:r>
          </w:p>
        </w:tc>
        <w:tc>
          <w:tcPr>
            <w:tcW w:w="1058" w:type="pct"/>
            <w:tcBorders>
              <w:bottom w:val="single" w:sz="4" w:space="0" w:color="auto"/>
            </w:tcBorders>
            <w:noWrap/>
            <w:vAlign w:val="center"/>
          </w:tcPr>
          <w:p w14:paraId="7D2B6F2A" w14:textId="1E88F31B" w:rsidR="00E02F0D" w:rsidRPr="005C5513" w:rsidRDefault="00437E7A"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153.4 ± 865.6</w:t>
            </w:r>
          </w:p>
        </w:tc>
        <w:tc>
          <w:tcPr>
            <w:tcW w:w="962" w:type="pct"/>
            <w:tcBorders>
              <w:bottom w:val="single" w:sz="4" w:space="0" w:color="auto"/>
            </w:tcBorders>
            <w:noWrap/>
            <w:vAlign w:val="center"/>
          </w:tcPr>
          <w:p w14:paraId="1622E5A7" w14:textId="3E534D8F" w:rsidR="00E02F0D" w:rsidRPr="005C5513" w:rsidRDefault="00437E7A"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- 2</w:t>
            </w:r>
            <w:r w:rsidR="007127AC" w:rsidRPr="005C5513">
              <w:rPr>
                <w:rFonts w:ascii="Times New Roman" w:hAnsi="Times New Roman" w:cs="Times New Roman"/>
                <w:sz w:val="20"/>
                <w:szCs w:val="20"/>
              </w:rPr>
              <w:t>14</w:t>
            </w:r>
            <w:r w:rsidRPr="005C5513">
              <w:rPr>
                <w:rFonts w:ascii="Times New Roman" w:hAnsi="Times New Roman" w:cs="Times New Roman"/>
                <w:sz w:val="20"/>
                <w:szCs w:val="20"/>
              </w:rPr>
              <w:t>.</w:t>
            </w:r>
            <w:r w:rsidR="007127AC" w:rsidRPr="005C5513">
              <w:rPr>
                <w:rFonts w:ascii="Times New Roman" w:hAnsi="Times New Roman" w:cs="Times New Roman"/>
                <w:sz w:val="20"/>
                <w:szCs w:val="20"/>
              </w:rPr>
              <w:t>8</w:t>
            </w:r>
            <w:r w:rsidRPr="005C5513">
              <w:rPr>
                <w:rFonts w:ascii="Times New Roman" w:hAnsi="Times New Roman" w:cs="Times New Roman"/>
                <w:sz w:val="20"/>
                <w:szCs w:val="20"/>
              </w:rPr>
              <w:t xml:space="preserve"> ± 61</w:t>
            </w:r>
            <w:r w:rsidR="007127AC" w:rsidRPr="005C5513">
              <w:rPr>
                <w:rFonts w:ascii="Times New Roman" w:hAnsi="Times New Roman" w:cs="Times New Roman"/>
                <w:sz w:val="20"/>
                <w:szCs w:val="20"/>
              </w:rPr>
              <w:t>7</w:t>
            </w:r>
            <w:r w:rsidRPr="005C5513">
              <w:rPr>
                <w:rFonts w:ascii="Times New Roman" w:hAnsi="Times New Roman" w:cs="Times New Roman"/>
                <w:sz w:val="20"/>
                <w:szCs w:val="20"/>
              </w:rPr>
              <w:t>.</w:t>
            </w:r>
            <w:r w:rsidR="007127AC" w:rsidRPr="005C5513">
              <w:rPr>
                <w:rFonts w:ascii="Times New Roman" w:hAnsi="Times New Roman" w:cs="Times New Roman"/>
                <w:sz w:val="20"/>
                <w:szCs w:val="20"/>
              </w:rPr>
              <w:t>6</w:t>
            </w:r>
          </w:p>
        </w:tc>
        <w:tc>
          <w:tcPr>
            <w:tcW w:w="1009" w:type="pct"/>
            <w:vAlign w:val="center"/>
          </w:tcPr>
          <w:p w14:paraId="53D0E42D" w14:textId="6B47BBB9" w:rsidR="00E02F0D" w:rsidRPr="005C5513" w:rsidRDefault="00437E7A"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308.8 ± 463.4</w:t>
            </w:r>
          </w:p>
        </w:tc>
      </w:tr>
      <w:tr w:rsidR="009469A9" w:rsidRPr="005C5513" w14:paraId="09BC9878" w14:textId="77777777" w:rsidTr="005D0506">
        <w:trPr>
          <w:trHeight w:val="444"/>
          <w:jc w:val="center"/>
        </w:trPr>
        <w:tc>
          <w:tcPr>
            <w:tcW w:w="5000" w:type="pct"/>
            <w:gridSpan w:val="5"/>
            <w:tcBorders>
              <w:top w:val="single" w:sz="4" w:space="0" w:color="auto"/>
            </w:tcBorders>
            <w:noWrap/>
            <w:vAlign w:val="center"/>
          </w:tcPr>
          <w:p w14:paraId="7C7E0617" w14:textId="6E37A274" w:rsidR="009469A9" w:rsidRPr="00D66C52" w:rsidRDefault="009469A9" w:rsidP="005D0506">
            <w:pPr>
              <w:adjustRightInd w:val="0"/>
              <w:rPr>
                <w:rFonts w:ascii="Times New Roman" w:hAnsi="Times New Roman" w:cs="Times New Roman"/>
                <w:sz w:val="18"/>
                <w:szCs w:val="18"/>
              </w:rPr>
            </w:pPr>
            <w:r w:rsidRPr="00D66C52">
              <w:rPr>
                <w:rFonts w:ascii="Times New Roman" w:hAnsi="Times New Roman" w:cs="Times New Roman"/>
                <w:sz w:val="18"/>
                <w:szCs w:val="18"/>
              </w:rPr>
              <w:t>Data presented as Mean</w:t>
            </w:r>
            <w:r w:rsidR="0017476D" w:rsidRPr="00D66C52">
              <w:rPr>
                <w:rFonts w:ascii="Times New Roman" w:hAnsi="Times New Roman" w:cs="Times New Roman"/>
                <w:sz w:val="18"/>
                <w:szCs w:val="18"/>
              </w:rPr>
              <w:t xml:space="preserve"> ± </w:t>
            </w:r>
            <w:r w:rsidRPr="00D66C52">
              <w:rPr>
                <w:rFonts w:ascii="Times New Roman" w:hAnsi="Times New Roman" w:cs="Times New Roman"/>
                <w:sz w:val="18"/>
                <w:szCs w:val="18"/>
              </w:rPr>
              <w:t xml:space="preserve">Standard </w:t>
            </w:r>
            <w:r w:rsidR="0017476D" w:rsidRPr="00D66C52">
              <w:rPr>
                <w:rFonts w:ascii="Times New Roman" w:hAnsi="Times New Roman" w:cs="Times New Roman"/>
                <w:sz w:val="18"/>
                <w:szCs w:val="18"/>
              </w:rPr>
              <w:t>Deviation</w:t>
            </w:r>
            <w:r w:rsidRPr="00D66C52">
              <w:rPr>
                <w:rFonts w:ascii="Times New Roman" w:hAnsi="Times New Roman" w:cs="Times New Roman"/>
                <w:sz w:val="18"/>
                <w:szCs w:val="18"/>
              </w:rPr>
              <w:t xml:space="preserve">. Pre = </w:t>
            </w:r>
            <w:r w:rsidR="00105618" w:rsidRPr="00D66C52">
              <w:rPr>
                <w:rFonts w:ascii="Times New Roman" w:hAnsi="Times New Roman" w:cs="Times New Roman"/>
                <w:sz w:val="18"/>
                <w:szCs w:val="18"/>
              </w:rPr>
              <w:t>P</w:t>
            </w:r>
            <w:r w:rsidRPr="00D66C52">
              <w:rPr>
                <w:rFonts w:ascii="Times New Roman" w:hAnsi="Times New Roman" w:cs="Times New Roman"/>
                <w:sz w:val="18"/>
                <w:szCs w:val="18"/>
              </w:rPr>
              <w:t>re-</w:t>
            </w:r>
            <w:r w:rsidR="00105618" w:rsidRPr="00D66C52">
              <w:rPr>
                <w:rFonts w:ascii="Times New Roman" w:hAnsi="Times New Roman" w:cs="Times New Roman"/>
                <w:sz w:val="18"/>
                <w:szCs w:val="18"/>
              </w:rPr>
              <w:t>P</w:t>
            </w:r>
            <w:r w:rsidRPr="00D66C52">
              <w:rPr>
                <w:rFonts w:ascii="Times New Roman" w:hAnsi="Times New Roman" w:cs="Times New Roman"/>
                <w:sz w:val="18"/>
                <w:szCs w:val="18"/>
              </w:rPr>
              <w:t xml:space="preserve">ractice; Post = </w:t>
            </w:r>
            <w:r w:rsidR="00105618" w:rsidRPr="00D66C52">
              <w:rPr>
                <w:rFonts w:ascii="Times New Roman" w:hAnsi="Times New Roman" w:cs="Times New Roman"/>
                <w:sz w:val="18"/>
                <w:szCs w:val="18"/>
              </w:rPr>
              <w:t>P</w:t>
            </w:r>
            <w:r w:rsidRPr="00D66C52">
              <w:rPr>
                <w:rFonts w:ascii="Times New Roman" w:hAnsi="Times New Roman" w:cs="Times New Roman"/>
                <w:sz w:val="18"/>
                <w:szCs w:val="18"/>
              </w:rPr>
              <w:t>ost-</w:t>
            </w:r>
            <w:r w:rsidR="00105618" w:rsidRPr="00D66C52">
              <w:rPr>
                <w:rFonts w:ascii="Times New Roman" w:hAnsi="Times New Roman" w:cs="Times New Roman"/>
                <w:sz w:val="18"/>
                <w:szCs w:val="18"/>
              </w:rPr>
              <w:t>P</w:t>
            </w:r>
            <w:r w:rsidRPr="00D66C52">
              <w:rPr>
                <w:rFonts w:ascii="Times New Roman" w:hAnsi="Times New Roman" w:cs="Times New Roman"/>
                <w:sz w:val="18"/>
                <w:szCs w:val="18"/>
              </w:rPr>
              <w:t xml:space="preserve">ractice; </w:t>
            </w:r>
            <w:r w:rsidR="003E184F" w:rsidRPr="00D66C52">
              <w:rPr>
                <w:rFonts w:ascii="Times New Roman" w:hAnsi="Times New Roman" w:cs="Times New Roman"/>
                <w:sz w:val="18"/>
                <w:szCs w:val="18"/>
              </w:rPr>
              <w:t xml:space="preserve">T = Testosterone; C = Cortisol; T:C = Testosterone to Cortisol Ratio; </w:t>
            </w:r>
            <w:proofErr w:type="spellStart"/>
            <w:r w:rsidR="003E184F" w:rsidRPr="00D66C52">
              <w:rPr>
                <w:rFonts w:ascii="Times New Roman" w:hAnsi="Times New Roman" w:cs="Times New Roman"/>
                <w:bCs/>
                <w:sz w:val="18"/>
                <w:szCs w:val="18"/>
                <w:lang w:bidi="en-US"/>
              </w:rPr>
              <w:t>pg</w:t>
            </w:r>
            <w:proofErr w:type="spellEnd"/>
            <w:r w:rsidR="003E184F" w:rsidRPr="00D66C52">
              <w:rPr>
                <w:rFonts w:ascii="Times New Roman" w:hAnsi="Times New Roman" w:cs="Times New Roman"/>
                <w:bCs/>
                <w:sz w:val="18"/>
                <w:szCs w:val="18"/>
                <w:lang w:bidi="en-US"/>
              </w:rPr>
              <w:t>/mL</w:t>
            </w:r>
            <w:r w:rsidR="003E184F" w:rsidRPr="00D66C52">
              <w:rPr>
                <w:rFonts w:ascii="Times New Roman" w:hAnsi="Times New Roman" w:cs="Times New Roman"/>
                <w:sz w:val="18"/>
                <w:szCs w:val="18"/>
              </w:rPr>
              <w:t xml:space="preserve"> = picograms per milliliter;</w:t>
            </w:r>
            <w:r w:rsidR="003E184F" w:rsidRPr="00D66C52">
              <w:rPr>
                <w:rFonts w:ascii="Times New Roman" w:hAnsi="Times New Roman" w:cs="Times New Roman"/>
                <w:bCs/>
                <w:sz w:val="18"/>
                <w:szCs w:val="18"/>
                <w:lang w:bidi="en-US"/>
              </w:rPr>
              <w:t xml:space="preserve"> µg/dL = micrograms per deciliter</w:t>
            </w:r>
            <w:r w:rsidRPr="00D66C52">
              <w:rPr>
                <w:rFonts w:ascii="Times New Roman" w:hAnsi="Times New Roman" w:cs="Times New Roman"/>
                <w:sz w:val="18"/>
                <w:szCs w:val="18"/>
              </w:rPr>
              <w:t xml:space="preserve">; </w:t>
            </w:r>
            <w:r w:rsidR="00911146">
              <w:rPr>
                <w:rFonts w:ascii="Times New Roman" w:hAnsi="Times New Roman" w:cs="Times New Roman"/>
                <w:bCs/>
                <w:sz w:val="20"/>
                <w:szCs w:val="20"/>
                <w:lang w:bidi="en-US"/>
              </w:rPr>
              <w:t>abs</w:t>
            </w:r>
            <w:r w:rsidR="00911146" w:rsidRPr="00D66C52">
              <w:rPr>
                <w:rFonts w:ascii="Times New Roman" w:hAnsi="Times New Roman" w:cs="Times New Roman"/>
                <w:sz w:val="18"/>
                <w:szCs w:val="18"/>
                <w:lang w:bidi="en-US"/>
              </w:rPr>
              <w:sym w:font="Symbol" w:char="F044"/>
            </w:r>
            <w:r w:rsidR="00911146">
              <w:rPr>
                <w:rFonts w:ascii="Times New Roman" w:hAnsi="Times New Roman" w:cs="Times New Roman"/>
                <w:sz w:val="18"/>
                <w:szCs w:val="18"/>
                <w:lang w:bidi="en-US"/>
              </w:rPr>
              <w:t xml:space="preserve"> = absolute change; </w:t>
            </w:r>
            <w:r w:rsidRPr="00D66C52">
              <w:rPr>
                <w:rFonts w:ascii="Times New Roman" w:hAnsi="Times New Roman" w:cs="Times New Roman"/>
                <w:sz w:val="18"/>
                <w:szCs w:val="18"/>
              </w:rPr>
              <w:t>statistical significance set at p ≤ 0.05</w:t>
            </w:r>
            <w:r w:rsidR="00627105" w:rsidRPr="00D66C52">
              <w:rPr>
                <w:rFonts w:ascii="Times New Roman" w:hAnsi="Times New Roman" w:cs="Times New Roman"/>
                <w:sz w:val="18"/>
                <w:szCs w:val="18"/>
              </w:rPr>
              <w:t xml:space="preserve">; </w:t>
            </w:r>
            <w:r w:rsidR="00627105" w:rsidRPr="00D66C52">
              <w:rPr>
                <w:rFonts w:ascii="Times New Roman" w:hAnsi="Times New Roman" w:cs="Times New Roman"/>
                <w:sz w:val="18"/>
                <w:szCs w:val="18"/>
                <w:lang w:bidi="en-US"/>
              </w:rPr>
              <w:t xml:space="preserve">* = </w:t>
            </w:r>
            <w:r w:rsidR="00376A56">
              <w:rPr>
                <w:rFonts w:ascii="Times New Roman" w:hAnsi="Times New Roman" w:cs="Times New Roman"/>
                <w:sz w:val="18"/>
                <w:szCs w:val="18"/>
                <w:lang w:bidi="en-US"/>
              </w:rPr>
              <w:t xml:space="preserve">Week 1 </w:t>
            </w:r>
            <w:r w:rsidR="00627105" w:rsidRPr="00D66C52">
              <w:rPr>
                <w:rFonts w:ascii="Times New Roman" w:hAnsi="Times New Roman" w:cs="Times New Roman"/>
                <w:sz w:val="18"/>
                <w:szCs w:val="18"/>
                <w:lang w:bidi="en-US"/>
              </w:rPr>
              <w:t>significantly different than Week 4</w:t>
            </w:r>
          </w:p>
        </w:tc>
      </w:tr>
    </w:tbl>
    <w:p w14:paraId="2D4C9BF7" w14:textId="6D2ED409" w:rsidR="004F4928" w:rsidRDefault="00464263" w:rsidP="00627759">
      <w:pPr>
        <w:spacing w:line="480" w:lineRule="auto"/>
        <w:jc w:val="center"/>
        <w:rPr>
          <w:rFonts w:ascii="Times New Roman" w:hAnsi="Times New Roman" w:cs="Times New Roman"/>
        </w:rPr>
      </w:pPr>
      <w:r>
        <w:rPr>
          <w:noProof/>
        </w:rPr>
        <w:lastRenderedPageBreak/>
        <mc:AlternateContent>
          <mc:Choice Requires="wps">
            <w:drawing>
              <wp:anchor distT="0" distB="0" distL="114300" distR="114300" simplePos="0" relativeHeight="251718656" behindDoc="0" locked="0" layoutInCell="1" allowOverlap="1" wp14:anchorId="465B38C3" wp14:editId="16FA2AFE">
                <wp:simplePos x="0" y="0"/>
                <wp:positionH relativeFrom="column">
                  <wp:posOffset>787400</wp:posOffset>
                </wp:positionH>
                <wp:positionV relativeFrom="paragraph">
                  <wp:posOffset>5251329</wp:posOffset>
                </wp:positionV>
                <wp:extent cx="4367530" cy="635"/>
                <wp:effectExtent l="0" t="0" r="1270" b="0"/>
                <wp:wrapTopAndBottom/>
                <wp:docPr id="69" name="Text Box 69"/>
                <wp:cNvGraphicFramePr/>
                <a:graphic xmlns:a="http://schemas.openxmlformats.org/drawingml/2006/main">
                  <a:graphicData uri="http://schemas.microsoft.com/office/word/2010/wordprocessingShape">
                    <wps:wsp>
                      <wps:cNvSpPr txBox="1"/>
                      <wps:spPr>
                        <a:xfrm>
                          <a:off x="0" y="0"/>
                          <a:ext cx="4367530" cy="635"/>
                        </a:xfrm>
                        <a:prstGeom prst="rect">
                          <a:avLst/>
                        </a:prstGeom>
                        <a:solidFill>
                          <a:prstClr val="white"/>
                        </a:solidFill>
                        <a:ln>
                          <a:noFill/>
                        </a:ln>
                      </wps:spPr>
                      <wps:txbx>
                        <w:txbxContent>
                          <w:p w14:paraId="0BD43B2B" w14:textId="46A4B747" w:rsidR="000E2856" w:rsidRPr="000E2856" w:rsidRDefault="000E2856" w:rsidP="000E2856">
                            <w:pPr>
                              <w:pStyle w:val="Caption"/>
                              <w:jc w:val="center"/>
                              <w:rPr>
                                <w:rFonts w:ascii="Times New Roman" w:hAnsi="Times New Roman"/>
                                <w:sz w:val="20"/>
                                <w:szCs w:val="20"/>
                              </w:rPr>
                            </w:pPr>
                            <w:bookmarkStart w:id="89" w:name="_Toc100670678"/>
                            <w:r w:rsidRPr="000E2856">
                              <w:rPr>
                                <w:rFonts w:ascii="Times New Roman" w:hAnsi="Times New Roman"/>
                                <w:sz w:val="20"/>
                                <w:szCs w:val="20"/>
                              </w:rPr>
                              <w:t xml:space="preserve">Figure </w:t>
                            </w:r>
                            <w:r w:rsidRPr="000E2856">
                              <w:rPr>
                                <w:rFonts w:ascii="Times New Roman" w:hAnsi="Times New Roman"/>
                                <w:sz w:val="20"/>
                                <w:szCs w:val="20"/>
                              </w:rPr>
                              <w:fldChar w:fldCharType="begin"/>
                            </w:r>
                            <w:r w:rsidRPr="000E2856">
                              <w:rPr>
                                <w:rFonts w:ascii="Times New Roman" w:hAnsi="Times New Roman"/>
                                <w:sz w:val="20"/>
                                <w:szCs w:val="20"/>
                              </w:rPr>
                              <w:instrText xml:space="preserve"> SEQ Figure \* ARABIC </w:instrText>
                            </w:r>
                            <w:r w:rsidRPr="000E2856">
                              <w:rPr>
                                <w:rFonts w:ascii="Times New Roman" w:hAnsi="Times New Roman"/>
                                <w:sz w:val="20"/>
                                <w:szCs w:val="20"/>
                              </w:rPr>
                              <w:fldChar w:fldCharType="separate"/>
                            </w:r>
                            <w:r w:rsidR="002101E0">
                              <w:rPr>
                                <w:rFonts w:ascii="Times New Roman" w:hAnsi="Times New Roman"/>
                                <w:noProof/>
                                <w:sz w:val="20"/>
                                <w:szCs w:val="20"/>
                              </w:rPr>
                              <w:t>14</w:t>
                            </w:r>
                            <w:r w:rsidRPr="000E2856">
                              <w:rPr>
                                <w:rFonts w:ascii="Times New Roman" w:hAnsi="Times New Roman"/>
                                <w:sz w:val="20"/>
                                <w:szCs w:val="20"/>
                              </w:rPr>
                              <w:fldChar w:fldCharType="end"/>
                            </w:r>
                            <w:r w:rsidRPr="000E2856">
                              <w:rPr>
                                <w:rFonts w:ascii="Times New Roman" w:hAnsi="Times New Roman"/>
                                <w:sz w:val="20"/>
                                <w:szCs w:val="20"/>
                              </w:rPr>
                              <w:t>. Endocrine Relative Changes Across Time</w:t>
                            </w:r>
                            <w:bookmarkEnd w:id="89"/>
                          </w:p>
                          <w:p w14:paraId="30951BE2" w14:textId="635B7A0D" w:rsidR="000E2856" w:rsidRPr="000E2856" w:rsidRDefault="000E2856" w:rsidP="000E2856">
                            <w:pPr>
                              <w:jc w:val="center"/>
                              <w:rPr>
                                <w:rFonts w:ascii="Times New Roman" w:hAnsi="Times New Roman" w:cs="Times New Roman"/>
                                <w:sz w:val="20"/>
                                <w:szCs w:val="20"/>
                                <w:lang w:bidi="en-US"/>
                              </w:rPr>
                            </w:pPr>
                          </w:p>
                          <w:p w14:paraId="47663377" w14:textId="224E610D" w:rsidR="000E2856" w:rsidRPr="000E2856" w:rsidRDefault="000E2856" w:rsidP="000E2856">
                            <w:pPr>
                              <w:jc w:val="center"/>
                              <w:rPr>
                                <w:rFonts w:ascii="Times New Roman" w:hAnsi="Times New Roman" w:cs="Times New Roman"/>
                                <w:sz w:val="20"/>
                                <w:szCs w:val="20"/>
                                <w:lang w:bidi="en-US"/>
                              </w:rPr>
                            </w:pPr>
                            <w:r>
                              <w:rPr>
                                <w:rFonts w:ascii="Times New Roman" w:hAnsi="Times New Roman" w:cs="Times New Roman"/>
                                <w:sz w:val="20"/>
                                <w:szCs w:val="20"/>
                                <w:lang w:bidi="en-US"/>
                              </w:rPr>
                              <w:t xml:space="preserve">Note: Data presented as Mean (Standard Error); Pre = Pre-Practice; Post = Post-Practice; </w:t>
                            </w:r>
                            <w:r w:rsidR="000C4B8A" w:rsidRPr="00D66C52">
                              <w:rPr>
                                <w:rFonts w:ascii="Times New Roman" w:hAnsi="Times New Roman" w:cs="Times New Roman"/>
                                <w:sz w:val="18"/>
                                <w:szCs w:val="18"/>
                                <w:lang w:bidi="en-US"/>
                              </w:rPr>
                              <w:t>%</w:t>
                            </w:r>
                            <w:r w:rsidR="000C4B8A" w:rsidRPr="00D66C52">
                              <w:rPr>
                                <w:rFonts w:ascii="Times New Roman" w:hAnsi="Times New Roman" w:cs="Times New Roman"/>
                                <w:sz w:val="18"/>
                                <w:szCs w:val="18"/>
                                <w:lang w:bidi="en-US"/>
                              </w:rPr>
                              <w:sym w:font="Symbol" w:char="F044"/>
                            </w:r>
                            <w:r w:rsidR="000C4B8A" w:rsidRPr="00D66C52">
                              <w:rPr>
                                <w:rFonts w:ascii="Times New Roman" w:hAnsi="Times New Roman" w:cs="Times New Roman"/>
                                <w:sz w:val="18"/>
                                <w:szCs w:val="18"/>
                                <w:lang w:bidi="en-US"/>
                              </w:rPr>
                              <w:t xml:space="preserve"> = percent change; </w:t>
                            </w:r>
                            <w:r>
                              <w:rPr>
                                <w:rFonts w:ascii="Times New Roman" w:hAnsi="Times New Roman" w:cs="Times New Roman"/>
                                <w:sz w:val="20"/>
                                <w:szCs w:val="20"/>
                                <w:lang w:bidi="en-US"/>
                              </w:rPr>
                              <w:t>* = significantly different than Week 4, set at p ≤ 0.05.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5B38C3" id="Text Box 69" o:spid="_x0000_s1039" type="#_x0000_t202" style="position:absolute;left:0;text-align:left;margin-left:62pt;margin-top:413.5pt;width:343.9pt;height:.0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" stroked="f">
                <v:textbox style="mso-fit-shape-to-text:t" inset="0,0,0,0">
                  <w:txbxContent>
                    <w:p w14:paraId="0BD43B2B" w14:textId="46A4B747" w:rsidR="000E2856" w:rsidRPr="000E2856" w:rsidRDefault="000E2856" w:rsidP="000E2856">
                      <w:pPr>
                        <w:pStyle w:val="Caption"/>
                        <w:jc w:val="center"/>
                        <w:rPr>
                          <w:rFonts w:ascii="Times New Roman" w:hAnsi="Times New Roman"/>
                          <w:sz w:val="20"/>
                          <w:szCs w:val="20"/>
                        </w:rPr>
                      </w:pPr>
                      <w:bookmarkStart w:id="103" w:name="_Toc100670678"/>
                      <w:r w:rsidRPr="000E2856">
                        <w:rPr>
                          <w:rFonts w:ascii="Times New Roman" w:hAnsi="Times New Roman"/>
                          <w:sz w:val="20"/>
                          <w:szCs w:val="20"/>
                        </w:rPr>
                        <w:t xml:space="preserve">Figure </w:t>
                      </w:r>
                      <w:r w:rsidRPr="000E2856">
                        <w:rPr>
                          <w:rFonts w:ascii="Times New Roman" w:hAnsi="Times New Roman"/>
                          <w:sz w:val="20"/>
                          <w:szCs w:val="20"/>
                        </w:rPr>
                        <w:fldChar w:fldCharType="begin"/>
                      </w:r>
                      <w:r w:rsidRPr="000E2856">
                        <w:rPr>
                          <w:rFonts w:ascii="Times New Roman" w:hAnsi="Times New Roman"/>
                          <w:sz w:val="20"/>
                          <w:szCs w:val="20"/>
                        </w:rPr>
                        <w:instrText xml:space="preserve"> SEQ Figure \* ARABIC </w:instrText>
                      </w:r>
                      <w:r w:rsidRPr="000E2856">
                        <w:rPr>
                          <w:rFonts w:ascii="Times New Roman" w:hAnsi="Times New Roman"/>
                          <w:sz w:val="20"/>
                          <w:szCs w:val="20"/>
                        </w:rPr>
                        <w:fldChar w:fldCharType="separate"/>
                      </w:r>
                      <w:r w:rsidR="002101E0">
                        <w:rPr>
                          <w:rFonts w:ascii="Times New Roman" w:hAnsi="Times New Roman"/>
                          <w:noProof/>
                          <w:sz w:val="20"/>
                          <w:szCs w:val="20"/>
                        </w:rPr>
                        <w:t>14</w:t>
                      </w:r>
                      <w:r w:rsidRPr="000E2856">
                        <w:rPr>
                          <w:rFonts w:ascii="Times New Roman" w:hAnsi="Times New Roman"/>
                          <w:sz w:val="20"/>
                          <w:szCs w:val="20"/>
                        </w:rPr>
                        <w:fldChar w:fldCharType="end"/>
                      </w:r>
                      <w:r w:rsidRPr="000E2856">
                        <w:rPr>
                          <w:rFonts w:ascii="Times New Roman" w:hAnsi="Times New Roman"/>
                          <w:sz w:val="20"/>
                          <w:szCs w:val="20"/>
                        </w:rPr>
                        <w:t>. Endocrine Relative Changes Across Time</w:t>
                      </w:r>
                      <w:bookmarkEnd w:id="103"/>
                    </w:p>
                    <w:p w14:paraId="30951BE2" w14:textId="635B7A0D" w:rsidR="000E2856" w:rsidRPr="000E2856" w:rsidRDefault="000E2856" w:rsidP="000E2856">
                      <w:pPr>
                        <w:jc w:val="center"/>
                        <w:rPr>
                          <w:rFonts w:ascii="Times New Roman" w:hAnsi="Times New Roman" w:cs="Times New Roman"/>
                          <w:sz w:val="20"/>
                          <w:szCs w:val="20"/>
                          <w:lang w:bidi="en-US"/>
                        </w:rPr>
                      </w:pPr>
                    </w:p>
                    <w:p w14:paraId="47663377" w14:textId="224E610D" w:rsidR="000E2856" w:rsidRPr="000E2856" w:rsidRDefault="000E2856" w:rsidP="000E2856">
                      <w:pPr>
                        <w:jc w:val="center"/>
                        <w:rPr>
                          <w:rFonts w:ascii="Times New Roman" w:hAnsi="Times New Roman" w:cs="Times New Roman"/>
                          <w:sz w:val="20"/>
                          <w:szCs w:val="20"/>
                          <w:lang w:bidi="en-US"/>
                        </w:rPr>
                      </w:pPr>
                      <w:r>
                        <w:rPr>
                          <w:rFonts w:ascii="Times New Roman" w:hAnsi="Times New Roman" w:cs="Times New Roman"/>
                          <w:sz w:val="20"/>
                          <w:szCs w:val="20"/>
                          <w:lang w:bidi="en-US"/>
                        </w:rPr>
                        <w:t xml:space="preserve">Note: Data presented as Mean (Standard Error); Pre = Pre-Practice; Post = Post-Practice; </w:t>
                      </w:r>
                      <w:r w:rsidR="000C4B8A" w:rsidRPr="00D66C52">
                        <w:rPr>
                          <w:rFonts w:ascii="Times New Roman" w:hAnsi="Times New Roman" w:cs="Times New Roman"/>
                          <w:sz w:val="18"/>
                          <w:szCs w:val="18"/>
                          <w:lang w:bidi="en-US"/>
                        </w:rPr>
                        <w:t>%</w:t>
                      </w:r>
                      <w:r w:rsidR="000C4B8A" w:rsidRPr="00D66C52">
                        <w:rPr>
                          <w:rFonts w:ascii="Times New Roman" w:hAnsi="Times New Roman" w:cs="Times New Roman"/>
                          <w:sz w:val="18"/>
                          <w:szCs w:val="18"/>
                          <w:lang w:bidi="en-US"/>
                        </w:rPr>
                        <w:sym w:font="Symbol" w:char="F044"/>
                      </w:r>
                      <w:r w:rsidR="000C4B8A" w:rsidRPr="00D66C52">
                        <w:rPr>
                          <w:rFonts w:ascii="Times New Roman" w:hAnsi="Times New Roman" w:cs="Times New Roman"/>
                          <w:sz w:val="18"/>
                          <w:szCs w:val="18"/>
                          <w:lang w:bidi="en-US"/>
                        </w:rPr>
                        <w:t xml:space="preserve"> = percent change; </w:t>
                      </w:r>
                      <w:r>
                        <w:rPr>
                          <w:rFonts w:ascii="Times New Roman" w:hAnsi="Times New Roman" w:cs="Times New Roman"/>
                          <w:sz w:val="20"/>
                          <w:szCs w:val="20"/>
                          <w:lang w:bidi="en-US"/>
                        </w:rPr>
                        <w:t>* = significantly different than Week 4, set at p ≤ 0.05.</w:t>
                      </w:r>
                    </w:p>
                  </w:txbxContent>
                </v:textbox>
                <w10:wrap type="topAndBottom"/>
              </v:shape>
            </w:pict>
          </mc:Fallback>
        </mc:AlternateContent>
      </w:r>
      <w:r w:rsidR="00B86DDF">
        <w:rPr>
          <w:rFonts w:ascii="Times New Roman" w:hAnsi="Times New Roman" w:cs="Times New Roman"/>
          <w:noProof/>
        </w:rPr>
        <w:drawing>
          <wp:inline distT="0" distB="0" distL="0" distR="0" wp14:anchorId="1D25DD3B" wp14:editId="30C29875">
            <wp:extent cx="2287321" cy="5204298"/>
            <wp:effectExtent l="0" t="0" r="0" b="3175"/>
            <wp:docPr id="4" name="Picture 4"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device&#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2324304" cy="5288444"/>
                    </a:xfrm>
                    <a:prstGeom prst="rect">
                      <a:avLst/>
                    </a:prstGeom>
                  </pic:spPr>
                </pic:pic>
              </a:graphicData>
            </a:graphic>
          </wp:inline>
        </w:drawing>
      </w:r>
    </w:p>
    <w:p w14:paraId="2E74DD6B" w14:textId="1D414CDF" w:rsidR="00627759" w:rsidRDefault="00627759" w:rsidP="00627759">
      <w:pPr>
        <w:jc w:val="center"/>
        <w:rPr>
          <w:rFonts w:ascii="Times New Roman" w:hAnsi="Times New Roman" w:cs="Times New Roman"/>
        </w:rPr>
      </w:pPr>
    </w:p>
    <w:p w14:paraId="7EBC145A" w14:textId="3D568EBA" w:rsidR="004F5C80" w:rsidRPr="004F5C80" w:rsidRDefault="004F5C80" w:rsidP="004F5C80">
      <w:pPr>
        <w:pStyle w:val="Caption"/>
        <w:keepNext/>
        <w:rPr>
          <w:rFonts w:ascii="Times New Roman" w:hAnsi="Times New Roman"/>
        </w:rPr>
      </w:pPr>
      <w:bookmarkStart w:id="90" w:name="_Toc93726104"/>
      <w:r w:rsidRPr="004F5C80">
        <w:rPr>
          <w:rFonts w:ascii="Times New Roman" w:hAnsi="Times New Roman"/>
        </w:rPr>
        <w:t xml:space="preserve">Table </w:t>
      </w:r>
      <w:r w:rsidRPr="004F5C80">
        <w:rPr>
          <w:rFonts w:ascii="Times New Roman" w:hAnsi="Times New Roman"/>
        </w:rPr>
        <w:fldChar w:fldCharType="begin"/>
      </w:r>
      <w:r w:rsidRPr="004F5C80">
        <w:rPr>
          <w:rFonts w:ascii="Times New Roman" w:hAnsi="Times New Roman"/>
        </w:rPr>
        <w:instrText xml:space="preserve"> SEQ Table \* ARABIC </w:instrText>
      </w:r>
      <w:r w:rsidRPr="004F5C80">
        <w:rPr>
          <w:rFonts w:ascii="Times New Roman" w:hAnsi="Times New Roman"/>
        </w:rPr>
        <w:fldChar w:fldCharType="separate"/>
      </w:r>
      <w:r w:rsidR="002101E0">
        <w:rPr>
          <w:rFonts w:ascii="Times New Roman" w:hAnsi="Times New Roman"/>
          <w:noProof/>
        </w:rPr>
        <w:t>8</w:t>
      </w:r>
      <w:r w:rsidRPr="004F5C80">
        <w:rPr>
          <w:rFonts w:ascii="Times New Roman" w:hAnsi="Times New Roman"/>
        </w:rPr>
        <w:fldChar w:fldCharType="end"/>
      </w:r>
      <w:r w:rsidRPr="004F5C80">
        <w:rPr>
          <w:rFonts w:ascii="Times New Roman" w:hAnsi="Times New Roman"/>
        </w:rPr>
        <w:t xml:space="preserve">. </w:t>
      </w:r>
      <w:r w:rsidRPr="002E5042">
        <w:rPr>
          <w:rFonts w:ascii="Times New Roman" w:hAnsi="Times New Roman"/>
        </w:rPr>
        <w:t>Percent Change</w:t>
      </w:r>
      <w:r w:rsidRPr="004F5C80">
        <w:rPr>
          <w:rFonts w:ascii="Times New Roman" w:hAnsi="Times New Roman"/>
        </w:rPr>
        <w:t xml:space="preserve"> Scores in Endocrine Responses throughout the Preseason.</w:t>
      </w:r>
      <w:bookmarkEnd w:id="90"/>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9"/>
        <w:gridCol w:w="1619"/>
        <w:gridCol w:w="1891"/>
        <w:gridCol w:w="2069"/>
        <w:gridCol w:w="2072"/>
      </w:tblGrid>
      <w:tr w:rsidR="00F861A4" w:rsidRPr="005C5513" w14:paraId="12A654EF" w14:textId="77777777" w:rsidTr="004F5C80">
        <w:trPr>
          <w:trHeight w:val="471"/>
          <w:jc w:val="center"/>
        </w:trPr>
        <w:tc>
          <w:tcPr>
            <w:tcW w:w="913" w:type="pct"/>
            <w:tcBorders>
              <w:top w:val="single" w:sz="12" w:space="0" w:color="auto"/>
            </w:tcBorders>
            <w:noWrap/>
            <w:vAlign w:val="center"/>
            <w:hideMark/>
          </w:tcPr>
          <w:p w14:paraId="2D1DCEE7" w14:textId="77777777" w:rsidR="00F861A4" w:rsidRPr="005C5513" w:rsidRDefault="00F861A4" w:rsidP="005D0506">
            <w:pPr>
              <w:adjustRightInd w:val="0"/>
              <w:ind w:firstLine="720"/>
              <w:jc w:val="center"/>
              <w:rPr>
                <w:rFonts w:ascii="Times New Roman" w:hAnsi="Times New Roman" w:cs="Times New Roman"/>
                <w:sz w:val="20"/>
                <w:szCs w:val="20"/>
              </w:rPr>
            </w:pPr>
          </w:p>
        </w:tc>
        <w:tc>
          <w:tcPr>
            <w:tcW w:w="865" w:type="pct"/>
            <w:tcBorders>
              <w:top w:val="single" w:sz="12" w:space="0" w:color="auto"/>
            </w:tcBorders>
            <w:noWrap/>
            <w:vAlign w:val="center"/>
            <w:hideMark/>
          </w:tcPr>
          <w:p w14:paraId="6B9733C1" w14:textId="77777777" w:rsidR="00F861A4" w:rsidRPr="005C5513" w:rsidRDefault="00F861A4"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Week 1</w:t>
            </w:r>
          </w:p>
        </w:tc>
        <w:tc>
          <w:tcPr>
            <w:tcW w:w="1010" w:type="pct"/>
            <w:tcBorders>
              <w:top w:val="single" w:sz="12" w:space="0" w:color="auto"/>
            </w:tcBorders>
            <w:vAlign w:val="center"/>
          </w:tcPr>
          <w:p w14:paraId="22A96A07" w14:textId="77777777" w:rsidR="00F861A4" w:rsidRPr="005C5513" w:rsidRDefault="00F861A4"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Week 4</w:t>
            </w:r>
          </w:p>
        </w:tc>
        <w:tc>
          <w:tcPr>
            <w:tcW w:w="1105" w:type="pct"/>
            <w:tcBorders>
              <w:top w:val="single" w:sz="12" w:space="0" w:color="auto"/>
              <w:left w:val="nil"/>
            </w:tcBorders>
            <w:noWrap/>
            <w:vAlign w:val="center"/>
            <w:hideMark/>
          </w:tcPr>
          <w:p w14:paraId="58554C35" w14:textId="7B47D9B5" w:rsidR="00F861A4" w:rsidRPr="005C5513" w:rsidRDefault="00F861A4"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 xml:space="preserve">Week </w:t>
            </w:r>
            <w:r w:rsidR="00CE5887" w:rsidRPr="005C5513">
              <w:rPr>
                <w:rFonts w:ascii="Times New Roman" w:hAnsi="Times New Roman" w:cs="Times New Roman"/>
                <w:sz w:val="20"/>
                <w:szCs w:val="20"/>
              </w:rPr>
              <w:t>1</w:t>
            </w:r>
            <w:r w:rsidRPr="005C5513">
              <w:rPr>
                <w:rFonts w:ascii="Times New Roman" w:hAnsi="Times New Roman" w:cs="Times New Roman"/>
                <w:sz w:val="20"/>
                <w:szCs w:val="20"/>
              </w:rPr>
              <w:t xml:space="preserve"> </w:t>
            </w:r>
            <w:r w:rsidR="00CE5887" w:rsidRPr="005C5513">
              <w:rPr>
                <w:rFonts w:ascii="Times New Roman" w:hAnsi="Times New Roman" w:cs="Times New Roman"/>
                <w:sz w:val="20"/>
                <w:szCs w:val="20"/>
              </w:rPr>
              <w:t>to</w:t>
            </w:r>
            <w:r w:rsidRPr="005C5513">
              <w:rPr>
                <w:rFonts w:ascii="Times New Roman" w:hAnsi="Times New Roman" w:cs="Times New Roman"/>
                <w:sz w:val="20"/>
                <w:szCs w:val="20"/>
              </w:rPr>
              <w:t xml:space="preserve"> Week </w:t>
            </w:r>
            <w:r w:rsidR="00CE5887" w:rsidRPr="005C5513">
              <w:rPr>
                <w:rFonts w:ascii="Times New Roman" w:hAnsi="Times New Roman" w:cs="Times New Roman"/>
                <w:sz w:val="20"/>
                <w:szCs w:val="20"/>
              </w:rPr>
              <w:t>4</w:t>
            </w:r>
          </w:p>
        </w:tc>
        <w:tc>
          <w:tcPr>
            <w:tcW w:w="1107" w:type="pct"/>
            <w:tcBorders>
              <w:top w:val="single" w:sz="12" w:space="0" w:color="auto"/>
              <w:left w:val="nil"/>
            </w:tcBorders>
            <w:vAlign w:val="center"/>
          </w:tcPr>
          <w:p w14:paraId="5B5979E6" w14:textId="0F2FBB63" w:rsidR="00CE5887" w:rsidRPr="005C5513" w:rsidRDefault="00F861A4" w:rsidP="00CE5887">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 xml:space="preserve">Week </w:t>
            </w:r>
            <w:r w:rsidR="00CE5887" w:rsidRPr="005C5513">
              <w:rPr>
                <w:rFonts w:ascii="Times New Roman" w:hAnsi="Times New Roman" w:cs="Times New Roman"/>
                <w:sz w:val="20"/>
                <w:szCs w:val="20"/>
              </w:rPr>
              <w:t>1</w:t>
            </w:r>
            <w:r w:rsidRPr="005C5513">
              <w:rPr>
                <w:rFonts w:ascii="Times New Roman" w:hAnsi="Times New Roman" w:cs="Times New Roman"/>
                <w:sz w:val="20"/>
                <w:szCs w:val="20"/>
              </w:rPr>
              <w:t xml:space="preserve"> </w:t>
            </w:r>
            <w:r w:rsidR="00CE5887" w:rsidRPr="005C5513">
              <w:rPr>
                <w:rFonts w:ascii="Times New Roman" w:hAnsi="Times New Roman" w:cs="Times New Roman"/>
                <w:sz w:val="20"/>
                <w:szCs w:val="20"/>
              </w:rPr>
              <w:t>to</w:t>
            </w:r>
            <w:r w:rsidRPr="005C5513">
              <w:rPr>
                <w:rFonts w:ascii="Times New Roman" w:hAnsi="Times New Roman" w:cs="Times New Roman"/>
                <w:sz w:val="20"/>
                <w:szCs w:val="20"/>
              </w:rPr>
              <w:t xml:space="preserve"> Week </w:t>
            </w:r>
            <w:r w:rsidR="00CE5887" w:rsidRPr="005C5513">
              <w:rPr>
                <w:rFonts w:ascii="Times New Roman" w:hAnsi="Times New Roman" w:cs="Times New Roman"/>
                <w:sz w:val="20"/>
                <w:szCs w:val="20"/>
              </w:rPr>
              <w:t>4</w:t>
            </w:r>
          </w:p>
        </w:tc>
      </w:tr>
      <w:tr w:rsidR="00F861A4" w:rsidRPr="005C5513" w14:paraId="6B749612" w14:textId="77777777" w:rsidTr="004F5C80">
        <w:trPr>
          <w:trHeight w:val="444"/>
          <w:jc w:val="center"/>
        </w:trPr>
        <w:tc>
          <w:tcPr>
            <w:tcW w:w="913" w:type="pct"/>
            <w:tcBorders>
              <w:bottom w:val="single" w:sz="4" w:space="0" w:color="auto"/>
            </w:tcBorders>
            <w:noWrap/>
            <w:vAlign w:val="center"/>
            <w:hideMark/>
          </w:tcPr>
          <w:p w14:paraId="12150947" w14:textId="77777777" w:rsidR="00F861A4" w:rsidRPr="005C5513" w:rsidRDefault="00F861A4" w:rsidP="005D0506">
            <w:pPr>
              <w:adjustRightInd w:val="0"/>
              <w:rPr>
                <w:rFonts w:ascii="Times New Roman" w:hAnsi="Times New Roman" w:cs="Times New Roman"/>
                <w:sz w:val="20"/>
                <w:szCs w:val="20"/>
              </w:rPr>
            </w:pPr>
            <w:r w:rsidRPr="005C5513">
              <w:rPr>
                <w:rFonts w:ascii="Times New Roman" w:hAnsi="Times New Roman" w:cs="Times New Roman"/>
                <w:sz w:val="20"/>
                <w:szCs w:val="20"/>
              </w:rPr>
              <w:t>Variable</w:t>
            </w:r>
          </w:p>
        </w:tc>
        <w:tc>
          <w:tcPr>
            <w:tcW w:w="865" w:type="pct"/>
            <w:tcBorders>
              <w:bottom w:val="single" w:sz="4" w:space="0" w:color="auto"/>
            </w:tcBorders>
            <w:noWrap/>
            <w:vAlign w:val="center"/>
            <w:hideMark/>
          </w:tcPr>
          <w:p w14:paraId="4C11A1F6" w14:textId="6C7EA161" w:rsidR="00F861A4" w:rsidRPr="005C5513" w:rsidRDefault="00F861A4" w:rsidP="005D0506">
            <w:pPr>
              <w:adjustRightInd w:val="0"/>
              <w:jc w:val="center"/>
              <w:rPr>
                <w:rFonts w:ascii="Times New Roman" w:hAnsi="Times New Roman" w:cs="Times New Roman"/>
                <w:sz w:val="20"/>
                <w:szCs w:val="20"/>
              </w:rPr>
            </w:pPr>
            <w:r w:rsidRPr="005C5513">
              <w:rPr>
                <w:rFonts w:ascii="Times New Roman" w:hAnsi="Times New Roman" w:cs="Times New Roman"/>
                <w:b/>
                <w:bCs/>
                <w:sz w:val="20"/>
                <w:szCs w:val="20"/>
                <w:lang w:bidi="en-US"/>
              </w:rPr>
              <w:t>Δ</w:t>
            </w:r>
            <w:r w:rsidRPr="005C5513">
              <w:rPr>
                <w:rFonts w:ascii="Times New Roman" w:hAnsi="Times New Roman" w:cs="Times New Roman"/>
                <w:b/>
                <w:bCs/>
                <w:sz w:val="20"/>
                <w:szCs w:val="20"/>
                <w:vertAlign w:val="subscript"/>
                <w:lang w:bidi="en-US"/>
              </w:rPr>
              <w:t>1</w:t>
            </w:r>
            <w:r w:rsidRPr="005C5513">
              <w:rPr>
                <w:rFonts w:ascii="Times New Roman" w:hAnsi="Times New Roman" w:cs="Times New Roman"/>
                <w:b/>
                <w:bCs/>
                <w:sz w:val="20"/>
                <w:szCs w:val="20"/>
                <w:lang w:bidi="en-US"/>
              </w:rPr>
              <w:t xml:space="preserve"> = Pre</w:t>
            </w:r>
            <w:r w:rsidR="00D12A5D" w:rsidRPr="005C5513">
              <w:rPr>
                <w:rFonts w:ascii="Times New Roman" w:hAnsi="Times New Roman" w:cs="Times New Roman"/>
                <w:b/>
                <w:bCs/>
                <w:sz w:val="20"/>
                <w:szCs w:val="20"/>
                <w:lang w:bidi="en-US"/>
              </w:rPr>
              <w:t xml:space="preserve"> to Post</w:t>
            </w:r>
          </w:p>
        </w:tc>
        <w:tc>
          <w:tcPr>
            <w:tcW w:w="1010" w:type="pct"/>
            <w:tcBorders>
              <w:bottom w:val="single" w:sz="4" w:space="0" w:color="auto"/>
            </w:tcBorders>
            <w:noWrap/>
            <w:vAlign w:val="center"/>
            <w:hideMark/>
          </w:tcPr>
          <w:p w14:paraId="5B7F4AE8" w14:textId="2D895E74" w:rsidR="00F861A4" w:rsidRPr="005C5513" w:rsidRDefault="00F861A4" w:rsidP="005D0506">
            <w:pPr>
              <w:adjustRightInd w:val="0"/>
              <w:jc w:val="center"/>
              <w:rPr>
                <w:rFonts w:ascii="Times New Roman" w:hAnsi="Times New Roman" w:cs="Times New Roman"/>
                <w:sz w:val="20"/>
                <w:szCs w:val="20"/>
              </w:rPr>
            </w:pPr>
            <w:r w:rsidRPr="005C5513">
              <w:rPr>
                <w:rFonts w:ascii="Times New Roman" w:hAnsi="Times New Roman" w:cs="Times New Roman"/>
                <w:b/>
                <w:bCs/>
                <w:sz w:val="20"/>
                <w:szCs w:val="20"/>
                <w:lang w:bidi="en-US"/>
              </w:rPr>
              <w:t>Δ</w:t>
            </w:r>
            <w:r w:rsidRPr="005C5513">
              <w:rPr>
                <w:rFonts w:ascii="Times New Roman" w:hAnsi="Times New Roman" w:cs="Times New Roman"/>
                <w:b/>
                <w:bCs/>
                <w:sz w:val="20"/>
                <w:szCs w:val="20"/>
                <w:vertAlign w:val="subscript"/>
                <w:lang w:bidi="en-US"/>
              </w:rPr>
              <w:t>1</w:t>
            </w:r>
            <w:r w:rsidRPr="005C5513">
              <w:rPr>
                <w:rFonts w:ascii="Times New Roman" w:hAnsi="Times New Roman" w:cs="Times New Roman"/>
                <w:b/>
                <w:bCs/>
                <w:sz w:val="20"/>
                <w:szCs w:val="20"/>
                <w:lang w:bidi="en-US"/>
              </w:rPr>
              <w:t xml:space="preserve"> = Pre</w:t>
            </w:r>
            <w:r w:rsidR="00D12A5D" w:rsidRPr="005C5513">
              <w:rPr>
                <w:rFonts w:ascii="Times New Roman" w:hAnsi="Times New Roman" w:cs="Times New Roman"/>
                <w:b/>
                <w:bCs/>
                <w:sz w:val="20"/>
                <w:szCs w:val="20"/>
                <w:lang w:bidi="en-US"/>
              </w:rPr>
              <w:t xml:space="preserve"> to Post</w:t>
            </w:r>
          </w:p>
        </w:tc>
        <w:tc>
          <w:tcPr>
            <w:tcW w:w="1105" w:type="pct"/>
            <w:tcBorders>
              <w:bottom w:val="single" w:sz="4" w:space="0" w:color="auto"/>
            </w:tcBorders>
            <w:noWrap/>
            <w:vAlign w:val="center"/>
            <w:hideMark/>
          </w:tcPr>
          <w:p w14:paraId="3D699FBE" w14:textId="79B71B57" w:rsidR="00F861A4" w:rsidRPr="005C5513" w:rsidRDefault="00F861A4" w:rsidP="005D0506">
            <w:pPr>
              <w:adjustRightInd w:val="0"/>
              <w:jc w:val="center"/>
              <w:rPr>
                <w:rFonts w:ascii="Times New Roman" w:hAnsi="Times New Roman" w:cs="Times New Roman"/>
                <w:sz w:val="20"/>
                <w:szCs w:val="20"/>
              </w:rPr>
            </w:pPr>
            <w:r w:rsidRPr="005C5513">
              <w:rPr>
                <w:rFonts w:ascii="Times New Roman" w:hAnsi="Times New Roman" w:cs="Times New Roman"/>
                <w:b/>
                <w:bCs/>
                <w:sz w:val="20"/>
                <w:szCs w:val="20"/>
                <w:lang w:bidi="en-US"/>
              </w:rPr>
              <w:t>Δ</w:t>
            </w:r>
            <w:r w:rsidRPr="005C5513">
              <w:rPr>
                <w:rFonts w:ascii="Times New Roman" w:hAnsi="Times New Roman" w:cs="Times New Roman"/>
                <w:b/>
                <w:bCs/>
                <w:sz w:val="20"/>
                <w:szCs w:val="20"/>
                <w:vertAlign w:val="subscript"/>
                <w:lang w:bidi="en-US"/>
              </w:rPr>
              <w:t>1</w:t>
            </w:r>
            <w:r w:rsidRPr="005C5513">
              <w:rPr>
                <w:rFonts w:ascii="Times New Roman" w:hAnsi="Times New Roman" w:cs="Times New Roman"/>
                <w:b/>
                <w:bCs/>
                <w:sz w:val="20"/>
                <w:szCs w:val="20"/>
                <w:lang w:bidi="en-US"/>
              </w:rPr>
              <w:t xml:space="preserve"> = Pre</w:t>
            </w:r>
            <w:r w:rsidR="00D12A5D" w:rsidRPr="005C5513">
              <w:rPr>
                <w:rFonts w:ascii="Times New Roman" w:hAnsi="Times New Roman" w:cs="Times New Roman"/>
                <w:b/>
                <w:bCs/>
                <w:sz w:val="20"/>
                <w:szCs w:val="20"/>
                <w:lang w:bidi="en-US"/>
              </w:rPr>
              <w:t xml:space="preserve"> to </w:t>
            </w:r>
            <w:r w:rsidRPr="005C5513">
              <w:rPr>
                <w:rFonts w:ascii="Times New Roman" w:hAnsi="Times New Roman" w:cs="Times New Roman"/>
                <w:b/>
                <w:bCs/>
                <w:sz w:val="20"/>
                <w:szCs w:val="20"/>
                <w:lang w:bidi="en-US"/>
              </w:rPr>
              <w:t>Pre</w:t>
            </w:r>
          </w:p>
        </w:tc>
        <w:tc>
          <w:tcPr>
            <w:tcW w:w="1107" w:type="pct"/>
            <w:tcBorders>
              <w:bottom w:val="single" w:sz="4" w:space="0" w:color="auto"/>
            </w:tcBorders>
            <w:vAlign w:val="center"/>
          </w:tcPr>
          <w:p w14:paraId="1822005C" w14:textId="7D5A1D0B" w:rsidR="00F861A4" w:rsidRPr="005C5513" w:rsidRDefault="00F861A4" w:rsidP="005D0506">
            <w:pPr>
              <w:adjustRightInd w:val="0"/>
              <w:jc w:val="center"/>
              <w:rPr>
                <w:rFonts w:ascii="Times New Roman" w:hAnsi="Times New Roman" w:cs="Times New Roman"/>
                <w:sz w:val="20"/>
                <w:szCs w:val="20"/>
              </w:rPr>
            </w:pPr>
            <w:r w:rsidRPr="005C5513">
              <w:rPr>
                <w:rFonts w:ascii="Times New Roman" w:hAnsi="Times New Roman" w:cs="Times New Roman"/>
                <w:b/>
                <w:bCs/>
                <w:sz w:val="20"/>
                <w:szCs w:val="20"/>
                <w:lang w:bidi="en-US"/>
              </w:rPr>
              <w:t>Δ</w:t>
            </w:r>
            <w:r w:rsidRPr="005C5513">
              <w:rPr>
                <w:rFonts w:ascii="Times New Roman" w:hAnsi="Times New Roman" w:cs="Times New Roman"/>
                <w:b/>
                <w:bCs/>
                <w:sz w:val="20"/>
                <w:szCs w:val="20"/>
                <w:vertAlign w:val="subscript"/>
                <w:lang w:bidi="en-US"/>
              </w:rPr>
              <w:t>1</w:t>
            </w:r>
            <w:r w:rsidRPr="005C5513">
              <w:rPr>
                <w:rFonts w:ascii="Times New Roman" w:hAnsi="Times New Roman" w:cs="Times New Roman"/>
                <w:b/>
                <w:bCs/>
                <w:sz w:val="20"/>
                <w:szCs w:val="20"/>
                <w:lang w:bidi="en-US"/>
              </w:rPr>
              <w:t xml:space="preserve"> = Post</w:t>
            </w:r>
            <w:r w:rsidR="00D12A5D" w:rsidRPr="005C5513">
              <w:rPr>
                <w:rFonts w:ascii="Times New Roman" w:hAnsi="Times New Roman" w:cs="Times New Roman"/>
                <w:b/>
                <w:bCs/>
                <w:sz w:val="20"/>
                <w:szCs w:val="20"/>
                <w:lang w:bidi="en-US"/>
              </w:rPr>
              <w:t xml:space="preserve"> to </w:t>
            </w:r>
            <w:r w:rsidRPr="005C5513">
              <w:rPr>
                <w:rFonts w:ascii="Times New Roman" w:hAnsi="Times New Roman" w:cs="Times New Roman"/>
                <w:b/>
                <w:bCs/>
                <w:sz w:val="20"/>
                <w:szCs w:val="20"/>
                <w:lang w:bidi="en-US"/>
              </w:rPr>
              <w:t>Post</w:t>
            </w:r>
          </w:p>
        </w:tc>
      </w:tr>
      <w:tr w:rsidR="00F861A4" w:rsidRPr="005C5513" w14:paraId="16FC0D4A" w14:textId="77777777" w:rsidTr="004F5C80">
        <w:trPr>
          <w:trHeight w:val="444"/>
          <w:jc w:val="center"/>
        </w:trPr>
        <w:tc>
          <w:tcPr>
            <w:tcW w:w="913" w:type="pct"/>
            <w:tcBorders>
              <w:top w:val="single" w:sz="4" w:space="0" w:color="auto"/>
            </w:tcBorders>
            <w:noWrap/>
            <w:vAlign w:val="center"/>
            <w:hideMark/>
          </w:tcPr>
          <w:p w14:paraId="72AE29C5" w14:textId="63F02D3B" w:rsidR="00F861A4" w:rsidRPr="005C5513" w:rsidRDefault="00F861A4" w:rsidP="005D0506">
            <w:pPr>
              <w:adjustRightInd w:val="0"/>
              <w:rPr>
                <w:rFonts w:ascii="Times New Roman" w:hAnsi="Times New Roman" w:cs="Times New Roman"/>
                <w:sz w:val="20"/>
                <w:szCs w:val="20"/>
              </w:rPr>
            </w:pPr>
            <w:r w:rsidRPr="005C5513">
              <w:rPr>
                <w:rFonts w:ascii="Times New Roman" w:hAnsi="Times New Roman" w:cs="Times New Roman"/>
                <w:bCs/>
                <w:sz w:val="20"/>
                <w:szCs w:val="20"/>
              </w:rPr>
              <w:t>T (</w:t>
            </w:r>
            <w:proofErr w:type="spellStart"/>
            <w:r w:rsidRPr="005C5513">
              <w:rPr>
                <w:rFonts w:ascii="Times New Roman" w:hAnsi="Times New Roman" w:cs="Times New Roman"/>
                <w:bCs/>
                <w:sz w:val="20"/>
                <w:szCs w:val="20"/>
                <w:lang w:bidi="en-US"/>
              </w:rPr>
              <w:t>pg</w:t>
            </w:r>
            <w:proofErr w:type="spellEnd"/>
            <w:r w:rsidRPr="005C5513">
              <w:rPr>
                <w:rFonts w:ascii="Times New Roman" w:hAnsi="Times New Roman" w:cs="Times New Roman"/>
                <w:bCs/>
                <w:sz w:val="20"/>
                <w:szCs w:val="20"/>
                <w:lang w:bidi="en-US"/>
              </w:rPr>
              <w:t>/mL)</w:t>
            </w:r>
            <w:r w:rsidRPr="005C5513">
              <w:rPr>
                <w:rFonts w:ascii="Times New Roman" w:hAnsi="Times New Roman" w:cs="Times New Roman"/>
                <w:sz w:val="20"/>
                <w:szCs w:val="20"/>
                <w:lang w:bidi="en-US"/>
              </w:rPr>
              <w:t xml:space="preserve"> (%</w:t>
            </w:r>
            <w:r w:rsidRPr="005C5513">
              <w:rPr>
                <w:rFonts w:ascii="Times New Roman" w:hAnsi="Times New Roman" w:cs="Times New Roman"/>
                <w:sz w:val="20"/>
                <w:szCs w:val="20"/>
                <w:lang w:bidi="en-US"/>
              </w:rPr>
              <w:sym w:font="Symbol" w:char="F044"/>
            </w:r>
            <w:r w:rsidRPr="005C5513">
              <w:rPr>
                <w:rFonts w:ascii="Times New Roman" w:hAnsi="Times New Roman" w:cs="Times New Roman"/>
                <w:sz w:val="20"/>
                <w:szCs w:val="20"/>
                <w:lang w:bidi="en-US"/>
              </w:rPr>
              <w:t>)</w:t>
            </w:r>
          </w:p>
        </w:tc>
        <w:tc>
          <w:tcPr>
            <w:tcW w:w="865" w:type="pct"/>
            <w:tcBorders>
              <w:top w:val="single" w:sz="4" w:space="0" w:color="auto"/>
            </w:tcBorders>
            <w:noWrap/>
            <w:vAlign w:val="center"/>
            <w:hideMark/>
          </w:tcPr>
          <w:p w14:paraId="1E8566E0" w14:textId="4F37C5EF" w:rsidR="00F861A4" w:rsidRPr="005C5513" w:rsidRDefault="007026CB"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65</w:t>
            </w:r>
            <w:r w:rsidR="00EE54A7" w:rsidRPr="005C5513">
              <w:rPr>
                <w:rFonts w:ascii="Times New Roman" w:hAnsi="Times New Roman" w:cs="Times New Roman"/>
                <w:sz w:val="20"/>
                <w:szCs w:val="20"/>
              </w:rPr>
              <w:t xml:space="preserve">.2 ± </w:t>
            </w:r>
            <w:r w:rsidRPr="005C5513">
              <w:rPr>
                <w:rFonts w:ascii="Times New Roman" w:hAnsi="Times New Roman" w:cs="Times New Roman"/>
                <w:sz w:val="20"/>
                <w:szCs w:val="20"/>
              </w:rPr>
              <w:t>104</w:t>
            </w:r>
            <w:r w:rsidR="00EE54A7" w:rsidRPr="005C5513">
              <w:rPr>
                <w:rFonts w:ascii="Times New Roman" w:hAnsi="Times New Roman" w:cs="Times New Roman"/>
                <w:sz w:val="20"/>
                <w:szCs w:val="20"/>
              </w:rPr>
              <w:t>.</w:t>
            </w:r>
            <w:r w:rsidRPr="005C5513">
              <w:rPr>
                <w:rFonts w:ascii="Times New Roman" w:hAnsi="Times New Roman" w:cs="Times New Roman"/>
                <w:sz w:val="20"/>
                <w:szCs w:val="20"/>
              </w:rPr>
              <w:t>0</w:t>
            </w:r>
          </w:p>
        </w:tc>
        <w:tc>
          <w:tcPr>
            <w:tcW w:w="1010" w:type="pct"/>
            <w:tcBorders>
              <w:top w:val="single" w:sz="4" w:space="0" w:color="auto"/>
            </w:tcBorders>
            <w:noWrap/>
            <w:vAlign w:val="center"/>
            <w:hideMark/>
          </w:tcPr>
          <w:p w14:paraId="7EC86009" w14:textId="3A6B07C5" w:rsidR="00F861A4" w:rsidRPr="005C5513" w:rsidRDefault="009F5AB8"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37.9</w:t>
            </w:r>
            <w:r w:rsidR="00EE54A7" w:rsidRPr="005C5513">
              <w:rPr>
                <w:rFonts w:ascii="Times New Roman" w:hAnsi="Times New Roman" w:cs="Times New Roman"/>
                <w:sz w:val="20"/>
                <w:szCs w:val="20"/>
              </w:rPr>
              <w:t xml:space="preserve"> ± </w:t>
            </w:r>
            <w:r w:rsidRPr="005C5513">
              <w:rPr>
                <w:rFonts w:ascii="Times New Roman" w:hAnsi="Times New Roman" w:cs="Times New Roman"/>
                <w:sz w:val="20"/>
                <w:szCs w:val="20"/>
              </w:rPr>
              <w:t>39.7</w:t>
            </w:r>
          </w:p>
        </w:tc>
        <w:tc>
          <w:tcPr>
            <w:tcW w:w="1105" w:type="pct"/>
            <w:tcBorders>
              <w:top w:val="single" w:sz="4" w:space="0" w:color="auto"/>
            </w:tcBorders>
            <w:noWrap/>
            <w:vAlign w:val="center"/>
            <w:hideMark/>
          </w:tcPr>
          <w:p w14:paraId="6819301B" w14:textId="782BCC64" w:rsidR="00F861A4" w:rsidRPr="005C5513" w:rsidRDefault="009F5AB8"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 xml:space="preserve">- </w:t>
            </w:r>
            <w:r w:rsidR="007026CB" w:rsidRPr="005C5513">
              <w:rPr>
                <w:rFonts w:ascii="Times New Roman" w:hAnsi="Times New Roman" w:cs="Times New Roman"/>
                <w:sz w:val="20"/>
                <w:szCs w:val="20"/>
              </w:rPr>
              <w:t>5</w:t>
            </w:r>
            <w:r w:rsidRPr="005C5513">
              <w:rPr>
                <w:rFonts w:ascii="Times New Roman" w:hAnsi="Times New Roman" w:cs="Times New Roman"/>
                <w:sz w:val="20"/>
                <w:szCs w:val="20"/>
              </w:rPr>
              <w:t>.</w:t>
            </w:r>
            <w:r w:rsidR="007026CB" w:rsidRPr="005C5513">
              <w:rPr>
                <w:rFonts w:ascii="Times New Roman" w:hAnsi="Times New Roman" w:cs="Times New Roman"/>
                <w:sz w:val="20"/>
                <w:szCs w:val="20"/>
              </w:rPr>
              <w:t>0</w:t>
            </w:r>
            <w:r w:rsidRPr="005C5513">
              <w:rPr>
                <w:rFonts w:ascii="Times New Roman" w:hAnsi="Times New Roman" w:cs="Times New Roman"/>
                <w:sz w:val="20"/>
                <w:szCs w:val="20"/>
              </w:rPr>
              <w:t xml:space="preserve"> ± </w:t>
            </w:r>
            <w:r w:rsidR="007026CB" w:rsidRPr="005C5513">
              <w:rPr>
                <w:rFonts w:ascii="Times New Roman" w:hAnsi="Times New Roman" w:cs="Times New Roman"/>
                <w:sz w:val="20"/>
                <w:szCs w:val="20"/>
              </w:rPr>
              <w:t>18</w:t>
            </w:r>
            <w:r w:rsidRPr="005C5513">
              <w:rPr>
                <w:rFonts w:ascii="Times New Roman" w:hAnsi="Times New Roman" w:cs="Times New Roman"/>
                <w:sz w:val="20"/>
                <w:szCs w:val="20"/>
              </w:rPr>
              <w:t>.</w:t>
            </w:r>
            <w:r w:rsidR="007026CB" w:rsidRPr="005C5513">
              <w:rPr>
                <w:rFonts w:ascii="Times New Roman" w:hAnsi="Times New Roman" w:cs="Times New Roman"/>
                <w:sz w:val="20"/>
                <w:szCs w:val="20"/>
              </w:rPr>
              <w:t>5</w:t>
            </w:r>
          </w:p>
        </w:tc>
        <w:tc>
          <w:tcPr>
            <w:tcW w:w="1107" w:type="pct"/>
            <w:tcBorders>
              <w:top w:val="single" w:sz="4" w:space="0" w:color="auto"/>
            </w:tcBorders>
            <w:vAlign w:val="center"/>
          </w:tcPr>
          <w:p w14:paraId="295758F2" w14:textId="7552756C" w:rsidR="00F861A4" w:rsidRPr="005C5513" w:rsidRDefault="00EE54A7"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 xml:space="preserve">- </w:t>
            </w:r>
            <w:r w:rsidR="009F5AB8" w:rsidRPr="005C5513">
              <w:rPr>
                <w:rFonts w:ascii="Times New Roman" w:hAnsi="Times New Roman" w:cs="Times New Roman"/>
                <w:sz w:val="20"/>
                <w:szCs w:val="20"/>
              </w:rPr>
              <w:t>11</w:t>
            </w:r>
            <w:r w:rsidRPr="005C5513">
              <w:rPr>
                <w:rFonts w:ascii="Times New Roman" w:hAnsi="Times New Roman" w:cs="Times New Roman"/>
                <w:sz w:val="20"/>
                <w:szCs w:val="20"/>
              </w:rPr>
              <w:t>.</w:t>
            </w:r>
            <w:r w:rsidR="009F5AB8" w:rsidRPr="005C5513">
              <w:rPr>
                <w:rFonts w:ascii="Times New Roman" w:hAnsi="Times New Roman" w:cs="Times New Roman"/>
                <w:sz w:val="20"/>
                <w:szCs w:val="20"/>
              </w:rPr>
              <w:t>7</w:t>
            </w:r>
            <w:r w:rsidRPr="005C5513">
              <w:rPr>
                <w:rFonts w:ascii="Times New Roman" w:hAnsi="Times New Roman" w:cs="Times New Roman"/>
                <w:sz w:val="20"/>
                <w:szCs w:val="20"/>
              </w:rPr>
              <w:t xml:space="preserve"> ± </w:t>
            </w:r>
            <w:r w:rsidR="009F5AB8" w:rsidRPr="005C5513">
              <w:rPr>
                <w:rFonts w:ascii="Times New Roman" w:hAnsi="Times New Roman" w:cs="Times New Roman"/>
                <w:sz w:val="20"/>
                <w:szCs w:val="20"/>
              </w:rPr>
              <w:t>27</w:t>
            </w:r>
            <w:r w:rsidRPr="005C5513">
              <w:rPr>
                <w:rFonts w:ascii="Times New Roman" w:hAnsi="Times New Roman" w:cs="Times New Roman"/>
                <w:sz w:val="20"/>
                <w:szCs w:val="20"/>
              </w:rPr>
              <w:t>.</w:t>
            </w:r>
            <w:r w:rsidR="009F5AB8" w:rsidRPr="005C5513">
              <w:rPr>
                <w:rFonts w:ascii="Times New Roman" w:hAnsi="Times New Roman" w:cs="Times New Roman"/>
                <w:sz w:val="20"/>
                <w:szCs w:val="20"/>
              </w:rPr>
              <w:t>3</w:t>
            </w:r>
          </w:p>
        </w:tc>
      </w:tr>
      <w:tr w:rsidR="00F861A4" w:rsidRPr="005C5513" w14:paraId="013A26A5" w14:textId="77777777" w:rsidTr="004F5C80">
        <w:trPr>
          <w:trHeight w:val="444"/>
          <w:jc w:val="center"/>
        </w:trPr>
        <w:tc>
          <w:tcPr>
            <w:tcW w:w="913" w:type="pct"/>
            <w:vAlign w:val="center"/>
            <w:hideMark/>
          </w:tcPr>
          <w:p w14:paraId="5E968D66" w14:textId="5A4A52E0" w:rsidR="00F861A4" w:rsidRPr="005C5513" w:rsidRDefault="00F861A4" w:rsidP="005D0506">
            <w:pPr>
              <w:adjustRightInd w:val="0"/>
              <w:rPr>
                <w:rFonts w:ascii="Times New Roman" w:hAnsi="Times New Roman" w:cs="Times New Roman"/>
                <w:sz w:val="20"/>
                <w:szCs w:val="20"/>
              </w:rPr>
            </w:pPr>
            <w:r w:rsidRPr="005C5513">
              <w:rPr>
                <w:rFonts w:ascii="Times New Roman" w:hAnsi="Times New Roman" w:cs="Times New Roman"/>
                <w:bCs/>
                <w:sz w:val="20"/>
                <w:szCs w:val="20"/>
              </w:rPr>
              <w:t xml:space="preserve">C </w:t>
            </w:r>
            <w:r w:rsidRPr="005C5513">
              <w:rPr>
                <w:rFonts w:ascii="Times New Roman" w:hAnsi="Times New Roman" w:cs="Times New Roman"/>
                <w:bCs/>
                <w:sz w:val="20"/>
                <w:szCs w:val="20"/>
                <w:lang w:bidi="en-US"/>
              </w:rPr>
              <w:t>(µg/dL)</w:t>
            </w:r>
            <w:r w:rsidRPr="005C5513">
              <w:rPr>
                <w:rFonts w:ascii="Times New Roman" w:hAnsi="Times New Roman" w:cs="Times New Roman"/>
                <w:sz w:val="20"/>
                <w:szCs w:val="20"/>
                <w:lang w:bidi="en-US"/>
              </w:rPr>
              <w:t xml:space="preserve"> (%</w:t>
            </w:r>
            <w:r w:rsidRPr="005C5513">
              <w:rPr>
                <w:rFonts w:ascii="Times New Roman" w:hAnsi="Times New Roman" w:cs="Times New Roman"/>
                <w:sz w:val="20"/>
                <w:szCs w:val="20"/>
                <w:lang w:bidi="en-US"/>
              </w:rPr>
              <w:sym w:font="Symbol" w:char="F044"/>
            </w:r>
            <w:r w:rsidRPr="005C5513">
              <w:rPr>
                <w:rFonts w:ascii="Times New Roman" w:hAnsi="Times New Roman" w:cs="Times New Roman"/>
                <w:sz w:val="20"/>
                <w:szCs w:val="20"/>
                <w:lang w:bidi="en-US"/>
              </w:rPr>
              <w:t>)</w:t>
            </w:r>
          </w:p>
        </w:tc>
        <w:tc>
          <w:tcPr>
            <w:tcW w:w="865" w:type="pct"/>
            <w:noWrap/>
            <w:vAlign w:val="center"/>
            <w:hideMark/>
          </w:tcPr>
          <w:p w14:paraId="50BB60C3" w14:textId="2EEB639D" w:rsidR="00F861A4" w:rsidRPr="005C5513" w:rsidRDefault="007026CB"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206</w:t>
            </w:r>
            <w:r w:rsidR="00EE54A7" w:rsidRPr="005C5513">
              <w:rPr>
                <w:rFonts w:ascii="Times New Roman" w:hAnsi="Times New Roman" w:cs="Times New Roman"/>
                <w:sz w:val="20"/>
                <w:szCs w:val="20"/>
              </w:rPr>
              <w:t>.</w:t>
            </w:r>
            <w:r w:rsidRPr="005C5513">
              <w:rPr>
                <w:rFonts w:ascii="Times New Roman" w:hAnsi="Times New Roman" w:cs="Times New Roman"/>
                <w:sz w:val="20"/>
                <w:szCs w:val="20"/>
              </w:rPr>
              <w:t>9</w:t>
            </w:r>
            <w:r w:rsidR="00EE54A7" w:rsidRPr="005C5513">
              <w:rPr>
                <w:rFonts w:ascii="Times New Roman" w:hAnsi="Times New Roman" w:cs="Times New Roman"/>
                <w:sz w:val="20"/>
                <w:szCs w:val="20"/>
              </w:rPr>
              <w:t xml:space="preserve"> ± 2</w:t>
            </w:r>
            <w:r w:rsidRPr="005C5513">
              <w:rPr>
                <w:rFonts w:ascii="Times New Roman" w:hAnsi="Times New Roman" w:cs="Times New Roman"/>
                <w:sz w:val="20"/>
                <w:szCs w:val="20"/>
              </w:rPr>
              <w:t>52</w:t>
            </w:r>
            <w:r w:rsidR="00EE54A7" w:rsidRPr="005C5513">
              <w:rPr>
                <w:rFonts w:ascii="Times New Roman" w:hAnsi="Times New Roman" w:cs="Times New Roman"/>
                <w:sz w:val="20"/>
                <w:szCs w:val="20"/>
              </w:rPr>
              <w:t>.</w:t>
            </w:r>
            <w:r w:rsidRPr="005C5513">
              <w:rPr>
                <w:rFonts w:ascii="Times New Roman" w:hAnsi="Times New Roman" w:cs="Times New Roman"/>
                <w:sz w:val="20"/>
                <w:szCs w:val="20"/>
              </w:rPr>
              <w:t>5</w:t>
            </w:r>
          </w:p>
        </w:tc>
        <w:tc>
          <w:tcPr>
            <w:tcW w:w="1010" w:type="pct"/>
            <w:noWrap/>
            <w:vAlign w:val="center"/>
            <w:hideMark/>
          </w:tcPr>
          <w:p w14:paraId="3F7C0975" w14:textId="6DB00AC2" w:rsidR="00F861A4" w:rsidRPr="005C5513" w:rsidRDefault="00EE54A7"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70.9 ± 158.7</w:t>
            </w:r>
          </w:p>
        </w:tc>
        <w:tc>
          <w:tcPr>
            <w:tcW w:w="1105" w:type="pct"/>
            <w:noWrap/>
            <w:vAlign w:val="center"/>
            <w:hideMark/>
          </w:tcPr>
          <w:p w14:paraId="1483A792" w14:textId="58BC2C04" w:rsidR="00F861A4" w:rsidRPr="005C5513" w:rsidRDefault="007026CB"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40</w:t>
            </w:r>
            <w:r w:rsidR="00EE54A7" w:rsidRPr="005C5513">
              <w:rPr>
                <w:rFonts w:ascii="Times New Roman" w:hAnsi="Times New Roman" w:cs="Times New Roman"/>
                <w:sz w:val="20"/>
                <w:szCs w:val="20"/>
              </w:rPr>
              <w:t>.</w:t>
            </w:r>
            <w:r w:rsidRPr="005C5513">
              <w:rPr>
                <w:rFonts w:ascii="Times New Roman" w:hAnsi="Times New Roman" w:cs="Times New Roman"/>
                <w:sz w:val="20"/>
                <w:szCs w:val="20"/>
              </w:rPr>
              <w:t>6</w:t>
            </w:r>
            <w:r w:rsidR="00EE54A7" w:rsidRPr="005C5513">
              <w:rPr>
                <w:rFonts w:ascii="Times New Roman" w:hAnsi="Times New Roman" w:cs="Times New Roman"/>
                <w:sz w:val="20"/>
                <w:szCs w:val="20"/>
              </w:rPr>
              <w:t xml:space="preserve"> ± 10</w:t>
            </w:r>
            <w:r w:rsidRPr="005C5513">
              <w:rPr>
                <w:rFonts w:ascii="Times New Roman" w:hAnsi="Times New Roman" w:cs="Times New Roman"/>
                <w:sz w:val="20"/>
                <w:szCs w:val="20"/>
              </w:rPr>
              <w:t>6</w:t>
            </w:r>
            <w:r w:rsidR="00EE54A7" w:rsidRPr="005C5513">
              <w:rPr>
                <w:rFonts w:ascii="Times New Roman" w:hAnsi="Times New Roman" w:cs="Times New Roman"/>
                <w:sz w:val="20"/>
                <w:szCs w:val="20"/>
              </w:rPr>
              <w:t>.</w:t>
            </w:r>
            <w:r w:rsidRPr="005C5513">
              <w:rPr>
                <w:rFonts w:ascii="Times New Roman" w:hAnsi="Times New Roman" w:cs="Times New Roman"/>
                <w:sz w:val="20"/>
                <w:szCs w:val="20"/>
              </w:rPr>
              <w:t>4</w:t>
            </w:r>
          </w:p>
        </w:tc>
        <w:tc>
          <w:tcPr>
            <w:tcW w:w="1107" w:type="pct"/>
            <w:vAlign w:val="center"/>
          </w:tcPr>
          <w:p w14:paraId="19C04C41" w14:textId="3DE446EB" w:rsidR="00F861A4" w:rsidRPr="005C5513" w:rsidRDefault="00D55629" w:rsidP="005D0506">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- 29.1 ± 41.7</w:t>
            </w:r>
          </w:p>
        </w:tc>
      </w:tr>
      <w:tr w:rsidR="00F861A4" w:rsidRPr="005C5513" w14:paraId="7A1D403A" w14:textId="77777777" w:rsidTr="004F5C80">
        <w:trPr>
          <w:trHeight w:val="444"/>
          <w:jc w:val="center"/>
        </w:trPr>
        <w:tc>
          <w:tcPr>
            <w:tcW w:w="913" w:type="pct"/>
            <w:tcBorders>
              <w:bottom w:val="single" w:sz="4" w:space="0" w:color="auto"/>
            </w:tcBorders>
            <w:noWrap/>
            <w:vAlign w:val="center"/>
          </w:tcPr>
          <w:p w14:paraId="2EE930EE" w14:textId="08EACFFF" w:rsidR="00F861A4" w:rsidRPr="005C5513" w:rsidRDefault="00F861A4" w:rsidP="005D0506">
            <w:pPr>
              <w:adjustRightInd w:val="0"/>
              <w:rPr>
                <w:rFonts w:ascii="Times New Roman" w:hAnsi="Times New Roman" w:cs="Times New Roman"/>
                <w:bCs/>
                <w:sz w:val="20"/>
                <w:szCs w:val="20"/>
              </w:rPr>
            </w:pPr>
            <w:r w:rsidRPr="005C5513">
              <w:rPr>
                <w:rFonts w:ascii="Times New Roman" w:hAnsi="Times New Roman" w:cs="Times New Roman"/>
                <w:bCs/>
                <w:sz w:val="20"/>
                <w:szCs w:val="20"/>
              </w:rPr>
              <w:t xml:space="preserve">T:C </w:t>
            </w:r>
            <w:r w:rsidRPr="005C5513">
              <w:rPr>
                <w:rFonts w:ascii="Times New Roman" w:hAnsi="Times New Roman" w:cs="Times New Roman"/>
                <w:sz w:val="20"/>
                <w:szCs w:val="20"/>
                <w:lang w:bidi="en-US"/>
              </w:rPr>
              <w:t>(%</w:t>
            </w:r>
            <w:r w:rsidRPr="005C5513">
              <w:rPr>
                <w:rFonts w:ascii="Times New Roman" w:hAnsi="Times New Roman" w:cs="Times New Roman"/>
                <w:sz w:val="20"/>
                <w:szCs w:val="20"/>
                <w:lang w:bidi="en-US"/>
              </w:rPr>
              <w:sym w:font="Symbol" w:char="F044"/>
            </w:r>
            <w:r w:rsidRPr="005C5513">
              <w:rPr>
                <w:rFonts w:ascii="Times New Roman" w:hAnsi="Times New Roman" w:cs="Times New Roman"/>
                <w:sz w:val="20"/>
                <w:szCs w:val="20"/>
                <w:lang w:bidi="en-US"/>
              </w:rPr>
              <w:t>)</w:t>
            </w:r>
          </w:p>
        </w:tc>
        <w:tc>
          <w:tcPr>
            <w:tcW w:w="865" w:type="pct"/>
            <w:tcBorders>
              <w:bottom w:val="single" w:sz="4" w:space="0" w:color="auto"/>
            </w:tcBorders>
            <w:noWrap/>
            <w:vAlign w:val="center"/>
          </w:tcPr>
          <w:p w14:paraId="4306DBA6" w14:textId="60892FFA" w:rsidR="00D55629" w:rsidRPr="00627105" w:rsidRDefault="00D55629" w:rsidP="00D55629">
            <w:pPr>
              <w:adjustRightInd w:val="0"/>
              <w:jc w:val="center"/>
              <w:rPr>
                <w:rFonts w:ascii="Times New Roman" w:hAnsi="Times New Roman" w:cs="Times New Roman"/>
                <w:color w:val="000000" w:themeColor="text1"/>
                <w:sz w:val="20"/>
                <w:szCs w:val="20"/>
              </w:rPr>
            </w:pPr>
            <w:r w:rsidRPr="00627105">
              <w:rPr>
                <w:rFonts w:ascii="Times New Roman" w:hAnsi="Times New Roman" w:cs="Times New Roman"/>
                <w:color w:val="000000" w:themeColor="text1"/>
                <w:sz w:val="20"/>
                <w:szCs w:val="20"/>
              </w:rPr>
              <w:t xml:space="preserve">- </w:t>
            </w:r>
            <w:r w:rsidR="007026CB" w:rsidRPr="00627105">
              <w:rPr>
                <w:rFonts w:ascii="Times New Roman" w:hAnsi="Times New Roman" w:cs="Times New Roman"/>
                <w:color w:val="000000" w:themeColor="text1"/>
                <w:sz w:val="20"/>
                <w:szCs w:val="20"/>
              </w:rPr>
              <w:t>25</w:t>
            </w:r>
            <w:r w:rsidRPr="00627105">
              <w:rPr>
                <w:rFonts w:ascii="Times New Roman" w:hAnsi="Times New Roman" w:cs="Times New Roman"/>
                <w:color w:val="000000" w:themeColor="text1"/>
                <w:sz w:val="20"/>
                <w:szCs w:val="20"/>
              </w:rPr>
              <w:t>.</w:t>
            </w:r>
            <w:r w:rsidR="007026CB" w:rsidRPr="00627105">
              <w:rPr>
                <w:rFonts w:ascii="Times New Roman" w:hAnsi="Times New Roman" w:cs="Times New Roman"/>
                <w:color w:val="000000" w:themeColor="text1"/>
                <w:sz w:val="20"/>
                <w:szCs w:val="20"/>
              </w:rPr>
              <w:t>8</w:t>
            </w:r>
            <w:r w:rsidRPr="00627105">
              <w:rPr>
                <w:rFonts w:ascii="Times New Roman" w:hAnsi="Times New Roman" w:cs="Times New Roman"/>
                <w:color w:val="000000" w:themeColor="text1"/>
                <w:sz w:val="20"/>
                <w:szCs w:val="20"/>
              </w:rPr>
              <w:t xml:space="preserve"> ± 5</w:t>
            </w:r>
            <w:r w:rsidR="007026CB" w:rsidRPr="00627105">
              <w:rPr>
                <w:rFonts w:ascii="Times New Roman" w:hAnsi="Times New Roman" w:cs="Times New Roman"/>
                <w:color w:val="000000" w:themeColor="text1"/>
                <w:sz w:val="20"/>
                <w:szCs w:val="20"/>
              </w:rPr>
              <w:t>4</w:t>
            </w:r>
            <w:r w:rsidRPr="00627105">
              <w:rPr>
                <w:rFonts w:ascii="Times New Roman" w:hAnsi="Times New Roman" w:cs="Times New Roman"/>
                <w:color w:val="000000" w:themeColor="text1"/>
                <w:sz w:val="20"/>
                <w:szCs w:val="20"/>
              </w:rPr>
              <w:t>.</w:t>
            </w:r>
            <w:r w:rsidR="007026CB" w:rsidRPr="00627105">
              <w:rPr>
                <w:rFonts w:ascii="Times New Roman" w:hAnsi="Times New Roman" w:cs="Times New Roman"/>
                <w:color w:val="000000" w:themeColor="text1"/>
                <w:sz w:val="20"/>
                <w:szCs w:val="20"/>
              </w:rPr>
              <w:t>3</w:t>
            </w:r>
            <w:r w:rsidR="001935D8" w:rsidRPr="00627105">
              <w:rPr>
                <w:rFonts w:ascii="Times New Roman" w:hAnsi="Times New Roman" w:cs="Times New Roman"/>
                <w:color w:val="000000" w:themeColor="text1"/>
                <w:sz w:val="20"/>
                <w:szCs w:val="20"/>
              </w:rPr>
              <w:t>*</w:t>
            </w:r>
          </w:p>
        </w:tc>
        <w:tc>
          <w:tcPr>
            <w:tcW w:w="1010" w:type="pct"/>
            <w:tcBorders>
              <w:bottom w:val="single" w:sz="4" w:space="0" w:color="auto"/>
            </w:tcBorders>
            <w:noWrap/>
            <w:vAlign w:val="center"/>
          </w:tcPr>
          <w:p w14:paraId="792555B1" w14:textId="087AE67C" w:rsidR="00F861A4" w:rsidRPr="00627105" w:rsidRDefault="00D55629" w:rsidP="00D55629">
            <w:pPr>
              <w:adjustRightInd w:val="0"/>
              <w:jc w:val="center"/>
              <w:rPr>
                <w:rFonts w:ascii="Times New Roman" w:hAnsi="Times New Roman" w:cs="Times New Roman"/>
                <w:color w:val="000000" w:themeColor="text1"/>
                <w:sz w:val="20"/>
                <w:szCs w:val="20"/>
              </w:rPr>
            </w:pPr>
            <w:r w:rsidRPr="00627105">
              <w:rPr>
                <w:rFonts w:ascii="Times New Roman" w:hAnsi="Times New Roman" w:cs="Times New Roman"/>
                <w:color w:val="000000" w:themeColor="text1"/>
                <w:sz w:val="20"/>
                <w:szCs w:val="20"/>
              </w:rPr>
              <w:t>45.2 ± 101.3</w:t>
            </w:r>
          </w:p>
        </w:tc>
        <w:tc>
          <w:tcPr>
            <w:tcW w:w="1105" w:type="pct"/>
            <w:tcBorders>
              <w:bottom w:val="single" w:sz="4" w:space="0" w:color="auto"/>
            </w:tcBorders>
            <w:noWrap/>
            <w:vAlign w:val="center"/>
          </w:tcPr>
          <w:p w14:paraId="28555C7E" w14:textId="2A27D01F" w:rsidR="00F861A4" w:rsidRPr="005C5513" w:rsidRDefault="00D55629" w:rsidP="00D55629">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- 1</w:t>
            </w:r>
            <w:r w:rsidR="007026CB" w:rsidRPr="005C5513">
              <w:rPr>
                <w:rFonts w:ascii="Times New Roman" w:hAnsi="Times New Roman" w:cs="Times New Roman"/>
                <w:sz w:val="20"/>
                <w:szCs w:val="20"/>
              </w:rPr>
              <w:t>2</w:t>
            </w:r>
            <w:r w:rsidRPr="005C5513">
              <w:rPr>
                <w:rFonts w:ascii="Times New Roman" w:hAnsi="Times New Roman" w:cs="Times New Roman"/>
                <w:sz w:val="20"/>
                <w:szCs w:val="20"/>
              </w:rPr>
              <w:t>.</w:t>
            </w:r>
            <w:r w:rsidR="007026CB" w:rsidRPr="005C5513">
              <w:rPr>
                <w:rFonts w:ascii="Times New Roman" w:hAnsi="Times New Roman" w:cs="Times New Roman"/>
                <w:sz w:val="20"/>
                <w:szCs w:val="20"/>
              </w:rPr>
              <w:t>7</w:t>
            </w:r>
            <w:r w:rsidRPr="005C5513">
              <w:rPr>
                <w:rFonts w:ascii="Times New Roman" w:hAnsi="Times New Roman" w:cs="Times New Roman"/>
                <w:sz w:val="20"/>
                <w:szCs w:val="20"/>
              </w:rPr>
              <w:t xml:space="preserve"> ± 3</w:t>
            </w:r>
            <w:r w:rsidR="007026CB" w:rsidRPr="005C5513">
              <w:rPr>
                <w:rFonts w:ascii="Times New Roman" w:hAnsi="Times New Roman" w:cs="Times New Roman"/>
                <w:sz w:val="20"/>
                <w:szCs w:val="20"/>
              </w:rPr>
              <w:t>8</w:t>
            </w:r>
            <w:r w:rsidRPr="005C5513">
              <w:rPr>
                <w:rFonts w:ascii="Times New Roman" w:hAnsi="Times New Roman" w:cs="Times New Roman"/>
                <w:sz w:val="20"/>
                <w:szCs w:val="20"/>
              </w:rPr>
              <w:t>.7</w:t>
            </w:r>
          </w:p>
        </w:tc>
        <w:tc>
          <w:tcPr>
            <w:tcW w:w="1107" w:type="pct"/>
            <w:vAlign w:val="center"/>
          </w:tcPr>
          <w:p w14:paraId="6DCA048B" w14:textId="48652558" w:rsidR="00F861A4" w:rsidRPr="005C5513" w:rsidRDefault="00D55629" w:rsidP="00D55629">
            <w:pPr>
              <w:adjustRightInd w:val="0"/>
              <w:jc w:val="center"/>
              <w:rPr>
                <w:rFonts w:ascii="Times New Roman" w:hAnsi="Times New Roman" w:cs="Times New Roman"/>
                <w:sz w:val="20"/>
                <w:szCs w:val="20"/>
              </w:rPr>
            </w:pPr>
            <w:r w:rsidRPr="005C5513">
              <w:rPr>
                <w:rFonts w:ascii="Times New Roman" w:hAnsi="Times New Roman" w:cs="Times New Roman"/>
                <w:sz w:val="20"/>
                <w:szCs w:val="20"/>
              </w:rPr>
              <w:t>50.1 ± 73.8</w:t>
            </w:r>
          </w:p>
        </w:tc>
      </w:tr>
      <w:tr w:rsidR="00F861A4" w:rsidRPr="005C5513" w14:paraId="64FCCA96" w14:textId="77777777" w:rsidTr="008D5246">
        <w:trPr>
          <w:trHeight w:val="224"/>
          <w:jc w:val="center"/>
        </w:trPr>
        <w:tc>
          <w:tcPr>
            <w:tcW w:w="5000" w:type="pct"/>
            <w:gridSpan w:val="5"/>
            <w:tcBorders>
              <w:top w:val="single" w:sz="4" w:space="0" w:color="auto"/>
            </w:tcBorders>
            <w:noWrap/>
            <w:vAlign w:val="center"/>
          </w:tcPr>
          <w:p w14:paraId="4F35FB76" w14:textId="047B58A4" w:rsidR="00F861A4" w:rsidRPr="00D66C52" w:rsidRDefault="00F861A4" w:rsidP="005D0506">
            <w:pPr>
              <w:adjustRightInd w:val="0"/>
              <w:rPr>
                <w:rFonts w:ascii="Times New Roman" w:hAnsi="Times New Roman" w:cs="Times New Roman"/>
                <w:sz w:val="18"/>
                <w:szCs w:val="18"/>
              </w:rPr>
            </w:pPr>
            <w:r w:rsidRPr="00D66C52">
              <w:rPr>
                <w:rFonts w:ascii="Times New Roman" w:hAnsi="Times New Roman" w:cs="Times New Roman"/>
                <w:sz w:val="18"/>
                <w:szCs w:val="18"/>
              </w:rPr>
              <w:t xml:space="preserve">Data presented as Mean </w:t>
            </w:r>
            <w:r w:rsidR="0017476D" w:rsidRPr="00D66C52">
              <w:rPr>
                <w:rFonts w:ascii="Times New Roman" w:hAnsi="Times New Roman" w:cs="Times New Roman"/>
                <w:sz w:val="18"/>
                <w:szCs w:val="18"/>
              </w:rPr>
              <w:t>± Standard Deviation</w:t>
            </w:r>
            <w:r w:rsidRPr="00D66C52">
              <w:rPr>
                <w:rFonts w:ascii="Times New Roman" w:hAnsi="Times New Roman" w:cs="Times New Roman"/>
                <w:sz w:val="18"/>
                <w:szCs w:val="18"/>
              </w:rPr>
              <w:t xml:space="preserve">. Pre = </w:t>
            </w:r>
            <w:r w:rsidR="00105618" w:rsidRPr="00D66C52">
              <w:rPr>
                <w:rFonts w:ascii="Times New Roman" w:hAnsi="Times New Roman" w:cs="Times New Roman"/>
                <w:sz w:val="18"/>
                <w:szCs w:val="18"/>
              </w:rPr>
              <w:t>P</w:t>
            </w:r>
            <w:r w:rsidRPr="00D66C52">
              <w:rPr>
                <w:rFonts w:ascii="Times New Roman" w:hAnsi="Times New Roman" w:cs="Times New Roman"/>
                <w:sz w:val="18"/>
                <w:szCs w:val="18"/>
              </w:rPr>
              <w:t>re-</w:t>
            </w:r>
            <w:r w:rsidR="00105618" w:rsidRPr="00D66C52">
              <w:rPr>
                <w:rFonts w:ascii="Times New Roman" w:hAnsi="Times New Roman" w:cs="Times New Roman"/>
                <w:sz w:val="18"/>
                <w:szCs w:val="18"/>
              </w:rPr>
              <w:t>P</w:t>
            </w:r>
            <w:r w:rsidRPr="00D66C52">
              <w:rPr>
                <w:rFonts w:ascii="Times New Roman" w:hAnsi="Times New Roman" w:cs="Times New Roman"/>
                <w:sz w:val="18"/>
                <w:szCs w:val="18"/>
              </w:rPr>
              <w:t xml:space="preserve">ractice; Post = </w:t>
            </w:r>
            <w:r w:rsidR="00105618" w:rsidRPr="00D66C52">
              <w:rPr>
                <w:rFonts w:ascii="Times New Roman" w:hAnsi="Times New Roman" w:cs="Times New Roman"/>
                <w:sz w:val="18"/>
                <w:szCs w:val="18"/>
              </w:rPr>
              <w:t>P</w:t>
            </w:r>
            <w:r w:rsidRPr="00D66C52">
              <w:rPr>
                <w:rFonts w:ascii="Times New Roman" w:hAnsi="Times New Roman" w:cs="Times New Roman"/>
                <w:sz w:val="18"/>
                <w:szCs w:val="18"/>
              </w:rPr>
              <w:t>ost-</w:t>
            </w:r>
            <w:r w:rsidR="00105618" w:rsidRPr="00D66C52">
              <w:rPr>
                <w:rFonts w:ascii="Times New Roman" w:hAnsi="Times New Roman" w:cs="Times New Roman"/>
                <w:sz w:val="18"/>
                <w:szCs w:val="18"/>
              </w:rPr>
              <w:t>P</w:t>
            </w:r>
            <w:r w:rsidRPr="00D66C52">
              <w:rPr>
                <w:rFonts w:ascii="Times New Roman" w:hAnsi="Times New Roman" w:cs="Times New Roman"/>
                <w:sz w:val="18"/>
                <w:szCs w:val="18"/>
              </w:rPr>
              <w:t xml:space="preserve">ractice; </w:t>
            </w:r>
            <w:r w:rsidR="003E184F" w:rsidRPr="00D66C52">
              <w:rPr>
                <w:rFonts w:ascii="Times New Roman" w:hAnsi="Times New Roman" w:cs="Times New Roman"/>
                <w:sz w:val="18"/>
                <w:szCs w:val="18"/>
              </w:rPr>
              <w:t xml:space="preserve">T = Testosterone; C = Cortisol; T:C = Testosterone to Cortisol Ratio; </w:t>
            </w:r>
            <w:proofErr w:type="spellStart"/>
            <w:r w:rsidR="003E184F" w:rsidRPr="00D66C52">
              <w:rPr>
                <w:rFonts w:ascii="Times New Roman" w:hAnsi="Times New Roman" w:cs="Times New Roman"/>
                <w:bCs/>
                <w:sz w:val="18"/>
                <w:szCs w:val="18"/>
                <w:lang w:bidi="en-US"/>
              </w:rPr>
              <w:t>pg</w:t>
            </w:r>
            <w:proofErr w:type="spellEnd"/>
            <w:r w:rsidR="003E184F" w:rsidRPr="00D66C52">
              <w:rPr>
                <w:rFonts w:ascii="Times New Roman" w:hAnsi="Times New Roman" w:cs="Times New Roman"/>
                <w:bCs/>
                <w:sz w:val="18"/>
                <w:szCs w:val="18"/>
                <w:lang w:bidi="en-US"/>
              </w:rPr>
              <w:t>/mL</w:t>
            </w:r>
            <w:r w:rsidR="003E184F" w:rsidRPr="00D66C52">
              <w:rPr>
                <w:rFonts w:ascii="Times New Roman" w:hAnsi="Times New Roman" w:cs="Times New Roman"/>
                <w:sz w:val="18"/>
                <w:szCs w:val="18"/>
              </w:rPr>
              <w:t xml:space="preserve"> = picograms per milliliter;</w:t>
            </w:r>
            <w:r w:rsidR="003E184F" w:rsidRPr="00D66C52">
              <w:rPr>
                <w:rFonts w:ascii="Times New Roman" w:hAnsi="Times New Roman" w:cs="Times New Roman"/>
                <w:bCs/>
                <w:sz w:val="18"/>
                <w:szCs w:val="18"/>
                <w:lang w:bidi="en-US"/>
              </w:rPr>
              <w:t xml:space="preserve"> µg/dL = micrograms per deciliter</w:t>
            </w:r>
            <w:r w:rsidRPr="00D66C52">
              <w:rPr>
                <w:rFonts w:ascii="Times New Roman" w:hAnsi="Times New Roman" w:cs="Times New Roman"/>
                <w:sz w:val="18"/>
                <w:szCs w:val="18"/>
              </w:rPr>
              <w:t xml:space="preserve">; </w:t>
            </w:r>
            <w:r w:rsidR="008D5246" w:rsidRPr="00D66C52">
              <w:rPr>
                <w:rFonts w:ascii="Times New Roman" w:hAnsi="Times New Roman" w:cs="Times New Roman"/>
                <w:sz w:val="18"/>
                <w:szCs w:val="18"/>
                <w:lang w:bidi="en-US"/>
              </w:rPr>
              <w:t>%</w:t>
            </w:r>
            <w:r w:rsidR="008D5246" w:rsidRPr="00D66C52">
              <w:rPr>
                <w:rFonts w:ascii="Times New Roman" w:hAnsi="Times New Roman" w:cs="Times New Roman"/>
                <w:sz w:val="18"/>
                <w:szCs w:val="18"/>
                <w:lang w:bidi="en-US"/>
              </w:rPr>
              <w:sym w:font="Symbol" w:char="F044"/>
            </w:r>
            <w:r w:rsidR="008D5246" w:rsidRPr="00D66C52">
              <w:rPr>
                <w:rFonts w:ascii="Times New Roman" w:hAnsi="Times New Roman" w:cs="Times New Roman"/>
                <w:sz w:val="18"/>
                <w:szCs w:val="18"/>
                <w:lang w:bidi="en-US"/>
              </w:rPr>
              <w:t xml:space="preserve"> = percent change; </w:t>
            </w:r>
            <w:r w:rsidRPr="00D66C52">
              <w:rPr>
                <w:rFonts w:ascii="Times New Roman" w:hAnsi="Times New Roman" w:cs="Times New Roman"/>
                <w:sz w:val="18"/>
                <w:szCs w:val="18"/>
              </w:rPr>
              <w:t>statistical significance set at p ≤ 0.05</w:t>
            </w:r>
            <w:r w:rsidR="00627105" w:rsidRPr="00D66C52">
              <w:rPr>
                <w:rFonts w:ascii="Times New Roman" w:hAnsi="Times New Roman" w:cs="Times New Roman"/>
                <w:sz w:val="18"/>
                <w:szCs w:val="18"/>
              </w:rPr>
              <w:t xml:space="preserve">; </w:t>
            </w:r>
            <w:r w:rsidR="00627105" w:rsidRPr="00D66C52">
              <w:rPr>
                <w:rFonts w:ascii="Times New Roman" w:hAnsi="Times New Roman" w:cs="Times New Roman"/>
                <w:sz w:val="18"/>
                <w:szCs w:val="18"/>
                <w:lang w:bidi="en-US"/>
              </w:rPr>
              <w:t>* = significantly different than Week 4</w:t>
            </w:r>
          </w:p>
        </w:tc>
      </w:tr>
    </w:tbl>
    <w:p w14:paraId="4B7319B3" w14:textId="57C6D8B9" w:rsidR="00A11956" w:rsidRDefault="00A11956">
      <w:pPr>
        <w:rPr>
          <w:rFonts w:ascii="Times New Roman" w:hAnsi="Times New Roman" w:cs="Times New Roman"/>
        </w:rPr>
      </w:pPr>
      <w:r>
        <w:rPr>
          <w:rFonts w:ascii="Times New Roman" w:hAnsi="Times New Roman" w:cs="Times New Roman"/>
        </w:rPr>
        <w:br w:type="page"/>
      </w:r>
    </w:p>
    <w:p w14:paraId="7D307943" w14:textId="74C8AD26" w:rsidR="00A11956" w:rsidRPr="00D43250" w:rsidRDefault="00A11956" w:rsidP="00F829B9">
      <w:pPr>
        <w:pStyle w:val="Heading2"/>
      </w:pPr>
      <w:bookmarkStart w:id="91" w:name="_Toc99267648"/>
      <w:r w:rsidRPr="00D43250">
        <w:lastRenderedPageBreak/>
        <w:t>Discussion</w:t>
      </w:r>
      <w:bookmarkEnd w:id="91"/>
    </w:p>
    <w:p w14:paraId="05FEFCBE" w14:textId="17837F93" w:rsidR="009327C8" w:rsidRDefault="009A79D1" w:rsidP="00F829B9">
      <w:pPr>
        <w:spacing w:line="480" w:lineRule="auto"/>
        <w:jc w:val="both"/>
        <w:rPr>
          <w:rFonts w:ascii="Times New Roman" w:hAnsi="Times New Roman" w:cs="Times New Roman"/>
        </w:rPr>
      </w:pPr>
      <w:r>
        <w:rPr>
          <w:rFonts w:ascii="Times New Roman" w:hAnsi="Times New Roman" w:cs="Times New Roman"/>
        </w:rPr>
        <w:tab/>
      </w:r>
      <w:r w:rsidR="007225CB">
        <w:rPr>
          <w:rFonts w:ascii="Times New Roman" w:hAnsi="Times New Roman" w:cs="Times New Roman"/>
        </w:rPr>
        <w:t xml:space="preserve">The primary purpose of this retrospective study was to </w:t>
      </w:r>
      <w:r w:rsidR="007225CB" w:rsidRPr="007225CB">
        <w:rPr>
          <w:rFonts w:ascii="Times New Roman" w:hAnsi="Times New Roman" w:cs="Times New Roman"/>
        </w:rPr>
        <w:t>evaluate</w:t>
      </w:r>
      <w:r w:rsidR="009327C8">
        <w:rPr>
          <w:rFonts w:ascii="Times New Roman" w:hAnsi="Times New Roman" w:cs="Times New Roman"/>
        </w:rPr>
        <w:t xml:space="preserve"> </w:t>
      </w:r>
      <w:r w:rsidR="002D58AB">
        <w:rPr>
          <w:rFonts w:ascii="Times New Roman" w:hAnsi="Times New Roman" w:cs="Times New Roman"/>
        </w:rPr>
        <w:t xml:space="preserve">elite male NCAA Division </w:t>
      </w:r>
      <w:r w:rsidR="00E74A24">
        <w:rPr>
          <w:rFonts w:ascii="Times New Roman" w:hAnsi="Times New Roman" w:cs="Times New Roman"/>
        </w:rPr>
        <w:t>I</w:t>
      </w:r>
      <w:r w:rsidR="002D58AB">
        <w:rPr>
          <w:rFonts w:ascii="Times New Roman" w:hAnsi="Times New Roman" w:cs="Times New Roman"/>
        </w:rPr>
        <w:t xml:space="preserve"> basketball players’ </w:t>
      </w:r>
      <w:r w:rsidR="00643B35">
        <w:rPr>
          <w:rFonts w:ascii="Times New Roman" w:hAnsi="Times New Roman" w:cs="Times New Roman"/>
        </w:rPr>
        <w:t xml:space="preserve">endocrine responses and neuromuscular performance </w:t>
      </w:r>
      <w:r w:rsidR="002D58AB">
        <w:rPr>
          <w:rFonts w:ascii="Times New Roman" w:hAnsi="Times New Roman" w:cs="Times New Roman"/>
        </w:rPr>
        <w:t>to</w:t>
      </w:r>
      <w:r w:rsidR="00643B35">
        <w:rPr>
          <w:rFonts w:ascii="Times New Roman" w:hAnsi="Times New Roman" w:cs="Times New Roman"/>
        </w:rPr>
        <w:t xml:space="preserve"> sport training sessions as well as over the course of the preseason. </w:t>
      </w:r>
    </w:p>
    <w:p w14:paraId="10EC2A70" w14:textId="33907B6C" w:rsidR="0095537C" w:rsidRDefault="002D58AB" w:rsidP="00733C10">
      <w:pPr>
        <w:spacing w:line="480" w:lineRule="auto"/>
        <w:jc w:val="both"/>
        <w:rPr>
          <w:rFonts w:ascii="Times New Roman" w:hAnsi="Times New Roman" w:cs="Times New Roman"/>
        </w:rPr>
      </w:pPr>
      <w:r>
        <w:rPr>
          <w:rFonts w:ascii="Times New Roman" w:hAnsi="Times New Roman" w:cs="Times New Roman"/>
        </w:rPr>
        <w:tab/>
        <w:t xml:space="preserve">The key findings of this retrospective study were </w:t>
      </w:r>
      <w:r w:rsidR="003D05BE">
        <w:rPr>
          <w:rFonts w:ascii="Times New Roman" w:hAnsi="Times New Roman" w:cs="Times New Roman"/>
        </w:rPr>
        <w:t xml:space="preserve">1) there were no significant differences observed across time for either </w:t>
      </w:r>
      <w:proofErr w:type="spellStart"/>
      <w:r w:rsidR="003D05BE">
        <w:rPr>
          <w:rFonts w:ascii="Times New Roman" w:hAnsi="Times New Roman" w:cs="Times New Roman"/>
        </w:rPr>
        <w:t>eTL</w:t>
      </w:r>
      <w:proofErr w:type="spellEnd"/>
      <w:r w:rsidR="003D05BE">
        <w:rPr>
          <w:rFonts w:ascii="Times New Roman" w:hAnsi="Times New Roman" w:cs="Times New Roman"/>
        </w:rPr>
        <w:t xml:space="preserve"> or </w:t>
      </w:r>
      <w:proofErr w:type="spellStart"/>
      <w:r w:rsidR="003D05BE">
        <w:rPr>
          <w:rFonts w:ascii="Times New Roman" w:hAnsi="Times New Roman" w:cs="Times New Roman"/>
        </w:rPr>
        <w:t>iTL</w:t>
      </w:r>
      <w:proofErr w:type="spellEnd"/>
      <w:r w:rsidR="003D05BE">
        <w:rPr>
          <w:rFonts w:ascii="Times New Roman" w:hAnsi="Times New Roman" w:cs="Times New Roman"/>
        </w:rPr>
        <w:t>; 2</w:t>
      </w:r>
      <w:r>
        <w:rPr>
          <w:rFonts w:ascii="Times New Roman" w:hAnsi="Times New Roman" w:cs="Times New Roman"/>
        </w:rPr>
        <w:t xml:space="preserve">) </w:t>
      </w:r>
      <w:r w:rsidRPr="003D05BE">
        <w:rPr>
          <w:rFonts w:ascii="Times New Roman" w:hAnsi="Times New Roman" w:cs="Times New Roman"/>
        </w:rPr>
        <w:t xml:space="preserve">there were </w:t>
      </w:r>
      <w:r w:rsidR="009C4778" w:rsidRPr="003D05BE">
        <w:rPr>
          <w:rFonts w:ascii="Times New Roman" w:hAnsi="Times New Roman" w:cs="Times New Roman"/>
        </w:rPr>
        <w:t>significant</w:t>
      </w:r>
      <w:r w:rsidR="009C4778">
        <w:rPr>
          <w:rFonts w:ascii="Times New Roman" w:hAnsi="Times New Roman" w:cs="Times New Roman"/>
        </w:rPr>
        <w:t xml:space="preserve"> </w:t>
      </w:r>
      <w:r w:rsidR="003D05BE">
        <w:rPr>
          <w:rFonts w:ascii="Times New Roman" w:hAnsi="Times New Roman" w:cs="Times New Roman"/>
        </w:rPr>
        <w:t xml:space="preserve">decreases in </w:t>
      </w:r>
      <w:proofErr w:type="spellStart"/>
      <w:r w:rsidR="003D05BE">
        <w:rPr>
          <w:rFonts w:ascii="Times New Roman" w:hAnsi="Times New Roman" w:cs="Times New Roman"/>
        </w:rPr>
        <w:t>EccMF</w:t>
      </w:r>
      <w:proofErr w:type="spellEnd"/>
      <w:r w:rsidR="003D05BE">
        <w:rPr>
          <w:rFonts w:ascii="Times New Roman" w:hAnsi="Times New Roman" w:cs="Times New Roman"/>
        </w:rPr>
        <w:t xml:space="preserve"> and Body Mass from the average of Week 1 and Week 4 Pre to the average of Week 1 and Week 4 Post and </w:t>
      </w:r>
      <w:proofErr w:type="spellStart"/>
      <w:r w:rsidR="003D05BE">
        <w:rPr>
          <w:rFonts w:ascii="Times New Roman" w:hAnsi="Times New Roman" w:cs="Times New Roman"/>
        </w:rPr>
        <w:t>ConcPF</w:t>
      </w:r>
      <w:proofErr w:type="spellEnd"/>
      <w:r w:rsidR="003D05BE">
        <w:rPr>
          <w:rFonts w:ascii="Times New Roman" w:hAnsi="Times New Roman" w:cs="Times New Roman"/>
        </w:rPr>
        <w:t xml:space="preserve"> displayed an increase from Pre to Post in Week 1 but not in Week 4</w:t>
      </w:r>
      <w:r w:rsidR="008339BC">
        <w:rPr>
          <w:rFonts w:ascii="Times New Roman" w:hAnsi="Times New Roman" w:cs="Times New Roman"/>
        </w:rPr>
        <w:t xml:space="preserve">; </w:t>
      </w:r>
      <w:r w:rsidR="003D05BE">
        <w:rPr>
          <w:rFonts w:ascii="Times New Roman" w:hAnsi="Times New Roman" w:cs="Times New Roman"/>
        </w:rPr>
        <w:t>3</w:t>
      </w:r>
      <w:r w:rsidR="008339BC">
        <w:rPr>
          <w:rFonts w:ascii="Times New Roman" w:hAnsi="Times New Roman" w:cs="Times New Roman"/>
        </w:rPr>
        <w:t xml:space="preserve">) there were no significant differences in CMJ performance across time when made relative to Body Mass; </w:t>
      </w:r>
      <w:r w:rsidR="003D05BE">
        <w:rPr>
          <w:rFonts w:ascii="Times New Roman" w:hAnsi="Times New Roman" w:cs="Times New Roman"/>
        </w:rPr>
        <w:t>4</w:t>
      </w:r>
      <w:r w:rsidR="008339BC">
        <w:rPr>
          <w:rFonts w:ascii="Times New Roman" w:hAnsi="Times New Roman" w:cs="Times New Roman"/>
        </w:rPr>
        <w:t xml:space="preserve">) there were no differences in T or C or the T:C ratio across any of the baseline values; </w:t>
      </w:r>
      <w:r w:rsidR="003D05BE">
        <w:rPr>
          <w:rFonts w:ascii="Times New Roman" w:hAnsi="Times New Roman" w:cs="Times New Roman"/>
        </w:rPr>
        <w:t>5</w:t>
      </w:r>
      <w:r w:rsidR="008339BC">
        <w:rPr>
          <w:rFonts w:ascii="Times New Roman" w:hAnsi="Times New Roman" w:cs="Times New Roman"/>
        </w:rPr>
        <w:t>) T displayed a</w:t>
      </w:r>
      <w:r w:rsidR="008861D4">
        <w:rPr>
          <w:rFonts w:ascii="Times New Roman" w:hAnsi="Times New Roman" w:cs="Times New Roman"/>
        </w:rPr>
        <w:t xml:space="preserve"> significant</w:t>
      </w:r>
      <w:r w:rsidR="008339BC">
        <w:rPr>
          <w:rFonts w:ascii="Times New Roman" w:hAnsi="Times New Roman" w:cs="Times New Roman"/>
        </w:rPr>
        <w:t xml:space="preserve"> increase from </w:t>
      </w:r>
      <w:r w:rsidR="008861D4">
        <w:rPr>
          <w:rFonts w:ascii="Times New Roman" w:hAnsi="Times New Roman" w:cs="Times New Roman"/>
        </w:rPr>
        <w:t xml:space="preserve">the average of Week 1 and Week 4 </w:t>
      </w:r>
      <w:r w:rsidR="008339BC">
        <w:rPr>
          <w:rFonts w:ascii="Times New Roman" w:hAnsi="Times New Roman" w:cs="Times New Roman"/>
        </w:rPr>
        <w:t xml:space="preserve">Pre to </w:t>
      </w:r>
      <w:r w:rsidR="008861D4">
        <w:rPr>
          <w:rFonts w:ascii="Times New Roman" w:hAnsi="Times New Roman" w:cs="Times New Roman"/>
        </w:rPr>
        <w:t xml:space="preserve">the average of Week 1 and Week 4 </w:t>
      </w:r>
      <w:r w:rsidR="008339BC">
        <w:rPr>
          <w:rFonts w:ascii="Times New Roman" w:hAnsi="Times New Roman" w:cs="Times New Roman"/>
        </w:rPr>
        <w:t>Post</w:t>
      </w:r>
      <w:r w:rsidR="008861D4">
        <w:rPr>
          <w:rFonts w:ascii="Times New Roman" w:hAnsi="Times New Roman" w:cs="Times New Roman"/>
        </w:rPr>
        <w:t xml:space="preserve">; </w:t>
      </w:r>
      <w:r w:rsidR="003D05BE">
        <w:rPr>
          <w:rFonts w:ascii="Times New Roman" w:hAnsi="Times New Roman" w:cs="Times New Roman"/>
        </w:rPr>
        <w:t>6</w:t>
      </w:r>
      <w:r w:rsidR="008861D4">
        <w:rPr>
          <w:rFonts w:ascii="Times New Roman" w:hAnsi="Times New Roman" w:cs="Times New Roman"/>
        </w:rPr>
        <w:t>) C</w:t>
      </w:r>
      <w:r w:rsidR="00D87EFF">
        <w:rPr>
          <w:rFonts w:ascii="Times New Roman" w:hAnsi="Times New Roman" w:cs="Times New Roman"/>
        </w:rPr>
        <w:t xml:space="preserve"> displayed a significant increase from the average of Week 1 and Week 4 Pre to the average of Week 1 and Week 4 Post; </w:t>
      </w:r>
      <w:r w:rsidR="003D05BE">
        <w:rPr>
          <w:rFonts w:ascii="Times New Roman" w:hAnsi="Times New Roman" w:cs="Times New Roman"/>
        </w:rPr>
        <w:t>7</w:t>
      </w:r>
      <w:r w:rsidR="00D87EFF">
        <w:rPr>
          <w:rFonts w:ascii="Times New Roman" w:hAnsi="Times New Roman" w:cs="Times New Roman"/>
        </w:rPr>
        <w:t xml:space="preserve">) C displayed a significant increase from Pre to Post in Week 1 but not in Week 4, while also </w:t>
      </w:r>
      <w:r w:rsidR="004D5576">
        <w:rPr>
          <w:rFonts w:ascii="Times New Roman" w:hAnsi="Times New Roman" w:cs="Times New Roman"/>
        </w:rPr>
        <w:t>exhibiting a greater absolute change in concentration in Week 1 but not in Week 4;</w:t>
      </w:r>
      <w:r w:rsidR="003A4E33">
        <w:rPr>
          <w:rFonts w:ascii="Times New Roman" w:hAnsi="Times New Roman" w:cs="Times New Roman"/>
        </w:rPr>
        <w:t xml:space="preserve"> </w:t>
      </w:r>
      <w:r w:rsidR="003D05BE">
        <w:rPr>
          <w:rFonts w:ascii="Times New Roman" w:hAnsi="Times New Roman" w:cs="Times New Roman"/>
        </w:rPr>
        <w:t>8</w:t>
      </w:r>
      <w:r w:rsidR="004D5576">
        <w:rPr>
          <w:rFonts w:ascii="Times New Roman" w:hAnsi="Times New Roman" w:cs="Times New Roman"/>
        </w:rPr>
        <w:t>)</w:t>
      </w:r>
      <w:r w:rsidR="003A4E33">
        <w:rPr>
          <w:rFonts w:ascii="Times New Roman" w:hAnsi="Times New Roman" w:cs="Times New Roman"/>
        </w:rPr>
        <w:t xml:space="preserve"> the absolute </w:t>
      </w:r>
      <w:r w:rsidR="00181406">
        <w:rPr>
          <w:rFonts w:ascii="Times New Roman" w:hAnsi="Times New Roman" w:cs="Times New Roman"/>
        </w:rPr>
        <w:t xml:space="preserve">and relative </w:t>
      </w:r>
      <w:r w:rsidR="003A4E33">
        <w:rPr>
          <w:rFonts w:ascii="Times New Roman" w:hAnsi="Times New Roman" w:cs="Times New Roman"/>
        </w:rPr>
        <w:t xml:space="preserve">change in the T:C ratio </w:t>
      </w:r>
      <w:r w:rsidR="00181406">
        <w:rPr>
          <w:rFonts w:ascii="Times New Roman" w:hAnsi="Times New Roman" w:cs="Times New Roman"/>
        </w:rPr>
        <w:t xml:space="preserve">was significantly greater in Week 4 compared to Week 1; and </w:t>
      </w:r>
      <w:r w:rsidR="003D05BE">
        <w:rPr>
          <w:rFonts w:ascii="Times New Roman" w:hAnsi="Times New Roman" w:cs="Times New Roman"/>
        </w:rPr>
        <w:t>9</w:t>
      </w:r>
      <w:r w:rsidR="00181406">
        <w:rPr>
          <w:rFonts w:ascii="Times New Roman" w:hAnsi="Times New Roman" w:cs="Times New Roman"/>
        </w:rPr>
        <w:t>)</w:t>
      </w:r>
      <w:r w:rsidR="003A4E33">
        <w:rPr>
          <w:rFonts w:ascii="Times New Roman" w:hAnsi="Times New Roman" w:cs="Times New Roman"/>
        </w:rPr>
        <w:t xml:space="preserve"> there was a significant increase in the T:C ratio from Week 1 Post to Week 4 Post</w:t>
      </w:r>
      <w:r w:rsidR="00B557D8">
        <w:rPr>
          <w:rFonts w:ascii="Times New Roman" w:hAnsi="Times New Roman" w:cs="Times New Roman"/>
        </w:rPr>
        <w:t>.</w:t>
      </w:r>
      <w:r w:rsidR="003A4E33">
        <w:rPr>
          <w:rFonts w:ascii="Times New Roman" w:hAnsi="Times New Roman" w:cs="Times New Roman"/>
        </w:rPr>
        <w:t xml:space="preserve"> </w:t>
      </w:r>
    </w:p>
    <w:p w14:paraId="1EE11842" w14:textId="4F24B8C5" w:rsidR="0095537C" w:rsidRDefault="0095537C" w:rsidP="0095537C">
      <w:pPr>
        <w:pStyle w:val="Heading3"/>
        <w:spacing w:line="480" w:lineRule="auto"/>
        <w:rPr>
          <w:rFonts w:ascii="Times New Roman" w:hAnsi="Times New Roman" w:cs="Times New Roman"/>
          <w:b/>
          <w:bCs/>
          <w:i/>
          <w:iCs/>
          <w:color w:val="000000" w:themeColor="text1"/>
        </w:rPr>
      </w:pPr>
      <w:bookmarkStart w:id="92" w:name="_Toc99267649"/>
      <w:r w:rsidRPr="0095537C">
        <w:rPr>
          <w:rFonts w:ascii="Times New Roman" w:hAnsi="Times New Roman" w:cs="Times New Roman"/>
          <w:b/>
          <w:bCs/>
          <w:i/>
          <w:iCs/>
          <w:color w:val="000000" w:themeColor="text1"/>
        </w:rPr>
        <w:t>External Training Load</w:t>
      </w:r>
      <w:bookmarkEnd w:id="92"/>
    </w:p>
    <w:p w14:paraId="4ED12C3E" w14:textId="0A4AD96B" w:rsidR="0095537C" w:rsidRPr="00E657B7" w:rsidRDefault="0095537C" w:rsidP="00F829B9">
      <w:pPr>
        <w:spacing w:line="480" w:lineRule="auto"/>
        <w:jc w:val="both"/>
        <w:rPr>
          <w:rFonts w:ascii="Times New Roman" w:hAnsi="Times New Roman" w:cs="Times New Roman"/>
        </w:rPr>
      </w:pPr>
      <w:r>
        <w:rPr>
          <w:rFonts w:ascii="Times New Roman" w:hAnsi="Times New Roman" w:cs="Times New Roman"/>
        </w:rPr>
        <w:tab/>
        <w:t xml:space="preserve">Despite the intentions to create similar </w:t>
      </w:r>
      <w:r w:rsidR="00313618">
        <w:rPr>
          <w:rFonts w:ascii="Times New Roman" w:hAnsi="Times New Roman" w:cs="Times New Roman"/>
        </w:rPr>
        <w:t>external training load</w:t>
      </w:r>
      <w:r>
        <w:rPr>
          <w:rFonts w:ascii="Times New Roman" w:hAnsi="Times New Roman" w:cs="Times New Roman"/>
        </w:rPr>
        <w:t xml:space="preserve"> demands within the sport specific training sessions in each testing exposure</w:t>
      </w:r>
      <w:r w:rsidR="00B7683E">
        <w:rPr>
          <w:rFonts w:ascii="Times New Roman" w:hAnsi="Times New Roman" w:cs="Times New Roman"/>
        </w:rPr>
        <w:t>, there was a statistically significant difference in Duration</w:t>
      </w:r>
      <w:r w:rsidR="00066B07">
        <w:rPr>
          <w:rFonts w:ascii="Times New Roman" w:hAnsi="Times New Roman" w:cs="Times New Roman"/>
        </w:rPr>
        <w:t xml:space="preserve">. The difference detected likely does not display sufficient efficacy since the variability within the data </w:t>
      </w:r>
      <w:r w:rsidR="00066B07" w:rsidRPr="00E657B7">
        <w:rPr>
          <w:rFonts w:ascii="Times New Roman" w:hAnsi="Times New Roman" w:cs="Times New Roman"/>
        </w:rPr>
        <w:t xml:space="preserve">is so minimal that the approximate value of 23 minutes </w:t>
      </w:r>
      <w:r w:rsidR="0041107B" w:rsidRPr="00E657B7">
        <w:rPr>
          <w:rFonts w:ascii="Times New Roman" w:hAnsi="Times New Roman" w:cs="Times New Roman"/>
        </w:rPr>
        <w:t xml:space="preserve">reached statistical significance. </w:t>
      </w:r>
      <w:r w:rsidR="008465A6">
        <w:rPr>
          <w:rFonts w:ascii="Times New Roman" w:hAnsi="Times New Roman" w:cs="Times New Roman"/>
        </w:rPr>
        <w:t>Therefore, while establishing statistical significance, the p</w:t>
      </w:r>
      <w:r w:rsidR="008C41F6">
        <w:rPr>
          <w:rFonts w:ascii="Times New Roman" w:hAnsi="Times New Roman" w:cs="Times New Roman"/>
        </w:rPr>
        <w:t xml:space="preserve">ertinence of this difference </w:t>
      </w:r>
      <w:r w:rsidR="008C41F6">
        <w:rPr>
          <w:rFonts w:ascii="Times New Roman" w:hAnsi="Times New Roman" w:cs="Times New Roman"/>
        </w:rPr>
        <w:lastRenderedPageBreak/>
        <w:t>provides little to no influence</w:t>
      </w:r>
      <w:r w:rsidR="009A4D6E">
        <w:rPr>
          <w:rFonts w:ascii="Times New Roman" w:hAnsi="Times New Roman" w:cs="Times New Roman"/>
        </w:rPr>
        <w:t xml:space="preserve"> due to the </w:t>
      </w:r>
      <w:r w:rsidR="00D037CB">
        <w:rPr>
          <w:rFonts w:ascii="Times New Roman" w:hAnsi="Times New Roman" w:cs="Times New Roman"/>
        </w:rPr>
        <w:t xml:space="preserve">difference potentially </w:t>
      </w:r>
      <w:r w:rsidR="00B7498B">
        <w:rPr>
          <w:rFonts w:ascii="Times New Roman" w:hAnsi="Times New Roman" w:cs="Times New Roman"/>
        </w:rPr>
        <w:t xml:space="preserve">being expressed from </w:t>
      </w:r>
      <w:r w:rsidR="009A4D6E">
        <w:rPr>
          <w:rFonts w:ascii="Times New Roman" w:hAnsi="Times New Roman" w:cs="Times New Roman"/>
        </w:rPr>
        <w:t xml:space="preserve">players participating in additional </w:t>
      </w:r>
      <w:r w:rsidR="00D037CB">
        <w:rPr>
          <w:rFonts w:ascii="Times New Roman" w:hAnsi="Times New Roman" w:cs="Times New Roman"/>
        </w:rPr>
        <w:t xml:space="preserve">individual </w:t>
      </w:r>
      <w:r w:rsidR="009A4D6E">
        <w:rPr>
          <w:rFonts w:ascii="Times New Roman" w:hAnsi="Times New Roman" w:cs="Times New Roman"/>
        </w:rPr>
        <w:t xml:space="preserve">training </w:t>
      </w:r>
      <w:r w:rsidR="00B7498B">
        <w:rPr>
          <w:rFonts w:ascii="Times New Roman" w:hAnsi="Times New Roman" w:cs="Times New Roman"/>
        </w:rPr>
        <w:t>before and after</w:t>
      </w:r>
      <w:r w:rsidR="009A4D6E">
        <w:rPr>
          <w:rFonts w:ascii="Times New Roman" w:hAnsi="Times New Roman" w:cs="Times New Roman"/>
        </w:rPr>
        <w:t xml:space="preserve"> the times of practice. </w:t>
      </w:r>
    </w:p>
    <w:p w14:paraId="3DE7CD2A" w14:textId="475960EA" w:rsidR="00522EC2" w:rsidRPr="00E657B7" w:rsidRDefault="00313618" w:rsidP="00F829B9">
      <w:pPr>
        <w:spacing w:line="480" w:lineRule="auto"/>
        <w:jc w:val="both"/>
        <w:rPr>
          <w:rFonts w:ascii="Times New Roman" w:hAnsi="Times New Roman" w:cs="Times New Roman"/>
        </w:rPr>
      </w:pPr>
      <w:r>
        <w:rPr>
          <w:rFonts w:ascii="Times New Roman" w:hAnsi="Times New Roman" w:cs="Times New Roman"/>
        </w:rPr>
        <w:tab/>
      </w:r>
      <w:r w:rsidR="00176F92">
        <w:rPr>
          <w:rFonts w:ascii="Times New Roman" w:hAnsi="Times New Roman" w:cs="Times New Roman"/>
        </w:rPr>
        <w:t xml:space="preserve">The practice </w:t>
      </w:r>
      <w:proofErr w:type="spellStart"/>
      <w:r w:rsidR="00176F92">
        <w:rPr>
          <w:rFonts w:ascii="Times New Roman" w:hAnsi="Times New Roman" w:cs="Times New Roman"/>
        </w:rPr>
        <w:t>eTL</w:t>
      </w:r>
      <w:proofErr w:type="spellEnd"/>
      <w:r w:rsidR="00176F92">
        <w:rPr>
          <w:rFonts w:ascii="Times New Roman" w:hAnsi="Times New Roman" w:cs="Times New Roman"/>
        </w:rPr>
        <w:t xml:space="preserve"> demands are characterized by the types of drills instructed through the sport coaches based on their evaluation of which sport specific skills need attention for improvement. </w:t>
      </w:r>
      <w:r>
        <w:rPr>
          <w:rFonts w:ascii="Times New Roman" w:hAnsi="Times New Roman" w:cs="Times New Roman"/>
        </w:rPr>
        <w:t>Fortunately</w:t>
      </w:r>
      <w:r w:rsidR="008E26BC">
        <w:rPr>
          <w:rFonts w:ascii="Times New Roman" w:hAnsi="Times New Roman" w:cs="Times New Roman"/>
        </w:rPr>
        <w:t xml:space="preserve"> for the purpose of this study</w:t>
      </w:r>
      <w:r>
        <w:rPr>
          <w:rFonts w:ascii="Times New Roman" w:hAnsi="Times New Roman" w:cs="Times New Roman"/>
        </w:rPr>
        <w:t xml:space="preserve">, the remaining variables measuring </w:t>
      </w:r>
      <w:proofErr w:type="spellStart"/>
      <w:r>
        <w:rPr>
          <w:rFonts w:ascii="Times New Roman" w:hAnsi="Times New Roman" w:cs="Times New Roman"/>
        </w:rPr>
        <w:t>eTL</w:t>
      </w:r>
      <w:proofErr w:type="spellEnd"/>
      <w:r>
        <w:rPr>
          <w:rFonts w:ascii="Times New Roman" w:hAnsi="Times New Roman" w:cs="Times New Roman"/>
        </w:rPr>
        <w:t xml:space="preserve"> did not display any statistically significant differences</w:t>
      </w:r>
      <w:r w:rsidR="002D6D78">
        <w:rPr>
          <w:rFonts w:ascii="Times New Roman" w:hAnsi="Times New Roman" w:cs="Times New Roman"/>
        </w:rPr>
        <w:t xml:space="preserve">. </w:t>
      </w:r>
      <w:r w:rsidR="00BB6C13">
        <w:rPr>
          <w:rFonts w:ascii="Times New Roman" w:hAnsi="Times New Roman" w:cs="Times New Roman"/>
        </w:rPr>
        <w:t xml:space="preserve">Although no differences existed between weeks, further investigation across years of the preseason phase may help to describe undulations in </w:t>
      </w:r>
      <w:proofErr w:type="spellStart"/>
      <w:r w:rsidR="00BB6C13">
        <w:rPr>
          <w:rFonts w:ascii="Times New Roman" w:hAnsi="Times New Roman" w:cs="Times New Roman"/>
        </w:rPr>
        <w:t>eTL</w:t>
      </w:r>
      <w:proofErr w:type="spellEnd"/>
      <w:r w:rsidR="00BB6C13">
        <w:rPr>
          <w:rFonts w:ascii="Times New Roman" w:hAnsi="Times New Roman" w:cs="Times New Roman"/>
        </w:rPr>
        <w:t xml:space="preserve"> experienced from each year. </w:t>
      </w:r>
      <w:r w:rsidR="0069091F">
        <w:rPr>
          <w:rFonts w:ascii="Times New Roman" w:hAnsi="Times New Roman" w:cs="Times New Roman"/>
        </w:rPr>
        <w:t>The present study in comparison with previous literature utilizing similar monitoring systems</w:t>
      </w:r>
      <w:r w:rsidR="001D16DA">
        <w:rPr>
          <w:rFonts w:ascii="Times New Roman" w:hAnsi="Times New Roman" w:cs="Times New Roman"/>
        </w:rPr>
        <w:t xml:space="preserve"> corresponds with</w:t>
      </w:r>
      <w:r w:rsidR="0069091F">
        <w:rPr>
          <w:rFonts w:ascii="Times New Roman" w:hAnsi="Times New Roman" w:cs="Times New Roman"/>
        </w:rPr>
        <w:t xml:space="preserve"> the reported </w:t>
      </w:r>
      <w:proofErr w:type="spellStart"/>
      <w:r w:rsidR="0069091F">
        <w:rPr>
          <w:rFonts w:ascii="Times New Roman" w:hAnsi="Times New Roman" w:cs="Times New Roman"/>
        </w:rPr>
        <w:t>eTL</w:t>
      </w:r>
      <w:proofErr w:type="spellEnd"/>
      <w:r w:rsidR="0069091F">
        <w:rPr>
          <w:rFonts w:ascii="Times New Roman" w:hAnsi="Times New Roman" w:cs="Times New Roman"/>
        </w:rPr>
        <w:t xml:space="preserve"> </w:t>
      </w:r>
      <w:r w:rsidR="001D16DA">
        <w:rPr>
          <w:rFonts w:ascii="Times New Roman" w:hAnsi="Times New Roman" w:cs="Times New Roman"/>
        </w:rPr>
        <w:t xml:space="preserve">in collegiate basketball players during the preseason training phase </w:t>
      </w:r>
      <w:r w:rsidR="00833791">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{"citationID":"y3ct96WB","properties":{"formattedCitation":"(A. Heishman et al., 2018)","plainCitation":"(A. Heishman et al., 2018)","noteIndex":0},"citationItems":[{"id":267,"uris":["http://zotero.org/users/6327055/items/V555YN52"],"itemData":{"id":267,"type":"article-journal","container-title":"Journal of Strength and Conditioning Research","DOI":"10.1519/JSC.0000000000002413","ISSN":"1064-8011","issue":"5","language":"en","page":"1280-1287","source":"DOI.org (Crossref)","title":"Noninvasive assessment of internal and external player load: Implications for optimizing athletic performance","title-short":"Noninvasive Assessment of Internal and External Player Load","volume":"32","author":[{"family":"Heishman","given":"Aaron"},{"family":"Curtis","given":"Michael"},{"family":"Saliba","given":"Ethan"},{"family":"Hornett","given":"Robert"},{"family":"Malin","given":"Steven"},{"family":"Weltman","given":"Arthur"}],"issued":{"date-parts":[["2018",5]]}}}],"schema":"https://github.com/citation-style-language/schema/raw/master/csl-citation.json"} </w:instrText>
      </w:r>
      <w:r w:rsidR="00833791">
        <w:rPr>
          <w:rFonts w:ascii="Times New Roman" w:hAnsi="Times New Roman" w:cs="Times New Roman"/>
        </w:rPr>
        <w:fldChar w:fldCharType="separate"/>
      </w:r>
      <w:r w:rsidR="00546507">
        <w:rPr>
          <w:rFonts w:ascii="Times New Roman" w:hAnsi="Times New Roman" w:cs="Times New Roman"/>
          <w:noProof/>
        </w:rPr>
        <w:t>(A. Heishman et al., 2018)</w:t>
      </w:r>
      <w:r w:rsidR="00833791">
        <w:rPr>
          <w:rFonts w:ascii="Times New Roman" w:hAnsi="Times New Roman" w:cs="Times New Roman"/>
        </w:rPr>
        <w:fldChar w:fldCharType="end"/>
      </w:r>
      <w:r w:rsidR="001D16DA">
        <w:rPr>
          <w:rFonts w:ascii="Times New Roman" w:hAnsi="Times New Roman" w:cs="Times New Roman"/>
        </w:rPr>
        <w:t xml:space="preserve">. </w:t>
      </w:r>
      <w:r w:rsidR="00FE1983">
        <w:rPr>
          <w:rFonts w:ascii="Times New Roman" w:hAnsi="Times New Roman" w:cs="Times New Roman"/>
        </w:rPr>
        <w:t xml:space="preserve">However, other data has shown greater </w:t>
      </w:r>
      <w:proofErr w:type="spellStart"/>
      <w:r w:rsidR="00FE1983">
        <w:rPr>
          <w:rFonts w:ascii="Times New Roman" w:hAnsi="Times New Roman" w:cs="Times New Roman"/>
        </w:rPr>
        <w:t>eTL</w:t>
      </w:r>
      <w:proofErr w:type="spellEnd"/>
      <w:r w:rsidR="00FE1983">
        <w:rPr>
          <w:rFonts w:ascii="Times New Roman" w:hAnsi="Times New Roman" w:cs="Times New Roman"/>
        </w:rPr>
        <w:t xml:space="preserve"> demands in the preseason than the present study </w:t>
      </w:r>
      <w:r w:rsidR="00FE1983">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{"citationID":"P4lo3Qa0","properties":{"formattedCitation":"(A. Heishman, Miller, et al., 2020)","plainCitation":"(A. Heishman, Miller, et al., 2020)","noteIndex":0},"citationItems":[{"id":523,"uris":["http://zotero.org/users/6327055/items/5S9IURDG"],"itemData":{"id":523,"type":"article-journal","abstract":"Limited research has paralleled concomitant changes in external training load (eTL) and countermovement jump (CMJ) performance. Therefore, this investigation characterized eTL and CMJ performance changes across preseason training in Division 1 male collegiate basketball athletes, while examining the influence of position (Guard vs. Forward/Center) and scholarship status (Scholarship = S vs. Walk-on = WO). During 22 practices, eTL was monitored in 14 male athletes, with weekly CMJs performed to quantify neuromuscular performance (Jump Height [JH], Flight Time:Contraction Time [FT:CT], Reactive Strength Index Modified [RSIMod ]). PlayerLoad per minute was significantly higher during W1 and W2 (5.4 ± 1.3au and 5.3 ± 1.2au, respectively; p &lt; 0.05) compared to subsequent weeks, but no additional differences in eTL parameters across time were observed. Scholarship athletes displayed greater PlayerLoad (S = 777.1 ± 35.6, WO = 530.1 ± 56.20; Inertial Movement Analysis (IMA) IMA_High (S = 70.9 ± 15.2, WO = 41.3 ± 15.2); IMA_Medium (S = 159.9 ± 30.7, WO = 92.7 ± 30.6); and IMA_Low (S = 700.6 ± 105.1, WO = 405 ± 105.0;) (p &lt; 0.05), with no observed differences in eTL by position. Moderate decreases in FT:CT and RSIMod paralleled increased eTL. Significant increases in practice intensity (W1 and W2) did not impact CMJ performance, suggesting athletes could cope with the prescribed training loads. However, moderate perturbations in FT:CT and RSIMod paralleled the weeks with intensified training. Cumulatively, scholarship status appears to influence eTL while player position does not.","container-title":"Medicine &amp; Science in Sports &amp; Exercise","DOI":"10.1249/01.mss.0000560595.64671.b6","ISSN":"1530-0315, 0195-9131","issue":"6S","language":"en","page":"35-35","source":"DOI.org (Crossref)","title":"Monitoring external training loads and neuromuscular performance for division 1 basketball players over the pre-season","title-short":"Monitoring External Training Loads and Neuromuscular Performance For Division I Basketball Players Over the Pre-Season","volume":"51","author":[{"family":"Heishman","given":"Aaron"},{"family":"Miller","given":"Ryan"},{"family":"Freitas","given":"Eduardo"},{"family":"Brown","given":"Brady"},{"family":"Daub","given":"Bryce"},{"family":"Bemben","given":"Michael"}],"issued":{"date-parts":[["2020",2]]}}}],"schema":"https://github.com/citation-style-language/schema/raw/master/csl-citation.json"} </w:instrText>
      </w:r>
      <w:r w:rsidR="00FE1983">
        <w:rPr>
          <w:rFonts w:ascii="Times New Roman" w:hAnsi="Times New Roman" w:cs="Times New Roman"/>
        </w:rPr>
        <w:fldChar w:fldCharType="separate"/>
      </w:r>
      <w:r w:rsidR="00FE1983">
        <w:rPr>
          <w:rFonts w:ascii="Times New Roman" w:hAnsi="Times New Roman" w:cs="Times New Roman"/>
          <w:noProof/>
        </w:rPr>
        <w:t>(A. Heishman, Miller, et al., 2020)</w:t>
      </w:r>
      <w:r w:rsidR="00FE1983">
        <w:rPr>
          <w:rFonts w:ascii="Times New Roman" w:hAnsi="Times New Roman" w:cs="Times New Roman"/>
        </w:rPr>
        <w:fldChar w:fldCharType="end"/>
      </w:r>
      <w:r w:rsidR="00FE1983">
        <w:rPr>
          <w:rFonts w:ascii="Times New Roman" w:hAnsi="Times New Roman" w:cs="Times New Roman"/>
        </w:rPr>
        <w:t xml:space="preserve">. </w:t>
      </w:r>
      <w:r w:rsidR="0001566C">
        <w:rPr>
          <w:rFonts w:ascii="Times New Roman" w:hAnsi="Times New Roman" w:cs="Times New Roman"/>
        </w:rPr>
        <w:t>Despite the inability to control for drills employed, this allowed for enhanced ecological validity and enhanced insight into the physiological status of the players through neuromuscular and endocrinological assessments and the their responses to a very similar physical training demand of the team.</w:t>
      </w:r>
    </w:p>
    <w:p w14:paraId="7AB92148" w14:textId="47FB65E5" w:rsidR="00522EC2" w:rsidRPr="00E657B7" w:rsidRDefault="00522EC2" w:rsidP="00522EC2">
      <w:pPr>
        <w:pStyle w:val="Heading3"/>
        <w:spacing w:line="480" w:lineRule="auto"/>
        <w:rPr>
          <w:rFonts w:ascii="Times New Roman" w:hAnsi="Times New Roman" w:cs="Times New Roman"/>
          <w:b/>
          <w:bCs/>
          <w:i/>
          <w:iCs/>
          <w:color w:val="000000" w:themeColor="text1"/>
        </w:rPr>
      </w:pPr>
      <w:bookmarkStart w:id="93" w:name="_Toc99267650"/>
      <w:r w:rsidRPr="00E657B7">
        <w:rPr>
          <w:rFonts w:ascii="Times New Roman" w:hAnsi="Times New Roman" w:cs="Times New Roman"/>
          <w:b/>
          <w:bCs/>
          <w:i/>
          <w:iCs/>
          <w:color w:val="000000" w:themeColor="text1"/>
        </w:rPr>
        <w:t>Internal Training Load</w:t>
      </w:r>
      <w:bookmarkEnd w:id="93"/>
    </w:p>
    <w:p w14:paraId="17F52CBA" w14:textId="5DA44FF7" w:rsidR="00522EC2" w:rsidRPr="00E657B7" w:rsidRDefault="00522EC2" w:rsidP="00F829B9">
      <w:pPr>
        <w:spacing w:line="480" w:lineRule="auto"/>
        <w:jc w:val="both"/>
        <w:rPr>
          <w:rFonts w:ascii="Times New Roman" w:hAnsi="Times New Roman" w:cs="Times New Roman"/>
        </w:rPr>
      </w:pPr>
      <w:r w:rsidRPr="00E657B7">
        <w:rPr>
          <w:rFonts w:ascii="Times New Roman" w:hAnsi="Times New Roman" w:cs="Times New Roman"/>
        </w:rPr>
        <w:tab/>
      </w:r>
      <w:r w:rsidR="00974E60">
        <w:rPr>
          <w:rFonts w:ascii="Times New Roman" w:hAnsi="Times New Roman" w:cs="Times New Roman"/>
        </w:rPr>
        <w:t xml:space="preserve">In conjunction with no differences seen in any of the </w:t>
      </w:r>
      <w:proofErr w:type="spellStart"/>
      <w:r w:rsidR="00974E60">
        <w:rPr>
          <w:rFonts w:ascii="Times New Roman" w:hAnsi="Times New Roman" w:cs="Times New Roman"/>
        </w:rPr>
        <w:t>eTL</w:t>
      </w:r>
      <w:proofErr w:type="spellEnd"/>
      <w:r w:rsidR="00974E60">
        <w:rPr>
          <w:rFonts w:ascii="Times New Roman" w:hAnsi="Times New Roman" w:cs="Times New Roman"/>
        </w:rPr>
        <w:t xml:space="preserve"> besides the Duration of the training session, t</w:t>
      </w:r>
      <w:r w:rsidR="00E657B7">
        <w:rPr>
          <w:rFonts w:ascii="Times New Roman" w:hAnsi="Times New Roman" w:cs="Times New Roman"/>
        </w:rPr>
        <w:t xml:space="preserve">here were no differences across Weeks in </w:t>
      </w:r>
      <w:r w:rsidR="000F1094">
        <w:rPr>
          <w:rFonts w:ascii="Times New Roman" w:hAnsi="Times New Roman" w:cs="Times New Roman"/>
        </w:rPr>
        <w:t>either subjective</w:t>
      </w:r>
      <w:r w:rsidR="003B5A5B">
        <w:rPr>
          <w:rFonts w:ascii="Times New Roman" w:hAnsi="Times New Roman" w:cs="Times New Roman"/>
        </w:rPr>
        <w:t xml:space="preserve"> (RPE and </w:t>
      </w:r>
      <w:proofErr w:type="spellStart"/>
      <w:r w:rsidR="003B5A5B">
        <w:rPr>
          <w:rFonts w:ascii="Times New Roman" w:hAnsi="Times New Roman" w:cs="Times New Roman"/>
        </w:rPr>
        <w:t>sRPE</w:t>
      </w:r>
      <w:proofErr w:type="spellEnd"/>
      <w:r w:rsidR="003B5A5B">
        <w:rPr>
          <w:rFonts w:ascii="Times New Roman" w:hAnsi="Times New Roman" w:cs="Times New Roman"/>
        </w:rPr>
        <w:t>)</w:t>
      </w:r>
      <w:r w:rsidR="000F1094">
        <w:rPr>
          <w:rFonts w:ascii="Times New Roman" w:hAnsi="Times New Roman" w:cs="Times New Roman"/>
        </w:rPr>
        <w:t xml:space="preserve"> or objective</w:t>
      </w:r>
      <w:r w:rsidR="003B5A5B">
        <w:rPr>
          <w:rFonts w:ascii="Times New Roman" w:hAnsi="Times New Roman" w:cs="Times New Roman"/>
        </w:rPr>
        <w:t xml:space="preserve"> (HR response)</w:t>
      </w:r>
      <w:r w:rsidR="000F1094">
        <w:rPr>
          <w:rFonts w:ascii="Times New Roman" w:hAnsi="Times New Roman" w:cs="Times New Roman"/>
        </w:rPr>
        <w:t xml:space="preserve"> methods of measuring </w:t>
      </w:r>
      <w:r w:rsidR="00E657B7">
        <w:rPr>
          <w:rFonts w:ascii="Times New Roman" w:hAnsi="Times New Roman" w:cs="Times New Roman"/>
        </w:rPr>
        <w:t>Internal Training Load (</w:t>
      </w:r>
      <w:proofErr w:type="spellStart"/>
      <w:r w:rsidR="00E657B7">
        <w:rPr>
          <w:rFonts w:ascii="Times New Roman" w:hAnsi="Times New Roman" w:cs="Times New Roman"/>
        </w:rPr>
        <w:t>iTL</w:t>
      </w:r>
      <w:proofErr w:type="spellEnd"/>
      <w:r w:rsidR="00E657B7">
        <w:rPr>
          <w:rFonts w:ascii="Times New Roman" w:hAnsi="Times New Roman" w:cs="Times New Roman"/>
        </w:rPr>
        <w:t>).</w:t>
      </w:r>
      <w:r w:rsidR="00974E60">
        <w:rPr>
          <w:rFonts w:ascii="Times New Roman" w:hAnsi="Times New Roman" w:cs="Times New Roman"/>
        </w:rPr>
        <w:t xml:space="preserve"> Conveniently, previous research </w:t>
      </w:r>
      <w:r w:rsidR="00861B69">
        <w:rPr>
          <w:rFonts w:ascii="Times New Roman" w:hAnsi="Times New Roman" w:cs="Times New Roman"/>
        </w:rPr>
        <w:t xml:space="preserve">has shown to describe an association between </w:t>
      </w:r>
      <w:proofErr w:type="spellStart"/>
      <w:r w:rsidR="00861B69">
        <w:rPr>
          <w:rFonts w:ascii="Times New Roman" w:hAnsi="Times New Roman" w:cs="Times New Roman"/>
        </w:rPr>
        <w:t>eTL</w:t>
      </w:r>
      <w:proofErr w:type="spellEnd"/>
      <w:r w:rsidR="00861B69">
        <w:rPr>
          <w:rFonts w:ascii="Times New Roman" w:hAnsi="Times New Roman" w:cs="Times New Roman"/>
        </w:rPr>
        <w:t xml:space="preserve"> and the </w:t>
      </w:r>
      <w:proofErr w:type="spellStart"/>
      <w:r w:rsidR="00861B69">
        <w:rPr>
          <w:rFonts w:ascii="Times New Roman" w:hAnsi="Times New Roman" w:cs="Times New Roman"/>
        </w:rPr>
        <w:t>iTL</w:t>
      </w:r>
      <w:proofErr w:type="spellEnd"/>
      <w:r w:rsidR="00861B69">
        <w:rPr>
          <w:rFonts w:ascii="Times New Roman" w:hAnsi="Times New Roman" w:cs="Times New Roman"/>
        </w:rPr>
        <w:t xml:space="preserve"> response within basketball </w:t>
      </w:r>
      <w:r w:rsidR="00861B69">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{"citationID":"UsqPt1hv","properties":{"formattedCitation":"(A. Heishman et al., 2018; Scanlan et al., 2014; Svilar et al., 2018)","plainCitation":"(A. Heishman et al., 2018; Scanlan et al., 2014; Svilar et al., 2018)","noteIndex":0},"citationItems":[{"id":267,"uris":["http://zotero.org/users/6327055/items/V555YN52"],"itemData":{"id":267,"type":"article-journal","container-title":"Journal of Strength and Conditioning Research","DOI":"10.1519/JSC.0000000000002413","ISSN":"1064-8011","issue":"5","language":"en","page":"1280-1287","source":"DOI.org (Crossref)","title":"Noninvasive assessment of internal and external player load: Implications for optimizing athletic performance","title-short":"Noninvasive Assessment of Internal and External Player Load","volume":"32","author":[{"family":"Heishman","given":"Aaron"},{"family":"Curtis","given":"Michael"},{"family":"Saliba","given":"Ethan"},{"family":"Hornett","given":"Robert"},{"family":"Malin","given":"Steven"},{"family":"Weltman","given":"Arthur"}],"issued":{"date-parts":[["2018",5]]}}},{"id":459,"uris":["http://zotero.org/users/6327055/items/Y3YYP3H9"],"itemData":{"id":459,"type":"article-journal","container-title":"Journal of Strength and Conditioning Research","DOI":"10.1519/JSC.0000000000000458","ISSN":"1064-8011","issue":"9","language":"en","page":"2397-2405","source":"DOI.org (Crossref)","title":"The relationships between internal and external training load models during basketball training","volume":"28","author":[{"family":"Scanlan","given":"Aaron T."},{"family":"Wen","given":"Neal"},{"family":"Tucker","given":"Patrick S."},{"family":"Dalbo","given":"Vincent J."}],"issued":{"date-parts":[["2014",9]]}}},{"id":548,"uris":["http://zotero.org/users/6327055/items/AYGWBCNW"],"itemData":{"id":548,"type":"article-journal","abstract":"The study aimed to describe and compare the external training load, monitored using microtechnology, with the internal training load, expressed as the session rating of perceived exertion (sRPE), in elite male basketball training sessions. Thirteen professional basketball players participated in this study (age=25.7±3.3 years; body height=199.2±10.7 cm; body mass=96.6±9.4 kg). All players belonged to the same team, competing in two leagues, ACB and the Euroleague, in the 2016/2017 season. The variables assessed within the external motion analysis included: player load (PL), acceleration and deceleration (ACC/DEC), jumps (JUMP), and changes of direction (CoD). The internal demands were registered using the sRPE method. Pearson productmoment correlations were used to determine relationships between the variables. A significant correlation was observed between the external load variables and sRPE (range r=0.71–0.93). Additionally, the sRPE variable showed a high correlation with the total PL, ACC, DEC, and CoD. The contrary was observed with respect to the relationship between sRPE and JUMP variables: the correlation was higher for the high band and lower for the total number of jumps. With respect to the external load variables, a stronger correlation was found between PL and the total number of ACC, DEC and CoD than the same variables within the high band. The only contrary finding was the correlation between PL and JUMP variables, which showed a stronger correlation for hJUMP. Tri-axial accelerometry technology and the sRPE method serve as valuable tools for monitoring the training load in basketball. Even though the two methods exhibit a strong correlation, some variation exists, likely due to frequent static movements (i.e., isometric muscle contractions) that accelerometers are not able to detect. Finally, it is suggested that both methods are to be used complementary, when possible, in order to design and control the training process as effectively as possible.","container-title":"Kinesiology","DOI":"10.26582/k.50.1.4","ISSN":"1848638X, 13311441","issue":"1","language":"en","page":"25-33","source":"DOI.org (Crossref)","title":"Load monitoring system in top-level basketball team: relationship between external and internal training load","title-short":"Load monitoring system in top-level basketball team","volume":"50","author":[{"family":"Svilar","given":"Luka"},{"family":"Castellano","given":"Julen"},{"family":"Jukić","given":"Igor"}],"issued":{"date-parts":[["2018"]]}}}],"schema":"https://github.com/citation-style-language/schema/raw/master/csl-citation.json"} </w:instrText>
      </w:r>
      <w:r w:rsidR="00861B69">
        <w:rPr>
          <w:rFonts w:ascii="Times New Roman" w:hAnsi="Times New Roman" w:cs="Times New Roman"/>
        </w:rPr>
        <w:fldChar w:fldCharType="separate"/>
      </w:r>
      <w:r w:rsidR="00546507">
        <w:rPr>
          <w:rFonts w:ascii="Times New Roman" w:hAnsi="Times New Roman" w:cs="Times New Roman"/>
        </w:rPr>
        <w:t>(A. Heishman et al., 2018; Scanlan et al., 2014; Svilar et al., 2018)</w:t>
      </w:r>
      <w:r w:rsidR="00861B69">
        <w:rPr>
          <w:rFonts w:ascii="Times New Roman" w:hAnsi="Times New Roman" w:cs="Times New Roman"/>
        </w:rPr>
        <w:fldChar w:fldCharType="end"/>
      </w:r>
      <w:r w:rsidR="00861B69">
        <w:rPr>
          <w:rFonts w:ascii="Times New Roman" w:hAnsi="Times New Roman" w:cs="Times New Roman"/>
        </w:rPr>
        <w:t>. The lack of differences in either variable provides verification that both training sessions captured in Week 1 and Week 4 were of similar physiological demands</w:t>
      </w:r>
      <w:r w:rsidR="004C7636">
        <w:rPr>
          <w:rFonts w:ascii="Times New Roman" w:hAnsi="Times New Roman" w:cs="Times New Roman"/>
        </w:rPr>
        <w:t xml:space="preserve"> and perceived physical demands</w:t>
      </w:r>
      <w:r w:rsidR="00C83434">
        <w:rPr>
          <w:rFonts w:ascii="Times New Roman" w:hAnsi="Times New Roman" w:cs="Times New Roman"/>
        </w:rPr>
        <w:t xml:space="preserve">. Thus, insight </w:t>
      </w:r>
      <w:r w:rsidR="00C83434">
        <w:rPr>
          <w:rFonts w:ascii="Times New Roman" w:hAnsi="Times New Roman" w:cs="Times New Roman"/>
        </w:rPr>
        <w:lastRenderedPageBreak/>
        <w:t>into the physiological status of the players on the recovery-adaptation continuum</w:t>
      </w:r>
      <w:r w:rsidR="007D50DB">
        <w:rPr>
          <w:rFonts w:ascii="Times New Roman" w:hAnsi="Times New Roman" w:cs="Times New Roman"/>
        </w:rPr>
        <w:t xml:space="preserve"> is enhanced by achieving similar training loads and evaluating the responses to each. </w:t>
      </w:r>
    </w:p>
    <w:p w14:paraId="20B30DFF" w14:textId="543B2531" w:rsidR="00522EC2" w:rsidRPr="00E657B7" w:rsidRDefault="00522EC2" w:rsidP="00522EC2">
      <w:pPr>
        <w:pStyle w:val="Heading3"/>
        <w:spacing w:line="480" w:lineRule="auto"/>
        <w:rPr>
          <w:rFonts w:ascii="Times New Roman" w:hAnsi="Times New Roman" w:cs="Times New Roman"/>
          <w:b/>
          <w:bCs/>
          <w:i/>
          <w:iCs/>
          <w:color w:val="000000" w:themeColor="text1"/>
        </w:rPr>
      </w:pPr>
      <w:bookmarkStart w:id="94" w:name="_Toc99267651"/>
      <w:r w:rsidRPr="00E657B7">
        <w:rPr>
          <w:rFonts w:ascii="Times New Roman" w:hAnsi="Times New Roman" w:cs="Times New Roman"/>
          <w:b/>
          <w:bCs/>
          <w:i/>
          <w:iCs/>
          <w:color w:val="000000" w:themeColor="text1"/>
        </w:rPr>
        <w:t>Countermovement Jump</w:t>
      </w:r>
      <w:bookmarkEnd w:id="94"/>
    </w:p>
    <w:p w14:paraId="6689FC40" w14:textId="2D57AE83" w:rsidR="004E0A04" w:rsidRDefault="00522EC2" w:rsidP="00522EC2">
      <w:pPr>
        <w:spacing w:line="480" w:lineRule="auto"/>
        <w:rPr>
          <w:rFonts w:ascii="Times New Roman" w:hAnsi="Times New Roman" w:cs="Times New Roman"/>
        </w:rPr>
      </w:pPr>
      <w:r w:rsidRPr="00E657B7">
        <w:rPr>
          <w:rFonts w:ascii="Times New Roman" w:hAnsi="Times New Roman" w:cs="Times New Roman"/>
        </w:rPr>
        <w:tab/>
      </w:r>
      <w:r w:rsidR="00774AFA">
        <w:rPr>
          <w:rFonts w:ascii="Times New Roman" w:hAnsi="Times New Roman" w:cs="Times New Roman"/>
        </w:rPr>
        <w:t>The present study observed a</w:t>
      </w:r>
      <w:r w:rsidR="004E0A04" w:rsidRPr="003D05BE">
        <w:rPr>
          <w:rFonts w:ascii="Times New Roman" w:hAnsi="Times New Roman" w:cs="Times New Roman"/>
        </w:rPr>
        <w:t xml:space="preserve"> significant</w:t>
      </w:r>
      <w:r w:rsidR="004E0A04">
        <w:rPr>
          <w:rFonts w:ascii="Times New Roman" w:hAnsi="Times New Roman" w:cs="Times New Roman"/>
        </w:rPr>
        <w:t xml:space="preserve"> decrease in </w:t>
      </w:r>
      <w:proofErr w:type="spellStart"/>
      <w:r w:rsidR="004E0A04">
        <w:rPr>
          <w:rFonts w:ascii="Times New Roman" w:hAnsi="Times New Roman" w:cs="Times New Roman"/>
        </w:rPr>
        <w:t>EccMF</w:t>
      </w:r>
      <w:proofErr w:type="spellEnd"/>
      <w:r w:rsidR="004E0A04">
        <w:rPr>
          <w:rFonts w:ascii="Times New Roman" w:hAnsi="Times New Roman" w:cs="Times New Roman"/>
        </w:rPr>
        <w:t xml:space="preserve"> and Body Mass from the average of Week 1 and Week 4 Pre to the average of Week 1 and Week 4 Post</w:t>
      </w:r>
      <w:r w:rsidR="00774AFA">
        <w:rPr>
          <w:rFonts w:ascii="Times New Roman" w:hAnsi="Times New Roman" w:cs="Times New Roman"/>
        </w:rPr>
        <w:t>.</w:t>
      </w:r>
      <w:r w:rsidR="0070300F">
        <w:rPr>
          <w:rFonts w:ascii="Times New Roman" w:hAnsi="Times New Roman" w:cs="Times New Roman"/>
        </w:rPr>
        <w:t xml:space="preserve"> </w:t>
      </w:r>
      <w:r w:rsidR="00E762E5">
        <w:rPr>
          <w:rFonts w:ascii="Times New Roman" w:hAnsi="Times New Roman" w:cs="Times New Roman"/>
        </w:rPr>
        <w:t xml:space="preserve">The decrease in Body Mass in Week 4 was the last week prior to the competitive season beginning. </w:t>
      </w:r>
      <w:r w:rsidR="009E4C21">
        <w:rPr>
          <w:rFonts w:ascii="Times New Roman" w:hAnsi="Times New Roman" w:cs="Times New Roman"/>
        </w:rPr>
        <w:t xml:space="preserve">The decline in Body Mass likely from loss of body water through sweating coincide with the findings of </w:t>
      </w:r>
      <w:proofErr w:type="spellStart"/>
      <w:r w:rsidR="009E4C21">
        <w:rPr>
          <w:rFonts w:ascii="Times New Roman" w:hAnsi="Times New Roman" w:cs="Times New Roman"/>
        </w:rPr>
        <w:t>Heishman</w:t>
      </w:r>
      <w:proofErr w:type="spellEnd"/>
      <w:r w:rsidR="009E4C21">
        <w:rPr>
          <w:rFonts w:ascii="Times New Roman" w:hAnsi="Times New Roman" w:cs="Times New Roman"/>
        </w:rPr>
        <w:t xml:space="preserve"> et al., </w:t>
      </w:r>
      <w:r w:rsidR="00E762E5">
        <w:rPr>
          <w:rFonts w:ascii="Times New Roman" w:hAnsi="Times New Roman" w:cs="Times New Roman"/>
        </w:rPr>
        <w:t>displaying longitudinal dehydration among collegiate basketball players and describing further dehydration as the competitive season begins</w:t>
      </w:r>
      <w:r w:rsidR="005A2393">
        <w:rPr>
          <w:rFonts w:ascii="Times New Roman" w:hAnsi="Times New Roman" w:cs="Times New Roman"/>
        </w:rPr>
        <w:t xml:space="preserve"> </w:t>
      </w:r>
      <w:r w:rsidR="005A2393">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{"citationID":"NVpPwPln","properties":{"formattedCitation":"(A. Heishman, Daub, et al., 2021)","plainCitation":"(A. Heishman, Daub, et al., 2021)","noteIndex":0},"citationItems":[{"id":336,"uris":["http://zotero.org/users/6327055/items/FL3M3VKU"],"itemData":{"id":336,"type":"article-journal","abstract":"Heishman, AD, Daub, BD, Miller, RM, Freitas, EDS, and Bemben, MG. Longitudinal hydration assessment in collegiate basketball players over various training phases. J Strength Cond Res 35(4): 1089–1094, 2021—To the best of our knowledge, previous literature has not longitudinally examined hydration status in collegiate basketball players. Therefore, the purpose of this investigation was to examine the prepractice hydration status of collegiate basketball players across various training phases for 2 consecutive years. Retrospective analyses examined prepractice urine-speciﬁc gravity (USG) assessments obtained from National Collegiate Athletic Association (NCAA) Division I male basketball players during the preseason and competitive season, for 2 consecutive years. The ﬁrst year (year 1 = Y1) of analysis consisted of 15 athletes and the second year (year 2 = Y2) consisted of 16 athletes, with 8 athletes in both seasons. Hydration status was classiﬁed based on the National Athletic Trainers’ criteria: (a) euhydrated, USG , 1.020; (b) hypohydrated, USG = 1.020–1.030; and (c) signiﬁcantly hypohydrated, USG . 1.030. Additional comparisons examined the association of minutes played with hydration status and changes in hydration status for athletes returning from Y1 to Y2. The results indicated 55–65.7% of cases showed levels of signiﬁcant hypohydration during the preseason and competitive seasons for both years. Preseason hydration status was signiﬁcantly better than the competitive season (Y1, p = 0.008; Y2, p = 0.005). Despite signiﬁcant differences in minutes played (p , 0.001), no differences in hydration status were observed. Returning athletes displayed no differences in hydration status between Y1 and Y2. Collegiate basketball players show levels of hypohydration when longitudinally examined across various training phases.","container-title":"Journal of Strength and Conditioning Research","DOI":"10.1519/JSC.0000000000002845","ISSN":"1064-8011","issue":"4","language":"en","page":"1089-1094","source":"DOI.org (Crossref)","title":"Longitudinal hydration assessment in collegiate basketball players over various training phases","volume":"35","author":[{"family":"Heishman","given":"Aaron"},{"family":"Daub","given":"Bryce"},{"family":"Miller","given":"Ryan"},{"family":"Freitas","given":"Eduardo"},{"family":"Bemben","given":"Michael"}],"issued":{"date-parts":[["2021",4]]}}}],"schema":"https://github.com/citation-style-language/schema/raw/master/csl-citation.json"} </w:instrText>
      </w:r>
      <w:r w:rsidR="005A2393">
        <w:rPr>
          <w:rFonts w:ascii="Times New Roman" w:hAnsi="Times New Roman" w:cs="Times New Roman"/>
        </w:rPr>
        <w:fldChar w:fldCharType="separate"/>
      </w:r>
      <w:r w:rsidR="00546507">
        <w:rPr>
          <w:rFonts w:ascii="Times New Roman" w:hAnsi="Times New Roman" w:cs="Times New Roman"/>
          <w:noProof/>
        </w:rPr>
        <w:t>(A. Heishman, Daub, et al., 2021)</w:t>
      </w:r>
      <w:r w:rsidR="005A2393">
        <w:rPr>
          <w:rFonts w:ascii="Times New Roman" w:hAnsi="Times New Roman" w:cs="Times New Roman"/>
        </w:rPr>
        <w:fldChar w:fldCharType="end"/>
      </w:r>
      <w:r w:rsidR="00E762E5">
        <w:rPr>
          <w:rFonts w:ascii="Times New Roman" w:hAnsi="Times New Roman" w:cs="Times New Roman"/>
        </w:rPr>
        <w:t xml:space="preserve">. </w:t>
      </w:r>
      <w:r w:rsidR="008C2026">
        <w:rPr>
          <w:rFonts w:ascii="Times New Roman" w:hAnsi="Times New Roman" w:cs="Times New Roman"/>
        </w:rPr>
        <w:t xml:space="preserve">Consequently, the significant decrease in </w:t>
      </w:r>
      <w:proofErr w:type="spellStart"/>
      <w:r w:rsidR="008C2026">
        <w:rPr>
          <w:rFonts w:ascii="Times New Roman" w:hAnsi="Times New Roman" w:cs="Times New Roman"/>
        </w:rPr>
        <w:t>EccMF</w:t>
      </w:r>
      <w:proofErr w:type="spellEnd"/>
      <w:r w:rsidR="008C2026">
        <w:rPr>
          <w:rFonts w:ascii="Times New Roman" w:hAnsi="Times New Roman" w:cs="Times New Roman"/>
        </w:rPr>
        <w:t xml:space="preserve"> may also be attributable to the fluctuations within Body Mass. </w:t>
      </w:r>
      <w:r w:rsidR="0070300F">
        <w:rPr>
          <w:rFonts w:ascii="Times New Roman" w:hAnsi="Times New Roman" w:cs="Times New Roman"/>
        </w:rPr>
        <w:t>Additionally</w:t>
      </w:r>
      <w:r w:rsidR="00774AFA">
        <w:rPr>
          <w:rFonts w:ascii="Times New Roman" w:hAnsi="Times New Roman" w:cs="Times New Roman"/>
        </w:rPr>
        <w:t>,</w:t>
      </w:r>
      <w:r w:rsidR="004E0A04">
        <w:rPr>
          <w:rFonts w:ascii="Times New Roman" w:hAnsi="Times New Roman" w:cs="Times New Roman"/>
        </w:rPr>
        <w:t xml:space="preserve"> </w:t>
      </w:r>
      <w:proofErr w:type="spellStart"/>
      <w:r w:rsidR="004E0A04">
        <w:rPr>
          <w:rFonts w:ascii="Times New Roman" w:hAnsi="Times New Roman" w:cs="Times New Roman"/>
        </w:rPr>
        <w:t>ConcPF</w:t>
      </w:r>
      <w:proofErr w:type="spellEnd"/>
      <w:r w:rsidR="004E0A04">
        <w:rPr>
          <w:rFonts w:ascii="Times New Roman" w:hAnsi="Times New Roman" w:cs="Times New Roman"/>
        </w:rPr>
        <w:t xml:space="preserve"> displayed an increase from Pre to Post in Week 1 but not in Week 4</w:t>
      </w:r>
      <w:r w:rsidR="00774AFA">
        <w:rPr>
          <w:rFonts w:ascii="Times New Roman" w:hAnsi="Times New Roman" w:cs="Times New Roman"/>
        </w:rPr>
        <w:t>.</w:t>
      </w:r>
      <w:r w:rsidR="0070300F">
        <w:rPr>
          <w:rFonts w:ascii="Times New Roman" w:hAnsi="Times New Roman" w:cs="Times New Roman"/>
        </w:rPr>
        <w:t xml:space="preserve"> Although, the difference in Body Mass was shown to decrease from Pre to Post in the average of both weeks of testing, in Week 1 Body Mass actually exhibited a slight increase which could help to explain the increase in </w:t>
      </w:r>
      <w:proofErr w:type="spellStart"/>
      <w:r w:rsidR="0070300F">
        <w:rPr>
          <w:rFonts w:ascii="Times New Roman" w:hAnsi="Times New Roman" w:cs="Times New Roman"/>
        </w:rPr>
        <w:t>ConcPF</w:t>
      </w:r>
      <w:proofErr w:type="spellEnd"/>
      <w:r w:rsidR="0070300F">
        <w:rPr>
          <w:rFonts w:ascii="Times New Roman" w:hAnsi="Times New Roman" w:cs="Times New Roman"/>
        </w:rPr>
        <w:t xml:space="preserve">. </w:t>
      </w:r>
      <w:r w:rsidR="000D27A1">
        <w:rPr>
          <w:rFonts w:ascii="Times New Roman" w:hAnsi="Times New Roman" w:cs="Times New Roman"/>
        </w:rPr>
        <w:t>Hence, t</w:t>
      </w:r>
      <w:r w:rsidR="0070300F">
        <w:rPr>
          <w:rFonts w:ascii="Times New Roman" w:hAnsi="Times New Roman" w:cs="Times New Roman"/>
        </w:rPr>
        <w:t xml:space="preserve">he ability to move more mass at a faster acceleration would produce a greater force achieved. </w:t>
      </w:r>
    </w:p>
    <w:p w14:paraId="31318EA5" w14:textId="2C534E5E" w:rsidR="000A010B" w:rsidRPr="00C552AC" w:rsidRDefault="000A010B" w:rsidP="00522EC2">
      <w:pPr>
        <w:spacing w:line="480" w:lineRule="auto"/>
        <w:rPr>
          <w:rFonts w:ascii="Times New Roman" w:hAnsi="Times New Roman" w:cs="Times New Roman"/>
        </w:rPr>
      </w:pPr>
      <w:r>
        <w:rPr>
          <w:rFonts w:ascii="Times New Roman" w:hAnsi="Times New Roman" w:cs="Times New Roman"/>
        </w:rPr>
        <w:tab/>
      </w:r>
      <w:r w:rsidR="00D046F8">
        <w:rPr>
          <w:rFonts w:ascii="Times New Roman" w:hAnsi="Times New Roman" w:cs="Times New Roman"/>
        </w:rPr>
        <w:t>Furthermore, of the 17 CMJ variables, there were 6 that displayed a</w:t>
      </w:r>
      <w:r w:rsidR="00C552AC">
        <w:rPr>
          <w:rFonts w:ascii="Times New Roman" w:hAnsi="Times New Roman" w:cs="Times New Roman"/>
        </w:rPr>
        <w:t>n</w:t>
      </w:r>
      <w:r w:rsidR="00D046F8">
        <w:rPr>
          <w:rFonts w:ascii="Times New Roman" w:hAnsi="Times New Roman" w:cs="Times New Roman"/>
        </w:rPr>
        <w:t xml:space="preserve"> effect from Pre to Post in either Week 1 or Week 4. </w:t>
      </w:r>
      <w:proofErr w:type="spellStart"/>
      <w:r w:rsidR="00C552AC">
        <w:rPr>
          <w:rFonts w:ascii="Times New Roman" w:hAnsi="Times New Roman" w:cs="Times New Roman"/>
        </w:rPr>
        <w:t>ConcPF</w:t>
      </w:r>
      <w:proofErr w:type="spellEnd"/>
      <w:r w:rsidR="00C552AC">
        <w:rPr>
          <w:rFonts w:ascii="Times New Roman" w:hAnsi="Times New Roman" w:cs="Times New Roman"/>
        </w:rPr>
        <w:t xml:space="preserve"> and PP both presented a small effect in Week 1 from Pre to Post. </w:t>
      </w:r>
      <w:proofErr w:type="spellStart"/>
      <w:r w:rsidR="00C552AC">
        <w:rPr>
          <w:rFonts w:ascii="Times New Roman" w:hAnsi="Times New Roman" w:cs="Times New Roman"/>
        </w:rPr>
        <w:t>EccMP</w:t>
      </w:r>
      <w:proofErr w:type="spellEnd"/>
      <w:r w:rsidR="00C552AC">
        <w:rPr>
          <w:rFonts w:ascii="Times New Roman" w:hAnsi="Times New Roman" w:cs="Times New Roman"/>
        </w:rPr>
        <w:t xml:space="preserve">, </w:t>
      </w:r>
      <w:proofErr w:type="spellStart"/>
      <w:r w:rsidR="00C552AC">
        <w:rPr>
          <w:rFonts w:ascii="Times New Roman" w:hAnsi="Times New Roman" w:cs="Times New Roman"/>
        </w:rPr>
        <w:t>EccPF</w:t>
      </w:r>
      <w:proofErr w:type="spellEnd"/>
      <w:r w:rsidR="00C552AC">
        <w:rPr>
          <w:rFonts w:ascii="Times New Roman" w:hAnsi="Times New Roman" w:cs="Times New Roman"/>
        </w:rPr>
        <w:t xml:space="preserve">, F@0V, and </w:t>
      </w:r>
      <w:proofErr w:type="spellStart"/>
      <w:r w:rsidR="00C552AC">
        <w:rPr>
          <w:rFonts w:ascii="Times New Roman" w:hAnsi="Times New Roman" w:cs="Times New Roman"/>
        </w:rPr>
        <w:t>RSI</w:t>
      </w:r>
      <w:r w:rsidR="00C552AC">
        <w:rPr>
          <w:rFonts w:ascii="Times New Roman" w:hAnsi="Times New Roman" w:cs="Times New Roman"/>
          <w:vertAlign w:val="subscript"/>
        </w:rPr>
        <w:t>Mod</w:t>
      </w:r>
      <w:proofErr w:type="spellEnd"/>
      <w:r w:rsidR="00C552AC">
        <w:rPr>
          <w:rFonts w:ascii="Times New Roman" w:hAnsi="Times New Roman" w:cs="Times New Roman"/>
        </w:rPr>
        <w:t xml:space="preserve"> all showed small effects in Week 4 from Pre to Post. </w:t>
      </w:r>
      <w:r w:rsidR="00E558A6">
        <w:rPr>
          <w:rFonts w:ascii="Times New Roman" w:hAnsi="Times New Roman" w:cs="Times New Roman"/>
        </w:rPr>
        <w:t xml:space="preserve">In addition, </w:t>
      </w:r>
      <w:proofErr w:type="spellStart"/>
      <w:r w:rsidR="00E558A6">
        <w:rPr>
          <w:rFonts w:ascii="Times New Roman" w:hAnsi="Times New Roman" w:cs="Times New Roman"/>
        </w:rPr>
        <w:t>EccPF</w:t>
      </w:r>
      <w:proofErr w:type="spellEnd"/>
      <w:r w:rsidR="00E558A6">
        <w:rPr>
          <w:rFonts w:ascii="Times New Roman" w:hAnsi="Times New Roman" w:cs="Times New Roman"/>
        </w:rPr>
        <w:t xml:space="preserve"> and F@0V both displayed a small effect from Week 1 Post to Week 4 Post</w:t>
      </w:r>
      <w:r w:rsidR="00081F4D">
        <w:rPr>
          <w:rFonts w:ascii="Times New Roman" w:hAnsi="Times New Roman" w:cs="Times New Roman"/>
        </w:rPr>
        <w:t>, while all others displayed a trivial effect across all time points (</w:t>
      </w:r>
      <w:r w:rsidR="00081F4D">
        <w:rPr>
          <w:rFonts w:ascii="Times New Roman" w:hAnsi="Times New Roman" w:cs="Times New Roman"/>
          <w:i/>
          <w:iCs/>
        </w:rPr>
        <w:t>d</w:t>
      </w:r>
      <w:r w:rsidR="00081F4D">
        <w:rPr>
          <w:rFonts w:ascii="Times New Roman" w:hAnsi="Times New Roman" w:cs="Times New Roman"/>
        </w:rPr>
        <w:t xml:space="preserve"> &lt; 0.20). </w:t>
      </w:r>
    </w:p>
    <w:p w14:paraId="1E689F75" w14:textId="511FF832" w:rsidR="00522EC2" w:rsidRPr="00E657B7" w:rsidRDefault="00522EC2" w:rsidP="00522EC2">
      <w:pPr>
        <w:pStyle w:val="Heading3"/>
        <w:spacing w:line="480" w:lineRule="auto"/>
        <w:rPr>
          <w:rFonts w:ascii="Times New Roman" w:hAnsi="Times New Roman" w:cs="Times New Roman"/>
          <w:b/>
          <w:bCs/>
          <w:i/>
          <w:iCs/>
          <w:color w:val="000000" w:themeColor="text1"/>
        </w:rPr>
      </w:pPr>
      <w:bookmarkStart w:id="95" w:name="_Toc99267652"/>
      <w:r w:rsidRPr="00E657B7">
        <w:rPr>
          <w:rFonts w:ascii="Times New Roman" w:hAnsi="Times New Roman" w:cs="Times New Roman"/>
          <w:b/>
          <w:bCs/>
          <w:i/>
          <w:iCs/>
          <w:color w:val="000000" w:themeColor="text1"/>
        </w:rPr>
        <w:t>Countermovement Jump Relative to Body Mass</w:t>
      </w:r>
      <w:bookmarkEnd w:id="95"/>
    </w:p>
    <w:p w14:paraId="12843548" w14:textId="50A9A1CA" w:rsidR="00522EC2" w:rsidRPr="00E657B7" w:rsidRDefault="00522EC2" w:rsidP="00522EC2">
      <w:pPr>
        <w:spacing w:line="480" w:lineRule="auto"/>
        <w:rPr>
          <w:rFonts w:ascii="Times New Roman" w:hAnsi="Times New Roman" w:cs="Times New Roman"/>
        </w:rPr>
      </w:pPr>
      <w:r w:rsidRPr="00E657B7">
        <w:rPr>
          <w:rFonts w:ascii="Times New Roman" w:hAnsi="Times New Roman" w:cs="Times New Roman"/>
        </w:rPr>
        <w:tab/>
      </w:r>
      <w:r w:rsidR="00B36B62">
        <w:rPr>
          <w:rFonts w:ascii="Times New Roman" w:hAnsi="Times New Roman" w:cs="Times New Roman"/>
        </w:rPr>
        <w:t>Overall, t</w:t>
      </w:r>
      <w:r w:rsidR="00FC5385">
        <w:rPr>
          <w:rFonts w:ascii="Times New Roman" w:hAnsi="Times New Roman" w:cs="Times New Roman"/>
        </w:rPr>
        <w:t>here were no significant differences in CMJ performance across time when made relative to Body Mass</w:t>
      </w:r>
      <w:r w:rsidR="005B52C5">
        <w:rPr>
          <w:rFonts w:ascii="Times New Roman" w:hAnsi="Times New Roman" w:cs="Times New Roman"/>
        </w:rPr>
        <w:t>.</w:t>
      </w:r>
      <w:r w:rsidR="00B36B62">
        <w:rPr>
          <w:rFonts w:ascii="Times New Roman" w:hAnsi="Times New Roman" w:cs="Times New Roman"/>
        </w:rPr>
        <w:t xml:space="preserve"> </w:t>
      </w:r>
      <w:r w:rsidR="005B52C5">
        <w:rPr>
          <w:rFonts w:ascii="Times New Roman" w:hAnsi="Times New Roman" w:cs="Times New Roman"/>
        </w:rPr>
        <w:t>Albeit</w:t>
      </w:r>
      <w:r w:rsidR="00B36B62">
        <w:rPr>
          <w:rFonts w:ascii="Times New Roman" w:hAnsi="Times New Roman" w:cs="Times New Roman"/>
        </w:rPr>
        <w:t xml:space="preserve">, 8 of the 11 CMJ variables displayed a small effect from Pre </w:t>
      </w:r>
      <w:r w:rsidR="00B36B62">
        <w:rPr>
          <w:rFonts w:ascii="Times New Roman" w:hAnsi="Times New Roman" w:cs="Times New Roman"/>
        </w:rPr>
        <w:lastRenderedPageBreak/>
        <w:t xml:space="preserve">to Post in either Week 1 or Week 4. </w:t>
      </w:r>
      <w:proofErr w:type="spellStart"/>
      <w:r w:rsidR="001D47AB">
        <w:rPr>
          <w:rFonts w:ascii="Times New Roman" w:hAnsi="Times New Roman" w:cs="Times New Roman"/>
        </w:rPr>
        <w:t>ConcMF</w:t>
      </w:r>
      <w:proofErr w:type="spellEnd"/>
      <w:r w:rsidR="001D47AB">
        <w:rPr>
          <w:rFonts w:ascii="Times New Roman" w:hAnsi="Times New Roman" w:cs="Times New Roman"/>
        </w:rPr>
        <w:t xml:space="preserve">, </w:t>
      </w:r>
      <w:proofErr w:type="spellStart"/>
      <w:r w:rsidR="001D47AB">
        <w:rPr>
          <w:rFonts w:ascii="Times New Roman" w:hAnsi="Times New Roman" w:cs="Times New Roman"/>
        </w:rPr>
        <w:t>ConcPF</w:t>
      </w:r>
      <w:proofErr w:type="spellEnd"/>
      <w:r w:rsidR="001D47AB">
        <w:rPr>
          <w:rFonts w:ascii="Times New Roman" w:hAnsi="Times New Roman" w:cs="Times New Roman"/>
        </w:rPr>
        <w:t xml:space="preserve">, </w:t>
      </w:r>
      <w:proofErr w:type="spellStart"/>
      <w:r w:rsidR="001D47AB">
        <w:rPr>
          <w:rFonts w:ascii="Times New Roman" w:hAnsi="Times New Roman" w:cs="Times New Roman"/>
        </w:rPr>
        <w:t>EccMF</w:t>
      </w:r>
      <w:proofErr w:type="spellEnd"/>
      <w:r w:rsidR="001D47AB">
        <w:rPr>
          <w:rFonts w:ascii="Times New Roman" w:hAnsi="Times New Roman" w:cs="Times New Roman"/>
        </w:rPr>
        <w:t xml:space="preserve">, and PP all showed to have a small effect in Week 1 from Pre to Post. Furthermore, </w:t>
      </w:r>
      <w:proofErr w:type="spellStart"/>
      <w:r w:rsidR="001D47AB">
        <w:rPr>
          <w:rFonts w:ascii="Times New Roman" w:hAnsi="Times New Roman" w:cs="Times New Roman"/>
        </w:rPr>
        <w:t>EccMF</w:t>
      </w:r>
      <w:proofErr w:type="spellEnd"/>
      <w:r w:rsidR="001D47AB">
        <w:rPr>
          <w:rFonts w:ascii="Times New Roman" w:hAnsi="Times New Roman" w:cs="Times New Roman"/>
        </w:rPr>
        <w:t xml:space="preserve">, </w:t>
      </w:r>
      <w:proofErr w:type="spellStart"/>
      <w:r w:rsidR="001D47AB">
        <w:rPr>
          <w:rFonts w:ascii="Times New Roman" w:hAnsi="Times New Roman" w:cs="Times New Roman"/>
        </w:rPr>
        <w:t>EccMP</w:t>
      </w:r>
      <w:proofErr w:type="spellEnd"/>
      <w:r w:rsidR="001D47AB">
        <w:rPr>
          <w:rFonts w:ascii="Times New Roman" w:hAnsi="Times New Roman" w:cs="Times New Roman"/>
        </w:rPr>
        <w:t xml:space="preserve">, </w:t>
      </w:r>
      <w:proofErr w:type="spellStart"/>
      <w:r w:rsidR="001D47AB">
        <w:rPr>
          <w:rFonts w:ascii="Times New Roman" w:hAnsi="Times New Roman" w:cs="Times New Roman"/>
        </w:rPr>
        <w:t>EccPF</w:t>
      </w:r>
      <w:proofErr w:type="spellEnd"/>
      <w:r w:rsidR="001D47AB">
        <w:rPr>
          <w:rFonts w:ascii="Times New Roman" w:hAnsi="Times New Roman" w:cs="Times New Roman"/>
        </w:rPr>
        <w:t xml:space="preserve">, and F@0V all displayed a small effect from Pre to Post in Week 4. </w:t>
      </w:r>
      <w:r w:rsidR="00B774B6">
        <w:rPr>
          <w:rFonts w:ascii="Times New Roman" w:hAnsi="Times New Roman" w:cs="Times New Roman"/>
        </w:rPr>
        <w:t xml:space="preserve">In addition, </w:t>
      </w:r>
      <w:proofErr w:type="spellStart"/>
      <w:r w:rsidR="00B774B6">
        <w:rPr>
          <w:rFonts w:ascii="Times New Roman" w:hAnsi="Times New Roman" w:cs="Times New Roman"/>
        </w:rPr>
        <w:t>EccMBF</w:t>
      </w:r>
      <w:proofErr w:type="spellEnd"/>
      <w:r w:rsidR="00B774B6">
        <w:rPr>
          <w:rFonts w:ascii="Times New Roman" w:hAnsi="Times New Roman" w:cs="Times New Roman"/>
        </w:rPr>
        <w:t xml:space="preserve"> and </w:t>
      </w:r>
      <w:proofErr w:type="spellStart"/>
      <w:r w:rsidR="00B774B6">
        <w:rPr>
          <w:rFonts w:ascii="Times New Roman" w:hAnsi="Times New Roman" w:cs="Times New Roman"/>
        </w:rPr>
        <w:t>EccMF</w:t>
      </w:r>
      <w:proofErr w:type="spellEnd"/>
      <w:r w:rsidR="00B774B6">
        <w:rPr>
          <w:rFonts w:ascii="Times New Roman" w:hAnsi="Times New Roman" w:cs="Times New Roman"/>
        </w:rPr>
        <w:t xml:space="preserve"> presented a small effect from Week 1 Pre to Week 4 Pre as well as </w:t>
      </w:r>
      <w:proofErr w:type="spellStart"/>
      <w:r w:rsidR="00B774B6">
        <w:rPr>
          <w:rFonts w:ascii="Times New Roman" w:hAnsi="Times New Roman" w:cs="Times New Roman"/>
        </w:rPr>
        <w:t>EccPF</w:t>
      </w:r>
      <w:proofErr w:type="spellEnd"/>
      <w:r w:rsidR="00B774B6">
        <w:rPr>
          <w:rFonts w:ascii="Times New Roman" w:hAnsi="Times New Roman" w:cs="Times New Roman"/>
        </w:rPr>
        <w:t xml:space="preserve"> and F@0V exhibiting a small effect from Week 1 Post to Week 4 Post. </w:t>
      </w:r>
      <w:r w:rsidR="00F147D5">
        <w:rPr>
          <w:rFonts w:ascii="Times New Roman" w:hAnsi="Times New Roman" w:cs="Times New Roman"/>
        </w:rPr>
        <w:t>However, statistical significance</w:t>
      </w:r>
      <w:r w:rsidR="00EB6042">
        <w:rPr>
          <w:rFonts w:ascii="Times New Roman" w:hAnsi="Times New Roman" w:cs="Times New Roman"/>
        </w:rPr>
        <w:t xml:space="preserve"> </w:t>
      </w:r>
      <w:r w:rsidR="00DF12D8">
        <w:rPr>
          <w:rFonts w:ascii="Times New Roman" w:hAnsi="Times New Roman" w:cs="Times New Roman"/>
        </w:rPr>
        <w:t xml:space="preserve">of </w:t>
      </w:r>
      <w:r w:rsidR="00EB6042">
        <w:rPr>
          <w:rFonts w:ascii="Times New Roman" w:hAnsi="Times New Roman" w:cs="Times New Roman"/>
        </w:rPr>
        <w:t xml:space="preserve">the eccentric variables </w:t>
      </w:r>
      <w:r w:rsidR="00F147D5">
        <w:rPr>
          <w:rFonts w:ascii="Times New Roman" w:hAnsi="Times New Roman" w:cs="Times New Roman"/>
        </w:rPr>
        <w:t xml:space="preserve">may not have been reached due to the large variability seen in some of the eccentric measures of the CMJ </w:t>
      </w:r>
      <w:r w:rsidR="00F147D5">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{"citationID":"nzPHRXAt","properties":{"formattedCitation":"(A. Heishman, Daub, et al., 2020)","plainCitation":"(A. Heishman, Daub, et al., 2020)","noteIndex":0},"citationItems":[{"id":15,"uris":["http://zotero.org/users/6327055/items/JSD3CII9"],"itemData":{"id":15,"type":"article-journal","abstract":"Heishman, AD, Daub, BD, Miller, RM, Freitas, EDS, Frantz, BA, and Bemben, MG. Countermovement jump reliability performed with and without an arm swing in NCAA Division 1 intercollegiate basketball players. J Strength Cond Res 34(2): 546-558, 2020-The countermovement jump (CMJ) is routinely used in athlete performance to quantify adaptions to training, as well as monitor neuromuscular readiness and fatigue. However, controversy remains in whether to incorporate an arm swing during the CMJ (CMJ AS) or keep the hands placed on the hips (CMJ NAS). Incorporating the arms provides a higher degree of sport-specificity that may yield improved reliability, especially in skilled jumpers. By contrast, the hands-on-hips approach isolates lower extremity force production and eliminates potential arm-swing variation. Therefore, the purpose of this study was to establish the reliability of CMJ typical (CMJ-TYP), CMJ concentric alternative (CMJ-Conc-ALT), and CMJ eccentric alternative (CMJ-Ecc-ALT) variables obtained during the CMJ AS and CMJ NAS. Twenty-two (men = 14, women = 8) NCAA Division 1 collegiate basketball players performed 3 CMJ AS and 3 CMJ NAS on a force plate, in a randomized order. To assess the test-retest reliability, participants returned 1 week later to perform 3 additional CMJ AS and 3 CMJ NAS. Intraclass correlation coefficient (ICC) and coefficient of variation (CV) were used to assess intersession and intrasession reliability for the various CMJ variables. A majority of CMJ-TYP and several CMJ-Conc-ALT and CMJ-Ecc-ALT variables exhibited adequate intersession and intrasession reliability (ICC &gt; 0.700 and CV &lt;10%) during both the CMJ AS and the CMJ NAS. Countermovement jump AS may provide more pertinent information about long-term changes in sport-specific performance, whereas the CMJ NAS may be more beneficial for detecting acute changes in neuromuscular fatigue and athlete readiness.","container-title":"Journal of Strength and Conditioning Research","DOI":"10.1519/JSC.0000000000002812","ISSN":"1533-4287","issue":"2","journalAbbreviation":"J Strength Cond Res","language":"eng","note":"PMID: 30138237","page":"546-558","source":"PubMed","title":"Countermovement jump reliability performed with and without an arm swing in ncaa division 1 intercollegiate basketball players","volume":"34","author":[{"family":"Heishman","given":"Aaron"},{"family":"Daub","given":"Bryce"},{"family":"Miller","given":"Ryan"},{"family":"Freitas","given":"Eduardo"},{"family":"Frantz","given":"Brett"},{"family":"Bemben","given":"Michael"}],"issued":{"date-parts":[["2020",2]]}}}],"schema":"https://github.com/citation-style-language/schema/raw/master/csl-citation.json"} </w:instrText>
      </w:r>
      <w:r w:rsidR="00F147D5">
        <w:rPr>
          <w:rFonts w:ascii="Times New Roman" w:hAnsi="Times New Roman" w:cs="Times New Roman"/>
        </w:rPr>
        <w:fldChar w:fldCharType="separate"/>
      </w:r>
      <w:r w:rsidR="00546507">
        <w:rPr>
          <w:rFonts w:ascii="Times New Roman" w:hAnsi="Times New Roman" w:cs="Times New Roman"/>
          <w:noProof/>
        </w:rPr>
        <w:t>(A. Heishman, Daub, et al., 2020)</w:t>
      </w:r>
      <w:r w:rsidR="00F147D5">
        <w:rPr>
          <w:rFonts w:ascii="Times New Roman" w:hAnsi="Times New Roman" w:cs="Times New Roman"/>
        </w:rPr>
        <w:fldChar w:fldCharType="end"/>
      </w:r>
      <w:r w:rsidR="00F147D5">
        <w:rPr>
          <w:rFonts w:ascii="Times New Roman" w:hAnsi="Times New Roman" w:cs="Times New Roman"/>
        </w:rPr>
        <w:t xml:space="preserve">. </w:t>
      </w:r>
    </w:p>
    <w:p w14:paraId="2970796F" w14:textId="2F968784" w:rsidR="00522EC2" w:rsidRPr="00E657B7" w:rsidRDefault="00522EC2" w:rsidP="00522EC2">
      <w:pPr>
        <w:pStyle w:val="Heading3"/>
        <w:spacing w:line="480" w:lineRule="auto"/>
        <w:rPr>
          <w:rFonts w:ascii="Times New Roman" w:hAnsi="Times New Roman" w:cs="Times New Roman"/>
          <w:b/>
          <w:bCs/>
          <w:i/>
          <w:iCs/>
          <w:color w:val="000000" w:themeColor="text1"/>
        </w:rPr>
      </w:pPr>
      <w:bookmarkStart w:id="96" w:name="_Toc99267653"/>
      <w:r w:rsidRPr="00E657B7">
        <w:rPr>
          <w:rFonts w:ascii="Times New Roman" w:hAnsi="Times New Roman" w:cs="Times New Roman"/>
          <w:b/>
          <w:bCs/>
          <w:i/>
          <w:iCs/>
          <w:color w:val="000000" w:themeColor="text1"/>
        </w:rPr>
        <w:t>Endocrine Responses</w:t>
      </w:r>
      <w:bookmarkEnd w:id="96"/>
    </w:p>
    <w:p w14:paraId="7E5D22FA" w14:textId="38912496" w:rsidR="00B754E6" w:rsidRDefault="00522EC2" w:rsidP="00501E0A">
      <w:pPr>
        <w:spacing w:line="480" w:lineRule="auto"/>
        <w:jc w:val="both"/>
        <w:rPr>
          <w:rFonts w:ascii="Times New Roman" w:hAnsi="Times New Roman" w:cs="Times New Roman"/>
        </w:rPr>
      </w:pPr>
      <w:r w:rsidRPr="00E657B7">
        <w:rPr>
          <w:rFonts w:ascii="Times New Roman" w:hAnsi="Times New Roman" w:cs="Times New Roman"/>
        </w:rPr>
        <w:tab/>
      </w:r>
      <w:r w:rsidR="00077F89">
        <w:rPr>
          <w:rFonts w:ascii="Times New Roman" w:hAnsi="Times New Roman" w:cs="Times New Roman"/>
        </w:rPr>
        <w:t xml:space="preserve">The Pre values </w:t>
      </w:r>
      <w:r w:rsidR="00AC0864">
        <w:rPr>
          <w:rFonts w:ascii="Times New Roman" w:hAnsi="Times New Roman" w:cs="Times New Roman"/>
        </w:rPr>
        <w:t xml:space="preserve">obtained </w:t>
      </w:r>
      <w:r w:rsidR="00077F89">
        <w:rPr>
          <w:rFonts w:ascii="Times New Roman" w:hAnsi="Times New Roman" w:cs="Times New Roman"/>
        </w:rPr>
        <w:t xml:space="preserve">prior to the sport specific training were not significantly different than the Baseline Assessment taken on the same day of the week </w:t>
      </w:r>
      <w:r w:rsidR="0052796B">
        <w:rPr>
          <w:rFonts w:ascii="Times New Roman" w:hAnsi="Times New Roman" w:cs="Times New Roman"/>
        </w:rPr>
        <w:t xml:space="preserve">on a different week </w:t>
      </w:r>
      <w:r w:rsidR="00077F89">
        <w:rPr>
          <w:rFonts w:ascii="Times New Roman" w:hAnsi="Times New Roman" w:cs="Times New Roman"/>
        </w:rPr>
        <w:t xml:space="preserve">and </w:t>
      </w:r>
      <w:r w:rsidR="0052796B">
        <w:rPr>
          <w:rFonts w:ascii="Times New Roman" w:hAnsi="Times New Roman" w:cs="Times New Roman"/>
        </w:rPr>
        <w:t xml:space="preserve">at the same </w:t>
      </w:r>
      <w:r w:rsidR="00077F89">
        <w:rPr>
          <w:rFonts w:ascii="Times New Roman" w:hAnsi="Times New Roman" w:cs="Times New Roman"/>
        </w:rPr>
        <w:t xml:space="preserve">time as the Pre values </w:t>
      </w:r>
      <w:r w:rsidR="00AC0864">
        <w:rPr>
          <w:rFonts w:ascii="Times New Roman" w:hAnsi="Times New Roman" w:cs="Times New Roman"/>
        </w:rPr>
        <w:t xml:space="preserve">but did not precede any physical training. This helps to </w:t>
      </w:r>
      <w:r w:rsidR="0052796B">
        <w:rPr>
          <w:rFonts w:ascii="Times New Roman" w:hAnsi="Times New Roman" w:cs="Times New Roman"/>
        </w:rPr>
        <w:t>verify</w:t>
      </w:r>
      <w:r w:rsidR="00AC0864">
        <w:rPr>
          <w:rFonts w:ascii="Times New Roman" w:hAnsi="Times New Roman" w:cs="Times New Roman"/>
        </w:rPr>
        <w:t xml:space="preserve"> that there were no anticipatory effects on the endocrine response prior to any sport specific training </w:t>
      </w:r>
      <w:r w:rsidR="0052796B">
        <w:rPr>
          <w:rFonts w:ascii="Times New Roman" w:hAnsi="Times New Roman" w:cs="Times New Roman"/>
        </w:rPr>
        <w:t xml:space="preserve">sessions </w:t>
      </w:r>
      <w:r w:rsidR="00915EF6">
        <w:rPr>
          <w:rFonts w:ascii="Times New Roman" w:hAnsi="Times New Roman" w:cs="Times New Roman"/>
        </w:rPr>
        <w:t xml:space="preserve">and the changes reflect the magnitude of change </w:t>
      </w:r>
      <w:r w:rsidR="0052796B">
        <w:rPr>
          <w:rFonts w:ascii="Times New Roman" w:hAnsi="Times New Roman" w:cs="Times New Roman"/>
        </w:rPr>
        <w:t>stimulated by the training</w:t>
      </w:r>
      <w:r w:rsidR="00915EF6">
        <w:rPr>
          <w:rFonts w:ascii="Times New Roman" w:hAnsi="Times New Roman" w:cs="Times New Roman"/>
        </w:rPr>
        <w:t xml:space="preserve"> </w:t>
      </w:r>
      <w:r w:rsidR="00915EF6">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{"citationID":"6jZ22Ax8","properties":{"formattedCitation":"(Hayes et al., 2015)","plainCitation":"(Hayes et al., 2015)","noteIndex":0},"citationItems":[{"id":493,"uris":["http://zotero.org/users/6327055/items/PWS8RGZ9"],"itemData":{"id":493,"type":"article-journal","abstract":"Background Testosterone, cortisol and their ratios may be indicators of anabolic status, but technical issues surrounding blood sampling has limited wider application. The advent of salivary testosterone (sal-T) analysis simpliﬁed sample acquisition, resulting in a subsequent rapid increase in the number of published research articles.","container-title":"Sports Medicine","DOI":"10.1007/s40279-015-0306-y","ISSN":"0112-1642, 1179-2035","issue":"5","journalAbbreviation":"Sports Med","language":"en","page":"713-726","source":"DOI.org (Crossref)","title":"Exercise-induced responses in salivary testosterone, cortisol, and their ratios in men: a meta-analysis","title-short":"Exercise-Induced Responses in Salivary Testosterone, Cortisol, and Their Ratios in Men","volume":"45","author":[{"family":"Hayes","given":"Lawrence D."},{"family":"Grace","given":"Fergal M."},{"family":"Baker","given":"Julien S."},{"family":"Sculthorpe","given":"Nicholas"}],"issued":{"date-parts":[["2015",5]]}}}],"schema":"https://github.com/citation-style-language/schema/raw/master/csl-citation.json"} </w:instrText>
      </w:r>
      <w:r w:rsidR="00915EF6">
        <w:rPr>
          <w:rFonts w:ascii="Times New Roman" w:hAnsi="Times New Roman" w:cs="Times New Roman"/>
        </w:rPr>
        <w:fldChar w:fldCharType="separate"/>
      </w:r>
      <w:r w:rsidR="00915EF6">
        <w:rPr>
          <w:rFonts w:ascii="Times New Roman" w:hAnsi="Times New Roman" w:cs="Times New Roman"/>
          <w:noProof/>
        </w:rPr>
        <w:t>(Hayes et al., 2015)</w:t>
      </w:r>
      <w:r w:rsidR="00915EF6">
        <w:rPr>
          <w:rFonts w:ascii="Times New Roman" w:hAnsi="Times New Roman" w:cs="Times New Roman"/>
        </w:rPr>
        <w:fldChar w:fldCharType="end"/>
      </w:r>
      <w:r w:rsidR="00AC0864">
        <w:rPr>
          <w:rFonts w:ascii="Times New Roman" w:hAnsi="Times New Roman" w:cs="Times New Roman"/>
        </w:rPr>
        <w:t>.</w:t>
      </w:r>
    </w:p>
    <w:p w14:paraId="7A40C64E" w14:textId="0E675BAF" w:rsidR="009F49FB" w:rsidRDefault="00881508" w:rsidP="00501E0A">
      <w:pPr>
        <w:spacing w:line="480" w:lineRule="auto"/>
        <w:jc w:val="both"/>
        <w:rPr>
          <w:rFonts w:ascii="Times New Roman" w:hAnsi="Times New Roman" w:cs="Times New Roman"/>
        </w:rPr>
      </w:pPr>
      <w:r>
        <w:rPr>
          <w:rFonts w:ascii="Times New Roman" w:hAnsi="Times New Roman" w:cs="Times New Roman"/>
        </w:rPr>
        <w:tab/>
      </w:r>
      <w:r w:rsidR="000D27A1">
        <w:rPr>
          <w:rFonts w:ascii="Times New Roman" w:hAnsi="Times New Roman" w:cs="Times New Roman"/>
        </w:rPr>
        <w:t xml:space="preserve">T levels </w:t>
      </w:r>
      <w:r w:rsidR="007F5D95">
        <w:rPr>
          <w:rFonts w:ascii="Times New Roman" w:hAnsi="Times New Roman" w:cs="Times New Roman"/>
        </w:rPr>
        <w:t xml:space="preserve">significantly </w:t>
      </w:r>
      <w:r w:rsidR="000D27A1">
        <w:rPr>
          <w:rFonts w:ascii="Times New Roman" w:hAnsi="Times New Roman" w:cs="Times New Roman"/>
        </w:rPr>
        <w:t>increase</w:t>
      </w:r>
      <w:r w:rsidR="00D8350A">
        <w:rPr>
          <w:rFonts w:ascii="Times New Roman" w:hAnsi="Times New Roman" w:cs="Times New Roman"/>
        </w:rPr>
        <w:t>d</w:t>
      </w:r>
      <w:r w:rsidR="000D27A1">
        <w:rPr>
          <w:rFonts w:ascii="Times New Roman" w:hAnsi="Times New Roman" w:cs="Times New Roman"/>
        </w:rPr>
        <w:t xml:space="preserve"> from the average of Week 1 and Week 4 Pre values to the average of Week 1 and Week 4 Post values</w:t>
      </w:r>
      <w:r w:rsidR="00304644">
        <w:rPr>
          <w:rFonts w:ascii="Times New Roman" w:hAnsi="Times New Roman" w:cs="Times New Roman"/>
        </w:rPr>
        <w:t>, yet there was</w:t>
      </w:r>
      <w:r w:rsidR="00482306">
        <w:rPr>
          <w:rFonts w:ascii="Times New Roman" w:hAnsi="Times New Roman" w:cs="Times New Roman"/>
        </w:rPr>
        <w:t xml:space="preserve"> no</w:t>
      </w:r>
      <w:r w:rsidR="00304644">
        <w:rPr>
          <w:rFonts w:ascii="Times New Roman" w:hAnsi="Times New Roman" w:cs="Times New Roman"/>
        </w:rPr>
        <w:t xml:space="preserve"> change</w:t>
      </w:r>
      <w:r w:rsidR="00482306">
        <w:rPr>
          <w:rFonts w:ascii="Times New Roman" w:hAnsi="Times New Roman" w:cs="Times New Roman"/>
        </w:rPr>
        <w:t xml:space="preserve"> exhibit</w:t>
      </w:r>
      <w:r w:rsidR="00304644">
        <w:rPr>
          <w:rFonts w:ascii="Times New Roman" w:hAnsi="Times New Roman" w:cs="Times New Roman"/>
        </w:rPr>
        <w:t>ed</w:t>
      </w:r>
      <w:r w:rsidR="00482306">
        <w:rPr>
          <w:rFonts w:ascii="Times New Roman" w:hAnsi="Times New Roman" w:cs="Times New Roman"/>
        </w:rPr>
        <w:t xml:space="preserve"> from Pre to Post within the </w:t>
      </w:r>
      <w:r w:rsidR="00842F38">
        <w:rPr>
          <w:rFonts w:ascii="Times New Roman" w:hAnsi="Times New Roman" w:cs="Times New Roman"/>
        </w:rPr>
        <w:t xml:space="preserve">same </w:t>
      </w:r>
      <w:r w:rsidR="00482306">
        <w:rPr>
          <w:rFonts w:ascii="Times New Roman" w:hAnsi="Times New Roman" w:cs="Times New Roman"/>
        </w:rPr>
        <w:t>week in parallel with some literature</w:t>
      </w:r>
      <w:r w:rsidR="006951F0">
        <w:rPr>
          <w:rFonts w:ascii="Times New Roman" w:hAnsi="Times New Roman" w:cs="Times New Roman"/>
        </w:rPr>
        <w:t xml:space="preserve"> </w:t>
      </w:r>
      <w:r w:rsidR="001B20A6" w:rsidRPr="00012A01">
        <w:rPr>
          <w:rFonts w:ascii="Times New Roman" w:hAnsi="Times New Roman" w:cs="Times New Roman"/>
        </w:rPr>
        <w:fldChar w:fldCharType="begin"/>
      </w:r>
      <w:r w:rsidR="00546507" w:rsidRPr="00012A01">
        <w:rPr>
          <w:rFonts w:ascii="Times New Roman" w:hAnsi="Times New Roman" w:cs="Times New Roman"/>
        </w:rPr>
        <w:instrText xml:space="preserve"> ADDIN ZOTERO_ITEM CSL_CITATION {"citationID":"IEfGmANu","properties":{"formattedCitation":"(Cormack, Newton, &amp; McGuigan, 2008; D. Edwards et al., 2006; Rowell et al., 2017; Silva et al., 2013; Sparkes et al., 2018)","plainCitation":"(Cormack, Newton, &amp; McGuigan, 2008; D. Edwards et al., 2006; Rowell et al., 2017; Silva et al., 2013; Sparkes et al., 2018)","noteIndex":0},"citationItems":[{"id":150,"uris":["http://zotero.org/users/6327055/items/MKQHMH4V"],"itemData":{"id":150,"type":"article-journal","abstract":"Purpose: To examine the acute and short-term responses of variables obtained during a single countermovement jump (CMJ1); repeated countermovement jump involving 5 consecutive efforts without a pause (CMJ5); and cortisol, testosterone, and testosterone-to-cortisol ratio (T:C) to an elite Australian Rules Football (ARF) match with a view to determining which variables may be most useful for ongoing monitoring. Methods: Twenty-two elite ARF players participating in a preseason cup match performed a CMJ1 and a CMJ5 and provided saliva samples 48 h before the match (48pre), prematch (Pre), postmatch, 24 h post (24post), 72 h post (72post), 96 h post (96post), and 120 h post (120post). The magnitude of change in variables at each time point compared with Pre and 48pre was analyzed using the effect size (ES) statistic. Results: A substantial decrement in the pre- to postmatch comparison occurred in the ratio of CMJ1 Flight time:Contraction time (ES −0.65 ± 0.28). Cortisol (ES 2.34 ± 1.06) and T:C (ES −0.52 ± 0.42) displayed large pre- to postmatch changes. The response of countermovement variables at 24post and beyond compared with prematch and 48pre was varied, with only CMJ1 Flight time:Contraction time displaying a substantial decrease (ES −0.32 ± 0.26) postmatch compared with 48pre. Cortisol displayed a clear pattern of response with substantial elevations up to 24post compared with Pre and 48pre. Conclusion: CMJ1 Flight time:Contraction time appears to be the most useful variable for monitoring neuromuscular status in elite ARF players due to its substantial change compared with 48pre and prematch. Monitoring cortisol, due to its predictable pattern of response, may provide a useful measure of hormonal status.","container-title":"International Journal of Sports Physiology and Performance","DOI":"10.1123/ijspp.3.3.359","ISSN":"1555-0265, 1555-0273","issue":"3","language":"en","page":"359-374","source":"DOI.org (Crossref)","title":"Neuromuscular and endocrine responses of elite players to an australian rules football match","volume":"3","author":[{"family":"Cormack","given":"Stuart J."},{"family":"Newton","given":"Robert U."},{"family":"McGuigan","given":"Michael R."}],"issued":{"date-parts":[["2008",9]]}}},{"id":560,"uris":["http://zotero.org/users/6327055/items/2YLV39ST"],"itemData":{"id":560,"type":"article-journal","abstract":"Men and women from a southern university’s intercollegiate varsity soccer teams gave saliva samples before and after league matches. For the men, samples were collected for a single game ending in victory. For the women, samples were collected for two games, one of which ended in victory and the other in defeat. For both men and women, match competition substantially increased saliva cortisol (C) and testosterone (T). For women, play-related increases in saliva C and T were similar in victory and defeat. For both men and women, saliva T (but not C) was highly correlated with teammate ratings of playing abilities – one measure of status with teammates – and self-ratings of social connectedness with teammates, but the nature of the relationship was different according to sex. For men, play-related changes in T were positively correlated with these variables, but before-game T was not. For women, before-game T was positively related to each of these variables, but play-related changes in T were not. Status and social connectedness are pertinent to understanding interpersonal dynamics in most social groups, and these results –which link T and these variables in an athletic context – may have relevance for understanding social relationships in other settings.","container-title":"Physiology &amp; Behavior","DOI":"10.1016/j.physbeh.2005.09.007","ISSN":"00319384","issue":"1","language":"en","page":"135-143","source":"DOI.org (Crossref)","title":"Intercollegiate soccer: Saliva cortisol and testosterone are elevated during competition, and testosterone is related to status and social connectedness with teammates","title-short":"Intercollegiate soccer","volume":"87","author":[{"family":"Edwards","given":"David"},{"family":"Wetzel","given":"Karen"},{"family":"Wyner","given":"Dana"}],"issued":{"date-parts":[["2006",1,30]]}}},{"id":554,"uris":["http://zotero.org/users/6327055/items/84LIM9I5"],"itemData":{"id":554,"type":"article-journal","abstract":"Objective measures of recovery from football match-play could be useful for assessing athletes’ readiness to train, if sensitive to preceding match load. Purpose: To identify the sensitivity of countermovement-jump (CMJ) performance and concentration of salivary testosterone and cortisol relative to elite football match load. Methods: CMJ performance and salivary hormones were measured in 18 elite football players before (27-, 1-h) and after (0.5-, 18-, 42-, 66-, 90-h) three consecutive matches. Match load was determined via accelerometer derived PlayerLoad™ and praised into tertiles. Sensitivity of CMJ performance and hormone concentrations to match load was quantified with t-statistics and magnitude-based inferences (change in mean as % ± 90% confidence interval (CI)) derived with a linear mixed model. Results: Jump height was reduced in medium- and high-load at 0.5-h (10% ± 7% and 16% ± 8%) and 18-h (7% ± 4% and 9% ± 5%) post match. There was a 12% ± 7% reduction in Flight time:contraction time (FT:CT) ratio in high-load at 0.5-h post, with reductions in medium- and high-load at 18-h. Reductions in FT:CT persisted at later post-match time-points than changes in Jump height. Increased cortisol (range: 55% to 165%) and testosterone (range: 17% to 20%) was observed in all match loads at 0.5-h post with individual variability thereafter. Conclusions: Measures of CMJ performance and hormonal concentrations were sensitive to levels of A-League football match load. Although jump height was reduced immediately post-match, FT:CT provided a more sensitive measure of recovery. Football match play induces an acute hormonal response with substantial individual variability thereafter.","container-title":"International Journal of Sports Physiology and Performance","DOI":"10.1123/ijspp.2016-0522","ISSN":"1555-0265, 1555-0273","issue":"7","language":"en","page":"969-976","source":"DOI.org (Crossref)","title":"Identification of Sensitive Measures of Recovery After External Load From Football Match Play","volume":"12","author":[{"family":"Rowell","given":"Amber E."},{"family":"Aughey","given":"Robert J."},{"family":"Hopkins","given":"Will G."},{"family":"Stewart","given":"Andrew M."},{"family":"Cormack","given":"Stuart J."}],"issued":{"date-parts":[["2017",8]]}}},{"id":562,"uris":["http://zotero.org/users/6327055/items/N8H9MDDR"],"itemData":{"id":562,"type":"article-journal","container-title":"European Journal of Applied Physiology","DOI":"10.1007/s00421-013-2633-8","ISSN":"1439-6319, 1439-6327","issue":"9","language":"en","page":"2193-2201","source":"DOI.org (Crossref)","title":"Neuromuscular function, hormonal and redox status and muscle damage of professional soccer players after a high-level competitive match","volume":"113","author":[{"family":"Silva","given":"João R."},{"family":"Ascensão","given":"António"},{"family":"Marques","given":"Franklim"},{"family":"Seabra","given":"André"},{"family":"Rebelo","given":"António"},{"family":"Magalhães","given":"José"}],"issued":{"date-parts":[["2013",9]]}}},{"id":564,"uris":["http://zotero.org/users/6327055/items/3M3SRJ45"],"itemData":{"id":564,"type":"article-journal","container-title":"Journal of Strength and Conditioning Research","DOI":"10.1519/JSC.0000000000002424","ISSN":"1064-8011","issue":"9","language":"en","page":"2569-2576","source":"DOI.org (Crossref)","title":"Neuromuscular, Biochemical, Endocrine, and Mood Responses to Small-Sided Games' Training in Professional Soccer","volume":"32","author":[{"family":"Sparkes","given":"William"},{"family":"Turner","given":"Anthony"},{"family":"Weston","given":"Matthew"},{"family":"Russell","given":"Mark"},{"family":"Johnston","given":"Michael"},{"family":"Kilduff","given":"Liam"}],"issued":{"date-parts":[["2018",9]]}}}],"schema":"https://github.com/citation-style-language/schema/raw/master/csl-citation.json"} </w:instrText>
      </w:r>
      <w:r w:rsidR="001B20A6" w:rsidRPr="00012A01">
        <w:rPr>
          <w:rFonts w:ascii="Times New Roman" w:hAnsi="Times New Roman" w:cs="Times New Roman"/>
        </w:rPr>
        <w:fldChar w:fldCharType="separate"/>
      </w:r>
      <w:r w:rsidR="00FB54F1" w:rsidRPr="00012A01">
        <w:rPr>
          <w:rFonts w:ascii="Times New Roman" w:hAnsi="Times New Roman" w:cs="Times New Roman"/>
          <w:noProof/>
        </w:rPr>
        <w:t>(Cormack, Newton, &amp; McGuigan, 2008; D. Edwards et al., 2006; Rowell et al., 2017; Silva et al., 2013; Sparkes et al., 2018)</w:t>
      </w:r>
      <w:r w:rsidR="001B20A6" w:rsidRPr="00012A01">
        <w:rPr>
          <w:rFonts w:ascii="Times New Roman" w:hAnsi="Times New Roman" w:cs="Times New Roman"/>
        </w:rPr>
        <w:fldChar w:fldCharType="end"/>
      </w:r>
      <w:r w:rsidR="00842F38">
        <w:rPr>
          <w:rFonts w:ascii="Times New Roman" w:hAnsi="Times New Roman" w:cs="Times New Roman"/>
        </w:rPr>
        <w:t>.</w:t>
      </w:r>
      <w:r w:rsidR="00482306">
        <w:rPr>
          <w:rFonts w:ascii="Times New Roman" w:hAnsi="Times New Roman" w:cs="Times New Roman"/>
        </w:rPr>
        <w:t xml:space="preserve"> </w:t>
      </w:r>
      <w:r w:rsidR="00842F38">
        <w:rPr>
          <w:rFonts w:ascii="Times New Roman" w:hAnsi="Times New Roman" w:cs="Times New Roman"/>
        </w:rPr>
        <w:t>C</w:t>
      </w:r>
      <w:r w:rsidR="00482306">
        <w:rPr>
          <w:rFonts w:ascii="Times New Roman" w:hAnsi="Times New Roman" w:cs="Times New Roman"/>
        </w:rPr>
        <w:t xml:space="preserve">onflicting results also exist </w:t>
      </w:r>
      <w:r w:rsidR="007F4631">
        <w:rPr>
          <w:rFonts w:ascii="Times New Roman" w:hAnsi="Times New Roman" w:cs="Times New Roman"/>
        </w:rPr>
        <w:t xml:space="preserve">in previous studies </w:t>
      </w:r>
      <w:r w:rsidR="00842F38">
        <w:rPr>
          <w:rFonts w:ascii="Times New Roman" w:hAnsi="Times New Roman" w:cs="Times New Roman"/>
        </w:rPr>
        <w:t>reporting</w:t>
      </w:r>
      <w:r w:rsidR="00482306">
        <w:rPr>
          <w:rFonts w:ascii="Times New Roman" w:hAnsi="Times New Roman" w:cs="Times New Roman"/>
        </w:rPr>
        <w:t xml:space="preserve"> diminished T levels </w:t>
      </w:r>
      <w:r w:rsidR="004238BC">
        <w:rPr>
          <w:rFonts w:ascii="Times New Roman" w:hAnsi="Times New Roman" w:cs="Times New Roman"/>
        </w:rPr>
        <w:t xml:space="preserve">involving team sport </w:t>
      </w:r>
      <w:r w:rsidR="009750FE">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{"citationID":"vgfNP5fI","properties":{"formattedCitation":"(Romagnoli et al., 2006; West et al., 2014)","plainCitation":"(Romagnoli et al., 2006; West et al., 2014)","noteIndex":0},"citationItems":[{"id":567,"uris":["http://zotero.org/users/6327055/items/6TRFH6IX"],"itemData":{"id":567,"type":"article-journal","container-title":"The Journal of Sports Medicine and Physical Fitness","issue":"10","page":"1198-1205","title":"Changes in muscle damage, inflammation, and fatigue-related parameters in young elite soccer players after a match","volume":"56","author":[{"family":"Romagnoli","given":"Marco"},{"family":"Sanchis-Gomar","given":"Fabian"},{"family":"Alis","given":"Rafael"},{"family":"Risso-Ballester","given":"Jennifer"},{"family":"Bosio","given":"Andrea"},{"family":"Graziani","given":"Rosa"},{"family":"Rampinini","given":"Ermanno"}],"issued":{"date-parts":[["2006"]]}}},{"id":570,"uris":["http://zotero.org/users/6327055/items/EZXTICAJ"],"itemData":{"id":570,"type":"article-journal","container-title":"Journal of Strength and Conditioning Research","DOI":"10.1519/JSC.0b013e318291b726","ISSN":"1064-8011","issue":"1","language":"en","page":"194-200","source":"DOI.org (Crossref)","title":"Neuromuscular Function, Hormonal, and Mood Responses to a Professional Rugby Union Match","volume":"28","author":[{"family":"West","given":"Daniel J."},{"family":"Finn","given":"Charlotte V."},{"family":"Cunningham","given":"Daniel J."},{"family":"Shearer","given":"David A."},{"family":"Jones","given":"Marc R."},{"family":"Harrington","given":"Bradley J."},{"family":"Crewther","given":"Blair T."},{"family":"Cook","given":"Christian J."},{"family":"Kilduff","given":"Liam P."}],"issued":{"date-parts":[["2014",1]]}}}],"schema":"https://github.com/citation-style-language/schema/raw/master/csl-citation.json"} </w:instrText>
      </w:r>
      <w:r w:rsidR="009750FE">
        <w:rPr>
          <w:rFonts w:ascii="Times New Roman" w:hAnsi="Times New Roman" w:cs="Times New Roman"/>
        </w:rPr>
        <w:fldChar w:fldCharType="separate"/>
      </w:r>
      <w:r w:rsidR="009750FE">
        <w:rPr>
          <w:rFonts w:ascii="Times New Roman" w:hAnsi="Times New Roman" w:cs="Times New Roman"/>
          <w:noProof/>
        </w:rPr>
        <w:t>(Romagnoli et al., 2006; West et al., 2014)</w:t>
      </w:r>
      <w:r w:rsidR="009750FE">
        <w:rPr>
          <w:rFonts w:ascii="Times New Roman" w:hAnsi="Times New Roman" w:cs="Times New Roman"/>
        </w:rPr>
        <w:fldChar w:fldCharType="end"/>
      </w:r>
      <w:r w:rsidR="00482306">
        <w:rPr>
          <w:rFonts w:ascii="Times New Roman" w:hAnsi="Times New Roman" w:cs="Times New Roman"/>
        </w:rPr>
        <w:t xml:space="preserve">. </w:t>
      </w:r>
      <w:r w:rsidR="000D27A1">
        <w:rPr>
          <w:rFonts w:ascii="Times New Roman" w:hAnsi="Times New Roman" w:cs="Times New Roman"/>
        </w:rPr>
        <w:t xml:space="preserve">In addition, </w:t>
      </w:r>
      <w:r w:rsidR="004C1B6F">
        <w:rPr>
          <w:rFonts w:ascii="Times New Roman" w:hAnsi="Times New Roman" w:cs="Times New Roman"/>
        </w:rPr>
        <w:t xml:space="preserve">T displayed a medium effect </w:t>
      </w:r>
      <w:r w:rsidR="00842F38">
        <w:rPr>
          <w:rFonts w:ascii="Times New Roman" w:hAnsi="Times New Roman" w:cs="Times New Roman"/>
        </w:rPr>
        <w:t xml:space="preserve">size </w:t>
      </w:r>
      <w:r w:rsidR="004C1B6F">
        <w:rPr>
          <w:rFonts w:ascii="Times New Roman" w:hAnsi="Times New Roman" w:cs="Times New Roman"/>
        </w:rPr>
        <w:t xml:space="preserve">from Pre to Post in Week 1, yet in Week 4 we observed a large effect </w:t>
      </w:r>
      <w:r w:rsidR="00842F38">
        <w:rPr>
          <w:rFonts w:ascii="Times New Roman" w:hAnsi="Times New Roman" w:cs="Times New Roman"/>
        </w:rPr>
        <w:t xml:space="preserve">size </w:t>
      </w:r>
      <w:r w:rsidR="004C1B6F">
        <w:rPr>
          <w:rFonts w:ascii="Times New Roman" w:hAnsi="Times New Roman" w:cs="Times New Roman"/>
        </w:rPr>
        <w:t xml:space="preserve">from Pre to Post. </w:t>
      </w:r>
      <w:r w:rsidR="009F49FB">
        <w:rPr>
          <w:rFonts w:ascii="Times New Roman" w:hAnsi="Times New Roman" w:cs="Times New Roman"/>
        </w:rPr>
        <w:t>The result of an enhanced T response suggests that the players have an i</w:t>
      </w:r>
      <w:r w:rsidR="00842F38">
        <w:rPr>
          <w:rFonts w:ascii="Times New Roman" w:hAnsi="Times New Roman" w:cs="Times New Roman"/>
        </w:rPr>
        <w:t>mproved</w:t>
      </w:r>
      <w:r w:rsidR="009F49FB">
        <w:rPr>
          <w:rFonts w:ascii="Times New Roman" w:hAnsi="Times New Roman" w:cs="Times New Roman"/>
        </w:rPr>
        <w:t xml:space="preserve"> training status</w:t>
      </w:r>
      <w:r w:rsidR="008D074F">
        <w:rPr>
          <w:rFonts w:ascii="Times New Roman" w:hAnsi="Times New Roman" w:cs="Times New Roman"/>
        </w:rPr>
        <w:t xml:space="preserve"> </w:t>
      </w:r>
      <w:r w:rsidR="00E32C51">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{"citationID":"Cp7gEFK8","properties":{"formattedCitation":"(Pliauga et al., 2015)","plainCitation":"(Pliauga et al., 2015)","noteIndex":0},"citationItems":[{"id":362,"uris":["http://zotero.org/users/6327055/items/MV7J8JRT"],"itemData":{"id":362,"type":"article-journal","abstract":"Despite extensive data regarding the demands of playing basketball, the relative importance of factors that cause fatigue and muscle potentiation has been explored only tentatively and remains unclear. The aim of this experimental field study was to assess changes in leg muscle power and relate these changes to body temperature modifications and indices of exercise-induced muscle damage in response to a simulated basketball game. College-level male basketball players (n=10) were divided into two teams to play a simulated basketball game. Ten-meter sprint and vertical counter-movement jump tests, core body temperature and creatine-kinase activity were measured within 48 h after the game. The participants’ body temperatures increased after a warm-up (1.9%, p&lt;0.05), continued to increase throughout the game, and reached 39.4 ± 0.4ºC after the fourth quarter (p&lt;0.05). The increase in temperature during the warm-up was accompanied by an improvement in the 10-meter sprint time (5.5%, p&lt;0.05) and jump height (3.8%, p&lt;0.05). The players were able to maintain leg power up to the fourth quarter, i.e., during the major part of the basketball game. There was a significant increase in creatine-kinase at 24 h (&gt;200%, p&lt;0.05) and 48 h (&gt;30%, p&lt;0.05) after the game, indicating damage to the players’ muscles. The basketball players’ sprint and jump performance appear to be at least in part associated with body temperature changes, which might contribute to counteract fatigue during the larger part of a basketball game.","container-title":"Journal of Human Kinetics","DOI":"10.1515/hukin-2015-0045","ISSN":"1899-7562","issue":"1","language":"en","page":"167-175","source":"DOI.org (Crossref)","title":"The effect of a simulated basketball game on players’ sprint and jump performance, temperature and muscle damage","volume":"46","author":[{"family":"Pliauga","given":"Vytautas"},{"family":"Kamandulis","given":"Sigitas"},{"family":"Dargevičiūtė","given":"Gintarė"},{"family":"Jaszczanin","given":"Jan"},{"family":"Klizienė","given":"Irina"},{"family":"Stanislovaitienė","given":"Jūratė"},{"family":"Stanislovaitis","given":"Aleksas"}],"issued":{"date-parts":[["2015",6,1]]}}}],"schema":"https://github.com/citation-style-language/schema/raw/master/csl-citation.json"} </w:instrText>
      </w:r>
      <w:r w:rsidR="00E32C51">
        <w:rPr>
          <w:rFonts w:ascii="Times New Roman" w:hAnsi="Times New Roman" w:cs="Times New Roman"/>
        </w:rPr>
        <w:fldChar w:fldCharType="separate"/>
      </w:r>
      <w:r w:rsidR="00E32C51">
        <w:rPr>
          <w:rFonts w:ascii="Times New Roman" w:hAnsi="Times New Roman" w:cs="Times New Roman"/>
          <w:noProof/>
        </w:rPr>
        <w:t>(Pliauga et al., 2015)</w:t>
      </w:r>
      <w:r w:rsidR="00E32C51">
        <w:rPr>
          <w:rFonts w:ascii="Times New Roman" w:hAnsi="Times New Roman" w:cs="Times New Roman"/>
        </w:rPr>
        <w:fldChar w:fldCharType="end"/>
      </w:r>
      <w:r w:rsidR="009F49FB">
        <w:rPr>
          <w:rFonts w:ascii="Times New Roman" w:hAnsi="Times New Roman" w:cs="Times New Roman"/>
        </w:rPr>
        <w:t xml:space="preserve">. </w:t>
      </w:r>
      <w:r w:rsidR="001856CA">
        <w:rPr>
          <w:rFonts w:ascii="Times New Roman" w:hAnsi="Times New Roman" w:cs="Times New Roman"/>
        </w:rPr>
        <w:t xml:space="preserve">Further, there could be other adaptations of enhanced synthesis, storage, </w:t>
      </w:r>
      <w:r w:rsidR="00B937EC">
        <w:rPr>
          <w:rFonts w:ascii="Times New Roman" w:hAnsi="Times New Roman" w:cs="Times New Roman"/>
        </w:rPr>
        <w:t xml:space="preserve">or </w:t>
      </w:r>
      <w:r w:rsidR="001856CA">
        <w:rPr>
          <w:rFonts w:ascii="Times New Roman" w:hAnsi="Times New Roman" w:cs="Times New Roman"/>
        </w:rPr>
        <w:t xml:space="preserve">transport </w:t>
      </w:r>
      <w:r w:rsidR="001856CA">
        <w:rPr>
          <w:rFonts w:ascii="Times New Roman" w:hAnsi="Times New Roman" w:cs="Times New Roman"/>
        </w:rPr>
        <w:lastRenderedPageBreak/>
        <w:t>mechanisms</w:t>
      </w:r>
      <w:r w:rsidR="00B937EC">
        <w:rPr>
          <w:rFonts w:ascii="Times New Roman" w:hAnsi="Times New Roman" w:cs="Times New Roman"/>
        </w:rPr>
        <w:t xml:space="preserve"> such as regulation of the receptor concentrations </w:t>
      </w:r>
      <w:r w:rsidR="00A22AA8">
        <w:rPr>
          <w:rFonts w:ascii="Times New Roman" w:hAnsi="Times New Roman" w:cs="Times New Roman"/>
        </w:rPr>
        <w:fldChar w:fldCharType="begin"/>
      </w:r>
      <w:r w:rsidR="00A22AA8">
        <w:rPr>
          <w:rFonts w:ascii="Times New Roman" w:hAnsi="Times New Roman" w:cs="Times New Roman"/>
        </w:rPr>
        <w:instrText xml:space="preserve"> ADDIN ZOTERO_ITEM CSL_CITATION {"citationID":"xU4N9H4g","properties":{"formattedCitation":"(Gharahdaghi et al., 2021; Kraemer et al., 2020)","plainCitation":"(Gharahdaghi et al., 2021; Kraemer et al., 2020)","noteIndex":0},"citationItems":[{"id":607,"uris":["http://zotero.org/users/6327055/items/2FGPN3BC"],"itemData":{"id":607,"type":"article-journal","abstract":"Maintenance of skeletal muscle mass throughout the life course is key for the regulation of health, with physical activity a critical component of this, in part, due to its inﬂuence upon key hormones such as testosterone, estrogen, growth hormone (GH), and insulin-like growth factor (IGF). Despite the importance of these hormones for the regulation of skeletal muscle mass in response to different types of exercise, their interaction with the processes controlling muscle mass remain unclear. This review presents evidence on the importance of these hormones in the regulation of skeletal muscle mass and their responses, and involvement in muscle adaptation to resistance exercise. Highlighting the key role testosterone plays as a primary anabolic hormone in muscle adaptation following exercise training, through its interaction with anabolic signaling pathways and other hormones via the androgen receptor (AR), this review also describes the potential importance of ﬂuctuations in other hormones such as GH and IGF-1 in concert with dietary amino acid availability; and the role of estrogen, under the inﬂuence of the menstrual cycle and menopause, being especially important in adaptive exercise responses in women. Finally, the downstream mechanisms by which these hormones impact regulation of muscle protein turnover (synthesis and breakdown), and thus muscle mass are discussed. Advances in our understanding of hormones that impact protein turnover throughout life offers great relevance, not just for athletes, but also for the general and clinical populations alike.","container-title":"Frontiers in Physiology","DOI":"10.3389/fphys.2020.621226","ISSN":"1664-042X","journalAbbreviation":"Front. Physiol.","language":"en","page":"621226","source":"DOI.org (Crossref)","title":"Links between testosterone, oestrogen, and the growth hormone/insulin-like growth factor axis and resistance exercise muscle adaptations","volume":"11","author":[{"family":"Gharahdaghi","given":"Nima"},{"family":"Phillips","given":"Bethan E."},{"family":"Szewczyk","given":"Nathaniel J."},{"family":"Smith","given":"Ken"},{"family":"Wilkinson","given":"Daniel J."},{"family":"Atherton","given":"Philip J."}],"issued":{"date-parts":[["2021",1,15]]}}},{"id":605,"uris":["http://zotero.org/users/6327055/items/K6MDES3W"],"itemData":{"id":605,"type":"article-journal","container-title":"Frontiers in Endocrinology","DOI":"10.3389/fendo.2020.00033","ISSN":"1664-2392","journalAbbreviation":"Front. Endocrinol.","language":"en","page":"33","source":"DOI.org (Crossref)","title":"Growth hormone(s), testosterone, insulin-like growth factors, and cortisol: roles and integration for cellular development and growth with exercise","title-short":"Growth Hormone(s), Testosterone, Insulin-Like Growth Factors, and Cortisol","volume":"11","author":[{"family":"Kraemer","given":"William J."},{"family":"Ratamess","given":"Nicholas A."},{"family":"Hymer","given":"Wesley C."},{"family":"Nindl","given":"Bradley C."},{"family":"Fragala","given":"Maren S."}],"issued":{"date-parts":[["2020",2,25]]}}}],"schema":"https://github.com/citation-style-language/schema/raw/master/csl-citation.json"} </w:instrText>
      </w:r>
      <w:r w:rsidR="00A22AA8">
        <w:rPr>
          <w:rFonts w:ascii="Times New Roman" w:hAnsi="Times New Roman" w:cs="Times New Roman"/>
        </w:rPr>
        <w:fldChar w:fldCharType="separate"/>
      </w:r>
      <w:r w:rsidR="00A22AA8">
        <w:rPr>
          <w:rFonts w:ascii="Times New Roman" w:hAnsi="Times New Roman" w:cs="Times New Roman"/>
          <w:noProof/>
        </w:rPr>
        <w:t>(Gharahdaghi et al., 2021; Kraemer et al., 2020)</w:t>
      </w:r>
      <w:r w:rsidR="00A22AA8">
        <w:rPr>
          <w:rFonts w:ascii="Times New Roman" w:hAnsi="Times New Roman" w:cs="Times New Roman"/>
        </w:rPr>
        <w:fldChar w:fldCharType="end"/>
      </w:r>
      <w:r w:rsidR="001856CA">
        <w:rPr>
          <w:rFonts w:ascii="Times New Roman" w:hAnsi="Times New Roman" w:cs="Times New Roman"/>
        </w:rPr>
        <w:t xml:space="preserve">. </w:t>
      </w:r>
      <w:r w:rsidR="009F49FB">
        <w:rPr>
          <w:rFonts w:ascii="Times New Roman" w:hAnsi="Times New Roman" w:cs="Times New Roman"/>
        </w:rPr>
        <w:t>Moreover, these findings are in agree</w:t>
      </w:r>
      <w:r w:rsidR="00842F38">
        <w:rPr>
          <w:rFonts w:ascii="Times New Roman" w:hAnsi="Times New Roman" w:cs="Times New Roman"/>
        </w:rPr>
        <w:t>ment</w:t>
      </w:r>
      <w:r w:rsidR="009F49FB">
        <w:rPr>
          <w:rFonts w:ascii="Times New Roman" w:hAnsi="Times New Roman" w:cs="Times New Roman"/>
        </w:rPr>
        <w:t xml:space="preserve"> with </w:t>
      </w:r>
      <w:proofErr w:type="spellStart"/>
      <w:r w:rsidR="009F49FB" w:rsidRPr="003E732E">
        <w:rPr>
          <w:rFonts w:ascii="Times New Roman" w:hAnsi="Times New Roman" w:cs="Times New Roman"/>
        </w:rPr>
        <w:t>Heishman</w:t>
      </w:r>
      <w:proofErr w:type="spellEnd"/>
      <w:r w:rsidR="009F49FB" w:rsidRPr="003E732E">
        <w:rPr>
          <w:rFonts w:ascii="Times New Roman" w:hAnsi="Times New Roman" w:cs="Times New Roman"/>
        </w:rPr>
        <w:t xml:space="preserve"> </w:t>
      </w:r>
      <w:r w:rsidR="00842F38">
        <w:rPr>
          <w:rFonts w:ascii="Times New Roman" w:hAnsi="Times New Roman" w:cs="Times New Roman"/>
        </w:rPr>
        <w:t>(</w:t>
      </w:r>
      <w:r w:rsidR="003E732E">
        <w:rPr>
          <w:rFonts w:ascii="Times New Roman" w:hAnsi="Times New Roman" w:cs="Times New Roman"/>
        </w:rPr>
        <w:t>2020</w:t>
      </w:r>
      <w:r w:rsidR="00842F38">
        <w:rPr>
          <w:rFonts w:ascii="Times New Roman" w:hAnsi="Times New Roman" w:cs="Times New Roman"/>
        </w:rPr>
        <w:t>)</w:t>
      </w:r>
      <w:r w:rsidR="009F49FB">
        <w:rPr>
          <w:rFonts w:ascii="Times New Roman" w:hAnsi="Times New Roman" w:cs="Times New Roman"/>
        </w:rPr>
        <w:t xml:space="preserve"> that </w:t>
      </w:r>
      <w:r w:rsidR="00842F38">
        <w:rPr>
          <w:rFonts w:ascii="Times New Roman" w:hAnsi="Times New Roman" w:cs="Times New Roman"/>
        </w:rPr>
        <w:t>found</w:t>
      </w:r>
      <w:r w:rsidR="009F49FB">
        <w:rPr>
          <w:rFonts w:ascii="Times New Roman" w:hAnsi="Times New Roman" w:cs="Times New Roman"/>
        </w:rPr>
        <w:t xml:space="preserve"> increases in T </w:t>
      </w:r>
      <w:r w:rsidR="00D2200B">
        <w:rPr>
          <w:rFonts w:ascii="Times New Roman" w:hAnsi="Times New Roman" w:cs="Times New Roman"/>
        </w:rPr>
        <w:t xml:space="preserve">for intercollegiate male basketball players </w:t>
      </w:r>
      <w:r w:rsidR="009F49FB">
        <w:rPr>
          <w:rFonts w:ascii="Times New Roman" w:hAnsi="Times New Roman" w:cs="Times New Roman"/>
        </w:rPr>
        <w:t>following</w:t>
      </w:r>
      <w:r w:rsidR="00D2200B">
        <w:rPr>
          <w:rFonts w:ascii="Times New Roman" w:hAnsi="Times New Roman" w:cs="Times New Roman"/>
        </w:rPr>
        <w:t xml:space="preserve"> </w:t>
      </w:r>
      <w:r w:rsidR="009F49FB">
        <w:rPr>
          <w:rFonts w:ascii="Times New Roman" w:hAnsi="Times New Roman" w:cs="Times New Roman"/>
        </w:rPr>
        <w:t xml:space="preserve">practice regardless of the varying </w:t>
      </w:r>
      <w:proofErr w:type="spellStart"/>
      <w:r w:rsidR="009F49FB">
        <w:rPr>
          <w:rFonts w:ascii="Times New Roman" w:hAnsi="Times New Roman" w:cs="Times New Roman"/>
        </w:rPr>
        <w:t>eTL</w:t>
      </w:r>
      <w:proofErr w:type="spellEnd"/>
      <w:r w:rsidR="009F49FB">
        <w:rPr>
          <w:rFonts w:ascii="Times New Roman" w:hAnsi="Times New Roman" w:cs="Times New Roman"/>
        </w:rPr>
        <w:t xml:space="preserve"> demands. </w:t>
      </w:r>
      <w:r w:rsidR="00DB4C28">
        <w:rPr>
          <w:rFonts w:ascii="Times New Roman" w:hAnsi="Times New Roman" w:cs="Times New Roman"/>
        </w:rPr>
        <w:t xml:space="preserve">However, these findings could also be due to the fluctuations in Body Mass significantly decreasing in Week 4 indicating that there may have been dehydration leading to higher concentrations of the hormone detected. </w:t>
      </w:r>
      <w:r w:rsidR="006E796A">
        <w:rPr>
          <w:rFonts w:ascii="Times New Roman" w:hAnsi="Times New Roman" w:cs="Times New Roman"/>
        </w:rPr>
        <w:t xml:space="preserve">Other mechanisms could also be at play including secretion rate, metabolic clearance rate, dietary status, or simply the large hormonal variability within individuals.  </w:t>
      </w:r>
    </w:p>
    <w:p w14:paraId="20888177" w14:textId="75A8131F" w:rsidR="00D9056D" w:rsidRDefault="007F5D95" w:rsidP="00501E0A">
      <w:pPr>
        <w:spacing w:line="480" w:lineRule="auto"/>
        <w:jc w:val="both"/>
        <w:rPr>
          <w:rFonts w:ascii="Times New Roman" w:hAnsi="Times New Roman" w:cs="Times New Roman"/>
        </w:rPr>
      </w:pPr>
      <w:r>
        <w:rPr>
          <w:rFonts w:ascii="Times New Roman" w:hAnsi="Times New Roman" w:cs="Times New Roman"/>
        </w:rPr>
        <w:tab/>
        <w:t>C levels significantly increased from the average of Week 1 and Week 4 Pre values to the average of Week 1 and Week 4 Post values</w:t>
      </w:r>
      <w:r w:rsidR="00ED216A">
        <w:rPr>
          <w:rFonts w:ascii="Times New Roman" w:hAnsi="Times New Roman" w:cs="Times New Roman"/>
        </w:rPr>
        <w:t>. In addition, C exhibited a significant increase from Pre to Post in Week 1</w:t>
      </w:r>
      <w:r w:rsidR="000D6DA0">
        <w:rPr>
          <w:rFonts w:ascii="Times New Roman" w:hAnsi="Times New Roman" w:cs="Times New Roman"/>
        </w:rPr>
        <w:t xml:space="preserve"> congruent with well documented findings in </w:t>
      </w:r>
      <w:r w:rsidR="00DF3AC9">
        <w:rPr>
          <w:rFonts w:ascii="Times New Roman" w:hAnsi="Times New Roman" w:cs="Times New Roman"/>
        </w:rPr>
        <w:t>the basketball</w:t>
      </w:r>
      <w:r w:rsidR="000D6DA0">
        <w:rPr>
          <w:rFonts w:ascii="Times New Roman" w:hAnsi="Times New Roman" w:cs="Times New Roman"/>
        </w:rPr>
        <w:t xml:space="preserve"> literature</w:t>
      </w:r>
      <w:r w:rsidR="00BE6AEC">
        <w:rPr>
          <w:rFonts w:ascii="Times New Roman" w:hAnsi="Times New Roman" w:cs="Times New Roman"/>
        </w:rPr>
        <w:t xml:space="preserve"> </w:t>
      </w:r>
      <w:r w:rsidR="000D6DA0">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{"citationID":"4325TZdJ","properties":{"formattedCitation":"(Arruda et al., 2014, 2017; Chatzinikolaou et al., 2014; Gonzalez-Bono et al., 1999; Moreira et al., 2012)","plainCitation":"(Arruda et al., 2014, 2017; Chatzinikolaou et al., 2014; Gonzalez-Bono et al., 1999; Moreira et al., 2012)","noteIndex":0},"citationItems":[{"id":121,"uris":["http://zotero.org/users/6327055/items/ISQ3B27D"],"itemData":{"id":121,"type":"article-journal","abstract":"This study examined the inﬂuence of competition playing venue on the hormonal responses, state anxiety and perception of effort in elite basketball players. Eighteen males from two basketball teams were monitored during two competitive matches that were played against each other on a home and away basis. Salivary testosterone (T) and cortisol (C) concentrations were measured before and after each match. The Competitive State Anxiety Inventory-2 (CSAI-2) test was also administrated prior to each match and session ratings of perceived exertion (RPE) were taken post-game. Playing at home was accompanied by elevated pre-match T concentration, as compared to playing away (p b 0.05). The matches played at home were also won. Salivary T and C concentrations were similarly elevated across the matches (percent changes from pre to post) played either at home or away. No signiﬁcant differences in state anxiety and perception of effort were identiﬁed between the playing venues. Pre-match T and C concentrations and the percent changes in these hormones were signiﬁcantly related to somatic anxiety, especially when playing at home (p b 0.05). In conclusion, the competition playing venue appeared to inﬂuence athlete salivary hormonal responses prior to elite basketball matches. These hormonal responses were associated with player's anxiety state, which might contribute to performance and the eventual match outcomes.","container-title":"Physiology &amp; Behavior","DOI":"10.1016/j.physbeh.2014.03.007","ISSN":"00319384","journalAbbreviation":"Physiology &amp; Behavior","language":"en","page":"1-5","source":"DOI.org (Crossref)","title":"Influence of competition playing venue on the hormonal responses, state anxiety and perception of effort in elite basketball athletes","volume":"130","author":[{"family":"Arruda","given":"Ademir F.S."},{"family":"Aoki","given":"Marcelo S."},{"family":"Freitas","given":"Camila G."},{"family":"Drago","given":"Gustavo"},{"family":"Oliveira","given":"Roney"},{"family":"Crewther","given":"Blair T."},{"family":"Moreira","given":"Alexandre"}],"issued":{"date-parts":[["2014",5]]}}},{"id":122,"uris":["http://zotero.org/users/6327055/items/B6JYW9VP"],"itemData":{"id":122,"type":"article-journal","abstract":"This study examined the eﬀect of playing matches against diﬀerent opponent teams (hard match; HM, medium match; MM, and easy match; EM) on pre-match testosterone concentration (T), pre-to-post match cortisol (C) concentration, and pre-competitive anxiety (CSAI-2 questionnaire) in 20 elite male basketball players. One training session (TS) was also assessed (control condition). Saliva steroids were determined by ELISA. The pre-T concentration was signiﬁcantly lower for the TS (163 ± 54 pmol L−1), compared to the three oﬃcial matches (EM: 208 ± 82 pmol L− 1, MM: 213 ± 57 pmol L−1, and HM: 218 ± 37 pmol L−1) (p &lt; 0.05). A signiﬁcant change in C from pre-to-post was observed for all conditions (TS [5.8 ± 3.7 vs 14.4 ± 9.4 ƞmol L− 1], EM [10.1 ± 4.9 vs 17.3 ± 10.2 ƞmol L− 1], MM [13.0 ± 7.4 vs 21.5 ± 8.3 ƞmol L−1], and HM [18.9 ± 5.8 vs 31.4 ± 5.3 ƞmol L− 1] (p &lt; 0.05). A higher PRE-C was observed for the HM, compared to TS and EM (p &lt; 0.05) and a higher POST-C concentration for the HM was detected, compared to the TS, EM, and MM (p &lt; 0.05). A lower anxiety level was observed for the EM (somatic: 15.0 ± 3.7; cognitive: 15.8 ± 4.5 arbitrary units [AU]) compared, to the MM (somatic: 16.4 ± 3.5; cognitive: 17.7 ± 4.0 AU) and HM (somatic: 15.8 ± 3.9; cognitive: 18.3 ± 3.9 AU) (p &lt; 0.05) and a higher self-conﬁdence was observed for the TS (28.9 ± 5.1 AU), compared to the HM (26.7 ± 3.0 AU) (p &lt; 0.05). These results suggest that playing against a high-level opponent may cause a higher psychobiological stress, likely because opponent level may be perceived as threating to the social status in a given hierarchy.","container-title":"Physiology &amp; Behavior","DOI":"10.1016/j.physbeh.2017.05.017","ISSN":"00319384","journalAbbreviation":"Physiology &amp; Behavior","language":"en","page":"291-296","source":"DOI.org (Crossref)","title":"Salivary steroid response and competitive anxiety in elite basketball players: effect of opponent level","title-short":"Salivary steroid response and competitive anxiety in elite basketball players","volume":"177","author":[{"family":"Arruda","given":"Ademir F.S."},{"family":"Aoki","given":"Marcelo S."},{"family":"Paludo","given":"Ana Carolina"},{"family":"Moreira","given":"Alexandre"}],"issued":{"date-parts":[["2017",8]]}}},{"id":364,"uris":["http://zotero.org/users/6327055/items/WJ9UHMCD"],"itemData":{"id":364,"type":"article-journal","abstract":"Basketball incorporates intense eccentric muscle activity that induces muscle microtrauma and an inﬂammatory response. This study investigated time-dependent inﬂammatory and performance responses during a weekly microcycle after a basketball match. Twenty elite-standard players underwent a trial that comprised a match followed by a 6-day simulated in-season microcycle. The trial was preceded by a control condition that did not have a match. Blood sampling and tests of maximal-intensity exercise performance and muscle damage occurred before each condition, immediately after the match and daily thereafter for 6 consecutive days. The match induced marked increases in heart rate, lactate, ammonia, glucose, non-esteriﬁed fatty acids and triglycerides. Performance deteriorated for 24–48 h after the match, whereas knee ﬂexor and extensor soreness increased for 48 and 24 h post-match, respectively. Inﬂammatory (leukocytes, C-reactive protein, creatine kinase activity, adhesion molecules, cortisol, uric acid and cytokines) and oxidative stress (malondialdehyde, protein carbonyls, oxidised glutathione, antioxidant capacity, catalase and glutathione peroxidase) markers increased for ~24 h and subsided thereafter. Reduced glutathione declined for 24 h after exercise. These results suggest that a basketball match elicits moderate and relatively brief (~24–48 h) inﬂammatory responses, is associated with marked but short-lived performance deterioration, but is less stressful than other intermittent-type sports.","container-title":"Journal of Sports Sciences","DOI":"10.1080/02640414.2013.865251","ISSN":"0264-0414, 1466-447X","issue":"9","journalAbbreviation":"Journal of Sports Sciences","language":"en","page":"870-882","source":"DOI.org (Crossref)","title":"The microcycle of inflammation and performance changes after a basketball match","volume":"32","author":[{"family":"Chatzinikolaou","given":"Athanasios"},{"family":"Draganidis","given":"Dimitrios"},{"family":"Avloniti","given":"Alexandra"},{"family":"Karipidis","given":"Alexandros"},{"family":"Jamurtas","given":"Athanasios Z"},{"family":"Skevaki","given":"Chrysanthi L"},{"family":"Tsoukas","given":"Dimitrios"},{"family":"Sovatzidis","given":"Apostolis"},{"family":"Theodorou","given":"Anastasios"},{"family":"Kambas","given":"Antonis"},{"family":"Papassotiriou","given":"Ioannis"},{"family":"Taxildaris","given":"Kyriakos"},{"family":"Fatouros","given":"Ioannis"}],"issued":{"date-parts":[["2014",5,28]]}}},{"id":394,"uris":["http://zotero.org/users/6327055/items/P6UIWWRC"],"itemData":{"id":394,"type":"article-journal","container-title":"Hormones and Behavior","DOI":"10.1006/hbeh.1998.1496","ISSN":"0018506X","issue":"1","journalAbbreviation":"Hormones and Behavior","language":"en","page":"55-62","source":"DOI.org (Crossref)","title":"Testosterone, cortisol, and mood in a sports team competition","volume":"35","author":[{"family":"Gonzalez-Bono","given":"E."},{"family":"Salvador","given":"A."},{"family":"Serrano","given":"M.A."},{"family":"Ricarte","given":"J."}],"issued":{"date-parts":[["1999",2]]}}},{"id":572,"uris":["http://zotero.org/users/6327055/items/9BHFJ8RE"],"itemData":{"id":572,"type":"article-journal","container-title":"The Journal of Sports Medicine and Physical Fitness","issue":"6","language":"en","page":"7","source":"Zotero","title":"Session rpe and salivary immune-endocrine responses to simulated and official basketball matches in elite young male athletes","volume":"52","author":[{"family":"Moreira","given":"A"},{"family":"Crewther","given":"B"},{"family":"Freitas","given":"C G"},{"family":"Arruda","given":"A F S"},{"family":"Costa","given":"E C"},{"family":"Aoki","given":"M S"}],"issued":{"date-parts":[["2012"]]}}}],"schema":"https://github.com/citation-style-language/schema/raw/master/csl-citation.json"} </w:instrText>
      </w:r>
      <w:r w:rsidR="000D6DA0">
        <w:rPr>
          <w:rFonts w:ascii="Times New Roman" w:hAnsi="Times New Roman" w:cs="Times New Roman"/>
        </w:rPr>
        <w:fldChar w:fldCharType="separate"/>
      </w:r>
      <w:r w:rsidR="00960CDC">
        <w:rPr>
          <w:rFonts w:ascii="Times New Roman" w:hAnsi="Times New Roman" w:cs="Times New Roman"/>
          <w:noProof/>
        </w:rPr>
        <w:t>(Arruda et al., 2014, 2017; Chatzinikolaou et al., 2014; Gonzalez-Bono et al., 1999; Moreira et al., 2012)</w:t>
      </w:r>
      <w:r w:rsidR="000D6DA0">
        <w:rPr>
          <w:rFonts w:ascii="Times New Roman" w:hAnsi="Times New Roman" w:cs="Times New Roman"/>
        </w:rPr>
        <w:fldChar w:fldCharType="end"/>
      </w:r>
      <w:r w:rsidR="000D6DA0">
        <w:rPr>
          <w:rFonts w:ascii="Times New Roman" w:hAnsi="Times New Roman" w:cs="Times New Roman"/>
        </w:rPr>
        <w:t>.</w:t>
      </w:r>
      <w:r w:rsidR="00ED216A">
        <w:rPr>
          <w:rFonts w:ascii="Times New Roman" w:hAnsi="Times New Roman" w:cs="Times New Roman"/>
        </w:rPr>
        <w:t xml:space="preserve"> </w:t>
      </w:r>
      <w:r w:rsidR="000D6DA0">
        <w:rPr>
          <w:rFonts w:ascii="Times New Roman" w:hAnsi="Times New Roman" w:cs="Times New Roman"/>
        </w:rPr>
        <w:t>H</w:t>
      </w:r>
      <w:r w:rsidR="00ED216A">
        <w:rPr>
          <w:rFonts w:ascii="Times New Roman" w:hAnsi="Times New Roman" w:cs="Times New Roman"/>
        </w:rPr>
        <w:t xml:space="preserve">owever, this difference did not appear in Week 4. </w:t>
      </w:r>
      <w:r w:rsidR="007479B7">
        <w:rPr>
          <w:rFonts w:ascii="Times New Roman" w:hAnsi="Times New Roman" w:cs="Times New Roman"/>
        </w:rPr>
        <w:t xml:space="preserve">Furthermore, C showed a large effect from Pre to Post in Week 1, whereas in Week 4 C </w:t>
      </w:r>
      <w:r w:rsidR="00DB6A07">
        <w:rPr>
          <w:rFonts w:ascii="Times New Roman" w:hAnsi="Times New Roman" w:cs="Times New Roman"/>
        </w:rPr>
        <w:t xml:space="preserve">only </w:t>
      </w:r>
      <w:r w:rsidR="007479B7">
        <w:rPr>
          <w:rFonts w:ascii="Times New Roman" w:hAnsi="Times New Roman" w:cs="Times New Roman"/>
        </w:rPr>
        <w:t xml:space="preserve">presented a small effect from Pre to Post. </w:t>
      </w:r>
      <w:r w:rsidR="00ED216A">
        <w:rPr>
          <w:rFonts w:ascii="Times New Roman" w:hAnsi="Times New Roman" w:cs="Times New Roman"/>
        </w:rPr>
        <w:t xml:space="preserve">These results were </w:t>
      </w:r>
      <w:r w:rsidR="007479B7">
        <w:rPr>
          <w:rFonts w:ascii="Times New Roman" w:hAnsi="Times New Roman" w:cs="Times New Roman"/>
        </w:rPr>
        <w:t xml:space="preserve">also </w:t>
      </w:r>
      <w:r w:rsidR="00ED216A">
        <w:rPr>
          <w:rFonts w:ascii="Times New Roman" w:hAnsi="Times New Roman" w:cs="Times New Roman"/>
        </w:rPr>
        <w:t xml:space="preserve">reflected in the absolute changes in </w:t>
      </w:r>
      <w:r w:rsidR="00AC5658">
        <w:rPr>
          <w:rFonts w:ascii="Times New Roman" w:hAnsi="Times New Roman" w:cs="Times New Roman"/>
        </w:rPr>
        <w:t xml:space="preserve">C </w:t>
      </w:r>
      <w:r w:rsidR="00ED216A">
        <w:rPr>
          <w:rFonts w:ascii="Times New Roman" w:hAnsi="Times New Roman" w:cs="Times New Roman"/>
        </w:rPr>
        <w:t>concentration</w:t>
      </w:r>
      <w:r w:rsidR="00AC5658">
        <w:rPr>
          <w:rFonts w:ascii="Times New Roman" w:hAnsi="Times New Roman" w:cs="Times New Roman"/>
        </w:rPr>
        <w:t>s</w:t>
      </w:r>
      <w:r w:rsidR="00ED216A">
        <w:rPr>
          <w:rFonts w:ascii="Times New Roman" w:hAnsi="Times New Roman" w:cs="Times New Roman"/>
        </w:rPr>
        <w:t xml:space="preserve"> from Pre to Post in Week 1 </w:t>
      </w:r>
      <w:r w:rsidR="00AC5658">
        <w:rPr>
          <w:rFonts w:ascii="Times New Roman" w:hAnsi="Times New Roman" w:cs="Times New Roman"/>
        </w:rPr>
        <w:t>being significantly greater than concentrations seen in</w:t>
      </w:r>
      <w:r w:rsidR="00ED216A">
        <w:rPr>
          <w:rFonts w:ascii="Times New Roman" w:hAnsi="Times New Roman" w:cs="Times New Roman"/>
        </w:rPr>
        <w:t xml:space="preserve"> Week 4. </w:t>
      </w:r>
      <w:r w:rsidR="00D9056D">
        <w:rPr>
          <w:rFonts w:ascii="Times New Roman" w:hAnsi="Times New Roman" w:cs="Times New Roman"/>
        </w:rPr>
        <w:t xml:space="preserve">C is known to be a stress hormone, that increases in response to training demands within team sport athletes </w:t>
      </w:r>
      <w:r w:rsidR="00D9056D">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{"citationID":"VeGFi9na","properties":{"formattedCitation":"(Filaire et al., 2003; Rowell et al., 2017)","plainCitation":"(Filaire et al., 2003; Rowell et al., 2017)","noteIndex":0},"citationItems":[{"id":554,"uris":["http://zotero.org/users/6327055/items/84LIM9I5"],"itemData":{"id":554,"type":"article-journal","abstract":"Objective measures of recovery from football match-play could be useful for assessing athletes’ readiness to train, if sensitive to preceding match load. Purpose: To identify the sensitivity of countermovement-jump (CMJ) performance and concentration of salivary testosterone and cortisol relative to elite football match load. Methods: CMJ performance and salivary hormones were measured in 18 elite football players before (27-, 1-h) and after (0.5-, 18-, 42-, 66-, 90-h) three consecutive matches. Match load was determined via accelerometer derived PlayerLoad™ and praised into tertiles. Sensitivity of CMJ performance and hormone concentrations to match load was quantified with t-statistics and magnitude-based inferences (change in mean as % ± 90% confidence interval (CI)) derived with a linear mixed model. Results: Jump height was reduced in medium- and high-load at 0.5-h (10% ± 7% and 16% ± 8%) and 18-h (7% ± 4% and 9% ± 5%) post match. There was a 12% ± 7% reduction in Flight time:contraction time (FT:CT) ratio in high-load at 0.5-h post, with reductions in medium- and high-load at 18-h. Reductions in FT:CT persisted at later post-match time-points than changes in Jump height. Increased cortisol (range: 55% to 165%) and testosterone (range: 17% to 20%) was observed in all match loads at 0.5-h post with individual variability thereafter. Conclusions: Measures of CMJ performance and hormonal concentrations were sensitive to levels of A-League football match load. Although jump height was reduced immediately post-match, FT:CT provided a more sensitive measure of recovery. Football match play induces an acute hormonal response with substantial individual variability thereafter.","container-title":"International Journal of Sports Physiology and Performance","DOI":"10.1123/ijspp.2016-0522","ISSN":"1555-0265, 1555-0273","issue":"7","language":"en","page":"969-976","source":"DOI.org (Crossref)","title":"Identification of Sensitive Measures of Recovery After External Load From Football Match Play","volume":"12","author":[{"family":"Rowell","given":"Amber E."},{"family":"Aughey","given":"Robert J."},{"family":"Hopkins","given":"Will G."},{"family":"Stewart","given":"Andrew M."},{"family":"Cormack","given":"Stuart J."}],"issued":{"date-parts":[["2017",8]]}}},{"id":556,"uris":["http://zotero.org/users/6327055/items/FCG2IZSM"],"itemData":{"id":556,"type":"article-journal","container-title":"Perceptual and Motor Skills","language":"en","page":"1061-1072","source":"Zotero","title":"Biological, Hormonal, and Psychological Parameters in Professional Soccer Players Throughout a Competitive Season","volume":"97","author":[{"family":"Filaire","given":"Edith"},{"family":"Lac","given":"Géarard"},{"family":"Pequignot","given":"Jean-Marc"}],"issued":{"date-parts":[["2003"]]}}}],"schema":"https://github.com/citation-style-language/schema/raw/master/csl-citation.json"} </w:instrText>
      </w:r>
      <w:r w:rsidR="00D9056D">
        <w:rPr>
          <w:rFonts w:ascii="Times New Roman" w:hAnsi="Times New Roman" w:cs="Times New Roman"/>
        </w:rPr>
        <w:fldChar w:fldCharType="separate"/>
      </w:r>
      <w:r w:rsidR="00A21DA8">
        <w:rPr>
          <w:rFonts w:ascii="Times New Roman" w:hAnsi="Times New Roman" w:cs="Times New Roman"/>
          <w:noProof/>
        </w:rPr>
        <w:t>(Filaire et al., 2003; Rowell et al., 2017)</w:t>
      </w:r>
      <w:r w:rsidR="00D9056D">
        <w:rPr>
          <w:rFonts w:ascii="Times New Roman" w:hAnsi="Times New Roman" w:cs="Times New Roman"/>
        </w:rPr>
        <w:fldChar w:fldCharType="end"/>
      </w:r>
      <w:r w:rsidR="005B1660">
        <w:rPr>
          <w:rFonts w:ascii="Times New Roman" w:hAnsi="Times New Roman" w:cs="Times New Roman"/>
        </w:rPr>
        <w:t xml:space="preserve"> and has been shown to increase proportionally with exercise intensity </w:t>
      </w:r>
      <w:r w:rsidR="005B1660">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{"citationID":"PqgjDNFM","properties":{"formattedCitation":"(Hackney &amp; Lane, 2015; Hill et al., 2008; Viru et al., 1992; Viru &amp; Viru, 2004)","plainCitation":"(Hackney &amp; Lane, 2015; Hill et al., 2008; Viru et al., 1992; Viru &amp; Viru, 2004)","noteIndex":0},"citationItems":[{"id":152,"uris":["http://zotero.org/users/6327055/items/EK6SMPW2"],"itemData":{"id":152,"type":"chapter","container-title":"Progress in Molecular Biology and Translational Science","ISBN":"978-0-12-803991-5","language":"en","note":"DOI: 10.1016/bs.pmbts.2015.07.001","page":"293-311","publisher":"Elsevier","source":"DOI.org (Crossref)","title":"Exercise and the regulation of endocrine hormones","URL":"https://linkinghub.elsevier.com/retrieve/pii/S1877117315001337","volume":"135","author":[{"family":"Hackney","given":"Anthony C."},{"family":"Lane","given":"Amy R."}],"accessed":{"date-parts":[["2021",3,1]]},"issued":{"date-parts":[["2015"]]}}},{"id":378,"uris":["http://zotero.org/users/6327055/items/8VVM8ZZ4"],"itemData":{"id":378,"type":"article-journal","container-title":"International Journal of Sports Medicine","DOI":"10.1055/s-2004-821068","ISSN":"0172-4622, 1439-3964","issue":"6","journalAbbreviation":"Int J Sports Med","language":"en","page":"461-464","source":"DOI.org (Crossref)","title":"Cortisol - essential adaptation hormone in exercise","volume":"25","author":[{"family":"Viru","given":"A."},{"family":"Viru","given":"M."}],"issued":{"date-parts":[["2004",8]]}}},{"id":574,"uris":["http://zotero.org/users/6327055/items/L5399JEX"],"itemData":{"id":574,"type":"article-journal","abstract":"This study examined the influence of exercise intensity upon the cortisol response of the hypothalamic-pituitaryadrenal (HPA) axis. Specifically, we examined exercise at intensities of 40, 60, and 80% maximal oxygen uptake (VO2max) in an attempt to determine the intensity necessary to provoke an increase in circulating cortisol. Twelve active moderately trained men performed 30 min of exercise at intensities of 40, 60, and 80% of their VO2max, as well as a 30-min resting-control session involving no exercise on separate days. Confounding factors such as time of day – circadian rhythms, prior diet – activity patterns, psychological stress, and levels of exercise training were controlled. Cortisol and ACTH were assessed in blood collected immediately before (pre-) and after (post-) each experimental session. Statistical analysis involved repeated measures analysis of variance and Tukey post-hoc testing. The percent change in cortisol from pre- to post-sampling at each session was: resting-control, 40, 60, and 80% sessions (mean±SD) =–6.6±3.5%, +5.7±11.0%, +39.9±11.8%, and +83.1±18.5%, respectively. The 60% and 80% intensity magnitude of change was significantly greater than in the other sessions, as well as from one to another. The ACTH responses mirrored those of cortisol, but only the 80% exercise provoked a significant (p&lt;0.05) increase pre- to post-exercise. The calculated changes in plasma volume for the resting-control, 40%, 60%, and 80% sessions were: +2.2±3.0%, –9.9±5.0%, –15.6±3.5%, and –17.2±3.3%, respectively. Collectively, the cortisol findings support the view that moderate to high intensity exercise provokes increases in circulating cortisol levels. These increases seem due to a combination of hemoconcentration and HPA axis stimulus (ACTH). In contrast, low intensity exercise (40%) does not result in significant increases in cortisol levels, but, once corrections for plasma volume reduction occurred and circadian factors were examined, low intensity exercise actually resulted in a reduction in circulating cortisol levels.","container-title":"Journal of Endocrinological Investigation","DOI":"10.1007/BF03345606","ISSN":"0391-4097, 1720-8386","issue":"7","language":"en","page":"587-591","source":"DOI.org (Crossref)","title":"Exercise and circulating cortisol levels: the intensity threshold effect","title-short":"Exercise and circulating Cortisol levels","volume":"31","author":[{"family":"Hill","given":"E. E."},{"family":"Zack","given":"E."},{"family":"Battaglini","given":"C."},{"family":"Viru","given":"M."},{"family":"Viru","given":"A."},{"family":"Hackney","given":"A. C."}],"issued":{"date-parts":[["2008",7]]}}},{"id":476,"uris":["http://zotero.org/users/6327055/items/ZHZNRHPP"],"itemData":{"id":476,"type":"article-journal","container-title":"International Journal of Sports Medicine","page":"230-235","title":"Stability and variability in hormonal responses to prolonged exercise","volume":"13","author":[{"family":"Viru","given":"Atko"},{"family":"Karelson","given":"Kalle"},{"family":"Smirnova","given":"Tamara"}],"issued":{"date-parts":[["1992"]]}}}],"schema":"https://github.com/citation-style-language/schema/raw/master/csl-citation.json"} </w:instrText>
      </w:r>
      <w:r w:rsidR="005B1660">
        <w:rPr>
          <w:rFonts w:ascii="Times New Roman" w:hAnsi="Times New Roman" w:cs="Times New Roman"/>
        </w:rPr>
        <w:fldChar w:fldCharType="separate"/>
      </w:r>
      <w:r w:rsidR="00CE376E">
        <w:rPr>
          <w:rFonts w:ascii="Times New Roman" w:hAnsi="Times New Roman" w:cs="Times New Roman"/>
          <w:noProof/>
        </w:rPr>
        <w:t>(Hackney &amp; Lane, 2015; Hill et al., 2008; Viru et al., 1992; Viru &amp; Viru, 2004)</w:t>
      </w:r>
      <w:r w:rsidR="005B1660">
        <w:rPr>
          <w:rFonts w:ascii="Times New Roman" w:hAnsi="Times New Roman" w:cs="Times New Roman"/>
        </w:rPr>
        <w:fldChar w:fldCharType="end"/>
      </w:r>
      <w:r w:rsidR="005B1660">
        <w:rPr>
          <w:rFonts w:ascii="Times New Roman" w:hAnsi="Times New Roman" w:cs="Times New Roman"/>
        </w:rPr>
        <w:t>.</w:t>
      </w:r>
      <w:r w:rsidR="00D9056D">
        <w:rPr>
          <w:rFonts w:ascii="Times New Roman" w:hAnsi="Times New Roman" w:cs="Times New Roman"/>
        </w:rPr>
        <w:t xml:space="preserve"> </w:t>
      </w:r>
      <w:r w:rsidR="00FF7E01">
        <w:rPr>
          <w:rFonts w:ascii="Times New Roman" w:hAnsi="Times New Roman" w:cs="Times New Roman"/>
        </w:rPr>
        <w:t xml:space="preserve">However, it appears that chronic intermittent exposure to stressful physical situations that release cortisol allows the individual to adapt and display an inactivation of cortisol into cortisone allowing for anabolic processes to be expressed at a higher level </w:t>
      </w:r>
      <w:r w:rsidR="00FF7E01">
        <w:rPr>
          <w:rFonts w:ascii="Times New Roman" w:hAnsi="Times New Roman" w:cs="Times New Roman"/>
        </w:rPr>
        <w:fldChar w:fldCharType="begin"/>
      </w:r>
      <w:r w:rsidR="00FF7E01">
        <w:rPr>
          <w:rFonts w:ascii="Times New Roman" w:hAnsi="Times New Roman" w:cs="Times New Roman"/>
        </w:rPr>
        <w:instrText xml:space="preserve"> ADDIN ZOTERO_ITEM CSL_CITATION {"citationID":"hum7eSnO","properties":{"formattedCitation":"(Kraemer et al., 2020)","plainCitation":"(Kraemer et al., 2020)","noteIndex":0},"citationItems":[{"id":605,"uris":["http://zotero.org/users/6327055/items/K6MDES3W"],"itemData":{"id":605,"type":"article-journal","container-title":"Frontiers in Endocrinology","DOI":"10.3389/fendo.2020.00033","ISSN":"1664-2392","journalAbbreviation":"Front. Endocrinol.","language":"en","page":"33","source":"DOI.org (Crossref)","title":"Growth hormone(s), testosterone, insulin-like growth factors, and cortisol: roles and integration for cellular development and growth with exercise","title-short":"Growth Hormone(s), Testosterone, Insulin-Like Growth Factors, and Cortisol","volume":"11","author":[{"family":"Kraemer","given":"William J."},{"family":"Ratamess","given":"Nicholas A."},{"family":"Hymer","given":"Wesley C."},{"family":"Nindl","given":"Bradley C."},{"family":"Fragala","given":"Maren S."}],"issued":{"date-parts":[["2020",2,25]]}}}],"schema":"https://github.com/citation-style-language/schema/raw/master/csl-citation.json"} </w:instrText>
      </w:r>
      <w:r w:rsidR="00FF7E01">
        <w:rPr>
          <w:rFonts w:ascii="Times New Roman" w:hAnsi="Times New Roman" w:cs="Times New Roman"/>
        </w:rPr>
        <w:fldChar w:fldCharType="separate"/>
      </w:r>
      <w:r w:rsidR="00FF7E01">
        <w:rPr>
          <w:rFonts w:ascii="Times New Roman" w:hAnsi="Times New Roman" w:cs="Times New Roman"/>
          <w:noProof/>
        </w:rPr>
        <w:t>(Kraemer et al., 2020)</w:t>
      </w:r>
      <w:r w:rsidR="00FF7E01">
        <w:rPr>
          <w:rFonts w:ascii="Times New Roman" w:hAnsi="Times New Roman" w:cs="Times New Roman"/>
        </w:rPr>
        <w:fldChar w:fldCharType="end"/>
      </w:r>
      <w:r w:rsidR="00FF7E01">
        <w:rPr>
          <w:rFonts w:ascii="Times New Roman" w:hAnsi="Times New Roman" w:cs="Times New Roman"/>
        </w:rPr>
        <w:t xml:space="preserve">. </w:t>
      </w:r>
      <w:r w:rsidR="00033119">
        <w:rPr>
          <w:rFonts w:ascii="Times New Roman" w:hAnsi="Times New Roman" w:cs="Times New Roman"/>
        </w:rPr>
        <w:t xml:space="preserve">Also, individual training history seems to modulate the magnitude of a endocrine response </w:t>
      </w:r>
      <w:r w:rsidR="006F482A">
        <w:rPr>
          <w:rFonts w:ascii="Times New Roman" w:hAnsi="Times New Roman" w:cs="Times New Roman"/>
        </w:rPr>
        <w:fldChar w:fldCharType="begin"/>
      </w:r>
      <w:r w:rsidR="006F482A">
        <w:rPr>
          <w:rFonts w:ascii="Times New Roman" w:hAnsi="Times New Roman" w:cs="Times New Roman"/>
        </w:rPr>
        <w:instrText xml:space="preserve"> ADDIN ZOTERO_ITEM CSL_CITATION {"citationID":"WOFIdcle","properties":{"formattedCitation":"(Davies &amp; Few, 1973)","plainCitation":"(Davies &amp; Few, 1973)","noteIndex":0},"citationItems":[{"id":609,"uris":["http://zotero.org/users/6327055/items/XMW47FLP"],"itemData":{"id":609,"type":"article-journal","container-title":"Journal of Applied Physiology","DOI":"10.1152/jappl.1973.35.6.887","ISSN":"8750-7587, 1522-1601","issue":"6","journalAbbreviation":"Journal of Applied Physiology","language":"en","page":"887-891","source":"DOI.org (Crossref)","title":"Effects of exercise on adrenocortical function.","volume":"35","author":[{"family":"Davies","given":"C T"},{"family":"Few","given":"J D"}],"issued":{"date-parts":[["1973",12]]}}}],"schema":"https://github.com/citation-style-language/schema/raw/master/csl-citation.json"} </w:instrText>
      </w:r>
      <w:r w:rsidR="006F482A">
        <w:rPr>
          <w:rFonts w:ascii="Times New Roman" w:hAnsi="Times New Roman" w:cs="Times New Roman"/>
        </w:rPr>
        <w:fldChar w:fldCharType="separate"/>
      </w:r>
      <w:r w:rsidR="006F482A">
        <w:rPr>
          <w:rFonts w:ascii="Times New Roman" w:hAnsi="Times New Roman" w:cs="Times New Roman"/>
          <w:noProof/>
        </w:rPr>
        <w:t>(Davies &amp; Few, 1973)</w:t>
      </w:r>
      <w:r w:rsidR="006F482A">
        <w:rPr>
          <w:rFonts w:ascii="Times New Roman" w:hAnsi="Times New Roman" w:cs="Times New Roman"/>
        </w:rPr>
        <w:fldChar w:fldCharType="end"/>
      </w:r>
      <w:r w:rsidR="00033119">
        <w:rPr>
          <w:rFonts w:ascii="Times New Roman" w:hAnsi="Times New Roman" w:cs="Times New Roman"/>
        </w:rPr>
        <w:t xml:space="preserve"> </w:t>
      </w:r>
      <w:r w:rsidR="00033119">
        <w:rPr>
          <w:rFonts w:ascii="Times New Roman" w:hAnsi="Times New Roman" w:cs="Times New Roman"/>
        </w:rPr>
        <w:lastRenderedPageBreak/>
        <w:t>helping to explain the greater C concentrations within the first week following the training exposure compared to the fourth week</w:t>
      </w:r>
      <w:r w:rsidR="006439A6">
        <w:rPr>
          <w:rFonts w:ascii="Times New Roman" w:hAnsi="Times New Roman" w:cs="Times New Roman"/>
        </w:rPr>
        <w:t xml:space="preserve"> alluding to a greater training state following the preseason training phase</w:t>
      </w:r>
      <w:r w:rsidR="00033119">
        <w:rPr>
          <w:rFonts w:ascii="Times New Roman" w:hAnsi="Times New Roman" w:cs="Times New Roman"/>
        </w:rPr>
        <w:t xml:space="preserve">. </w:t>
      </w:r>
      <w:r w:rsidR="00562CE1">
        <w:rPr>
          <w:rFonts w:ascii="Times New Roman" w:hAnsi="Times New Roman" w:cs="Times New Roman"/>
        </w:rPr>
        <w:t xml:space="preserve">Therefore, </w:t>
      </w:r>
      <w:r w:rsidR="00CD40E9">
        <w:rPr>
          <w:rFonts w:ascii="Times New Roman" w:hAnsi="Times New Roman" w:cs="Times New Roman"/>
        </w:rPr>
        <w:t xml:space="preserve">following four weeks of training </w:t>
      </w:r>
      <w:r w:rsidR="002A5E27">
        <w:rPr>
          <w:rFonts w:ascii="Times New Roman" w:hAnsi="Times New Roman" w:cs="Times New Roman"/>
        </w:rPr>
        <w:t>and observing a reduction in the C response displays training adaptations that minimized th</w:t>
      </w:r>
      <w:r w:rsidR="00394631">
        <w:rPr>
          <w:rFonts w:ascii="Times New Roman" w:hAnsi="Times New Roman" w:cs="Times New Roman"/>
        </w:rPr>
        <w:t>e relative</w:t>
      </w:r>
      <w:r w:rsidR="002A5E27">
        <w:rPr>
          <w:rFonts w:ascii="Times New Roman" w:hAnsi="Times New Roman" w:cs="Times New Roman"/>
        </w:rPr>
        <w:t xml:space="preserve"> </w:t>
      </w:r>
      <w:r w:rsidR="00E4155B">
        <w:rPr>
          <w:rFonts w:ascii="Times New Roman" w:hAnsi="Times New Roman" w:cs="Times New Roman"/>
        </w:rPr>
        <w:t xml:space="preserve">intensity of the training sessions resulting in a reduced </w:t>
      </w:r>
      <w:r w:rsidR="002A5E27">
        <w:rPr>
          <w:rFonts w:ascii="Times New Roman" w:hAnsi="Times New Roman" w:cs="Times New Roman"/>
        </w:rPr>
        <w:t xml:space="preserve">stress response </w:t>
      </w:r>
      <w:r w:rsidR="00394631">
        <w:rPr>
          <w:rFonts w:ascii="Times New Roman" w:hAnsi="Times New Roman" w:cs="Times New Roman"/>
        </w:rPr>
        <w:t xml:space="preserve">experienced in Week 4 compared to Week 1 all while </w:t>
      </w:r>
      <w:r w:rsidR="00F076D8">
        <w:rPr>
          <w:rFonts w:ascii="Times New Roman" w:hAnsi="Times New Roman" w:cs="Times New Roman"/>
        </w:rPr>
        <w:t xml:space="preserve">expressing </w:t>
      </w:r>
      <w:r w:rsidR="002A5E27">
        <w:rPr>
          <w:rFonts w:ascii="Times New Roman" w:hAnsi="Times New Roman" w:cs="Times New Roman"/>
        </w:rPr>
        <w:t>a similar training demand</w:t>
      </w:r>
      <w:r w:rsidR="00394631">
        <w:rPr>
          <w:rFonts w:ascii="Times New Roman" w:hAnsi="Times New Roman" w:cs="Times New Roman"/>
        </w:rPr>
        <w:t xml:space="preserve"> in both weeks</w:t>
      </w:r>
      <w:r w:rsidR="002A5E27">
        <w:rPr>
          <w:rFonts w:ascii="Times New Roman" w:hAnsi="Times New Roman" w:cs="Times New Roman"/>
        </w:rPr>
        <w:t xml:space="preserve">. </w:t>
      </w:r>
    </w:p>
    <w:p w14:paraId="4B717F1C" w14:textId="1B9F7017" w:rsidR="00BE1725" w:rsidRDefault="00ED766C" w:rsidP="00501E0A">
      <w:pPr>
        <w:spacing w:line="480" w:lineRule="auto"/>
        <w:jc w:val="both"/>
        <w:rPr>
          <w:rFonts w:ascii="Times New Roman" w:hAnsi="Times New Roman" w:cs="Times New Roman"/>
        </w:rPr>
      </w:pPr>
      <w:r>
        <w:rPr>
          <w:rFonts w:ascii="Times New Roman" w:hAnsi="Times New Roman" w:cs="Times New Roman"/>
        </w:rPr>
        <w:tab/>
      </w:r>
      <w:r w:rsidR="00CB537B">
        <w:rPr>
          <w:rFonts w:ascii="Times New Roman" w:hAnsi="Times New Roman" w:cs="Times New Roman"/>
        </w:rPr>
        <w:t xml:space="preserve">In conjunction with the individual responses seen from T and C, we observed a significant increase in absolute and relative changes of the T:C ratio from Week 1 to Week 4. </w:t>
      </w:r>
      <w:r w:rsidR="00E821E1">
        <w:rPr>
          <w:rFonts w:ascii="Times New Roman" w:hAnsi="Times New Roman" w:cs="Times New Roman"/>
        </w:rPr>
        <w:t xml:space="preserve">The medium effect of the T:C ratio in Week 1 described a diminishing catabolic balance compared to the start of the sport specific training session, whereas in Week 4 there was a small effect establishing a greater anabolic balance compared to the start of the session in Week 4. </w:t>
      </w:r>
      <w:r w:rsidR="00CB537B">
        <w:rPr>
          <w:rFonts w:ascii="Times New Roman" w:hAnsi="Times New Roman" w:cs="Times New Roman"/>
        </w:rPr>
        <w:t>Also, there was a significantly greater T:C ratio expressed in Week 4 Post than what was presented in Week 1 Post</w:t>
      </w:r>
      <w:r w:rsidR="00E821E1">
        <w:rPr>
          <w:rFonts w:ascii="Times New Roman" w:hAnsi="Times New Roman" w:cs="Times New Roman"/>
        </w:rPr>
        <w:t>, while also displaying a small effect</w:t>
      </w:r>
      <w:r w:rsidR="00CB537B">
        <w:rPr>
          <w:rFonts w:ascii="Times New Roman" w:hAnsi="Times New Roman" w:cs="Times New Roman"/>
        </w:rPr>
        <w:t>.</w:t>
      </w:r>
      <w:r w:rsidR="00F96B20">
        <w:rPr>
          <w:rFonts w:ascii="Times New Roman" w:hAnsi="Times New Roman" w:cs="Times New Roman"/>
        </w:rPr>
        <w:t xml:space="preserve"> </w:t>
      </w:r>
      <w:r w:rsidR="00BE1725">
        <w:rPr>
          <w:rFonts w:ascii="Times New Roman" w:hAnsi="Times New Roman" w:cs="Times New Roman"/>
        </w:rPr>
        <w:t xml:space="preserve">The significant elevation in T:C ratio following </w:t>
      </w:r>
      <w:r w:rsidR="00AD1FFB">
        <w:rPr>
          <w:rFonts w:ascii="Times New Roman" w:hAnsi="Times New Roman" w:cs="Times New Roman"/>
        </w:rPr>
        <w:t xml:space="preserve">a training exposure after </w:t>
      </w:r>
      <w:r w:rsidR="00BE1725">
        <w:rPr>
          <w:rFonts w:ascii="Times New Roman" w:hAnsi="Times New Roman" w:cs="Times New Roman"/>
        </w:rPr>
        <w:t>four weeks of preseason training</w:t>
      </w:r>
      <w:r w:rsidR="00AD1FFB">
        <w:rPr>
          <w:rFonts w:ascii="Times New Roman" w:hAnsi="Times New Roman" w:cs="Times New Roman"/>
        </w:rPr>
        <w:t xml:space="preserve"> suggests that the players were in an anabolic state</w:t>
      </w:r>
      <w:r w:rsidR="00556864">
        <w:rPr>
          <w:rFonts w:ascii="Times New Roman" w:hAnsi="Times New Roman" w:cs="Times New Roman"/>
        </w:rPr>
        <w:t xml:space="preserve"> </w:t>
      </w:r>
      <w:r w:rsidR="00556864">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{"citationID":"rpTPn1gk","properties":{"formattedCitation":"(Coutts et al., 2007)","plainCitation":"(Coutts et al., 2007)","noteIndex":0},"citationItems":[{"id":558,"uris":["http://zotero.org/users/6327055/items/3E9QS8MG"],"itemData":{"id":558,"type":"article-journal","container-title":"International Journal of Sports Medicine","DOI":"10.1055/s-2006-924145","ISSN":"0172-4622, 1439-3964","issue":"2","journalAbbreviation":"Int J Sports Med","language":"en","page":"116-124","source":"DOI.org (Crossref)","title":"Changes in Selected Biochemical, Muscular Strength, Power, and Endurance Measures during Deliberate Overreaching and Tapering in Rugby League Players","volume":"28","author":[{"family":"Coutts","given":"A."},{"family":"Reaburn","given":"P."},{"family":"Piva","given":"T."},{"family":"Murphy","given":"A."}],"issued":{"date-parts":[["2007",2]]}}}],"schema":"https://github.com/citation-style-language/schema/raw/master/csl-citation.json"} </w:instrText>
      </w:r>
      <w:r w:rsidR="00556864">
        <w:rPr>
          <w:rFonts w:ascii="Times New Roman" w:hAnsi="Times New Roman" w:cs="Times New Roman"/>
        </w:rPr>
        <w:fldChar w:fldCharType="separate"/>
      </w:r>
      <w:r w:rsidR="00556864">
        <w:rPr>
          <w:rFonts w:ascii="Times New Roman" w:hAnsi="Times New Roman" w:cs="Times New Roman"/>
          <w:noProof/>
        </w:rPr>
        <w:t>(Coutts et al., 2007)</w:t>
      </w:r>
      <w:r w:rsidR="00556864">
        <w:rPr>
          <w:rFonts w:ascii="Times New Roman" w:hAnsi="Times New Roman" w:cs="Times New Roman"/>
        </w:rPr>
        <w:fldChar w:fldCharType="end"/>
      </w:r>
      <w:r w:rsidR="00E65E3D">
        <w:rPr>
          <w:rFonts w:ascii="Times New Roman" w:hAnsi="Times New Roman" w:cs="Times New Roman"/>
        </w:rPr>
        <w:t xml:space="preserve"> and support the findings of Schelling et al., 2015, that displayed a significant decrease in C, significant increase in the T:C ratio, and no change in T levels across the preseason</w:t>
      </w:r>
      <w:r w:rsidR="00000E6B">
        <w:rPr>
          <w:rFonts w:ascii="Times New Roman" w:hAnsi="Times New Roman" w:cs="Times New Roman"/>
        </w:rPr>
        <w:t xml:space="preserve"> </w:t>
      </w:r>
      <w:r w:rsidR="00000E6B">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{"citationID":"1cMcQXpp","properties":{"formattedCitation":"(Schelling et al., 2015)","plainCitation":"(Schelling et al., 2015)","noteIndex":0},"citationItems":[{"id":392,"uris":["http://zotero.org/users/6327055/items/YH7H8GL2"],"itemData":{"id":392,"type":"article-journal","abstract":"Schelling, X, Calleja-Gonza´ lez, J, Torres-Ronda, L, and Terrados, N. Using testosterone and cortisol as biomarker for training individualization in elite basketball. A 4-year follow-up study. J Strength Cond Res 29(2): 368–378, 2015—The purpose of this study was to determine the responses of testosterone and cortisol, with special reference to playing positions, playing time (PT), and phase of the season. We performed a follow-up study during 4 consecutive seasons to investigate the effects of PT, positional role, and phase of the season on anabolic-catabolic biomarkers (plasma total testosterone -TT- and cortisol -C-) on 20 professional male basketball players (27.0 6 4.2 years; 24.4 6 1.2 kg$m22). First blood samples were collected right after the off-season period and considered as baseline. Samples were taken periodically every 4–6 weeks, always after a 24- to 36-hour break after the last game played. Statistical procedures were nonparametric mainly. Hormonal status was playing position-dependent, power forward (PF) showed the lowest TT values (median 6 interquartile range [IQR]; PF: 18.1 6 4.9; nmol$L21), and small forwards showed the highest ones of cortisol (0.55 6 0.118 mmol$L21). Players who played between 13 and 25 minutes per game showed the highest values of TT (22.8 6 6.9 nmol$L21) and TT/C (47.1 6 21.2). March and April showed the most catabolic or stressed hormonal state (low TT/C values and high ones of cortisol) and that is necessary to take into account according to PT (.25-minute per game) and speciﬁc playing position. Monitoring plasma TT and cortisol is recommended to prevent excessive stress caused by professional basketball season requirements.","container-title":"Journal of Strength and Conditioning Research","issue":"2","language":"en","page":"368-378","source":"Zotero","title":"Using testosterone and cortisol as biomarker for training individualization in eleite basketball: a 4-year follow-up study","volume":"29","author":[{"family":"Schelling","given":"Xavi"},{"family":"Lez","given":"Julio Calleja-Gonza"},{"family":"Torres-Ronda","given":"Lorena"},{"family":"Terrados","given":"Nicola S"}],"issued":{"date-parts":[["2015"]]}}}],"schema":"https://github.com/citation-style-language/schema/raw/master/csl-citation.json"} </w:instrText>
      </w:r>
      <w:r w:rsidR="00000E6B">
        <w:rPr>
          <w:rFonts w:ascii="Times New Roman" w:hAnsi="Times New Roman" w:cs="Times New Roman"/>
        </w:rPr>
        <w:fldChar w:fldCharType="separate"/>
      </w:r>
      <w:r w:rsidR="00000E6B">
        <w:rPr>
          <w:rFonts w:ascii="Times New Roman" w:hAnsi="Times New Roman" w:cs="Times New Roman"/>
          <w:noProof/>
        </w:rPr>
        <w:t>(Schelling et al., 2015)</w:t>
      </w:r>
      <w:r w:rsidR="00000E6B">
        <w:rPr>
          <w:rFonts w:ascii="Times New Roman" w:hAnsi="Times New Roman" w:cs="Times New Roman"/>
        </w:rPr>
        <w:fldChar w:fldCharType="end"/>
      </w:r>
      <w:r w:rsidR="00805D19">
        <w:rPr>
          <w:rFonts w:ascii="Times New Roman" w:hAnsi="Times New Roman" w:cs="Times New Roman"/>
        </w:rPr>
        <w:t xml:space="preserve">. These results exhibiting this response demonstrates that the players may be able to maintain an anabolic physiological status through the extensive and intensive phase of the preseason. </w:t>
      </w:r>
      <w:r w:rsidR="00EE13AC">
        <w:rPr>
          <w:rFonts w:ascii="Times New Roman" w:hAnsi="Times New Roman" w:cs="Times New Roman"/>
        </w:rPr>
        <w:t xml:space="preserve">However, the T:C ratio is not indicative of physical sport specific capabilities and should not be used as a monitoring tool for performance, rather it is a monitoring tool for the physiological status of the players </w:t>
      </w:r>
      <w:r w:rsidR="005C7F7C">
        <w:rPr>
          <w:rFonts w:ascii="Times New Roman" w:hAnsi="Times New Roman" w:cs="Times New Roman"/>
        </w:rPr>
        <w:t xml:space="preserve">and can help to determine signs of inadequate recovery potentially leading to nonfunctional overreaching or worse, overtraining </w:t>
      </w:r>
      <w:r w:rsidR="00EE13AC">
        <w:rPr>
          <w:rFonts w:ascii="Times New Roman" w:hAnsi="Times New Roman" w:cs="Times New Roman"/>
        </w:rPr>
        <w:fldChar w:fldCharType="begin"/>
      </w:r>
      <w:r w:rsidR="00546507">
        <w:rPr>
          <w:rFonts w:ascii="Times New Roman" w:hAnsi="Times New Roman" w:cs="Times New Roman"/>
        </w:rPr>
        <w:instrText xml:space="preserve"> ADDIN ZOTERO_ITEM CSL_CITATION {"citationID":"lE4sCycx","properties":{"formattedCitation":"(Coutts et al., 2007; Rowell et al., 2018)","plainCitation":"(Coutts et al., 2007; Rowell et al., 2018)","noteIndex":0},"citationItems":[{"id":156,"uris":["http://zotero.org/users/6327055/items/XQBFE6NY"],"itemData":{"id":156,"type":"article-journal","container-title":"Frontiers in Physiology","DOI":"10.3389/fphys.2018.00668","ISSN":"1664-042X","journalAbbreviation":"Front. Physiol.","language":"en","page":"668","source":"DOI.org (Crossref)","title":"Effects of training and competition load on neuromuscular recovery, testosterone, cortisol, and match performance during a season of professional football","volume":"9","author":[{"family":"Rowell","given":"Amber E."},{"family":"Aughey","given":"Robert J."},{"family":"Hopkins","given":"William G."},{"family":"Esmaeili","given":"Alizera"},{"family":"Lazarus","given":"Brendan H."},{"family":"Cormack","given":"Stuart J."}],"issued":{"date-parts":[["2018",6,7]]}}},{"id":558,"uris":["http://zotero.org/users/6327055/items/3E9QS8MG"],"itemData":{"id":558,"type":"article-journal","container-title":"International Journal of Sports Medicine","DOI":"10.1055/s-2006-924145","ISSN":"0172-4622, 1439-3964","issue":"2","journalAbbreviation":"Int J Sports Med","language":"en","page":"116-124","source":"DOI.org (Crossref)","title":"Changes in Selected Biochemical, Muscular Strength, Power, and Endurance Measures during Deliberate Overreaching and Tapering in Rugby League Players","volume":"28","author":[{"family":"Coutts","given":"A."},{"family":"Reaburn","given":"P."},{"family":"Piva","given":"T."},{"family":"Murphy","given":"A."}],"issued":{"date-parts":[["2007",2]]}}}],"schema":"https://github.com/citation-style-language/schema/raw/master/csl-citation.json"} </w:instrText>
      </w:r>
      <w:r w:rsidR="00EE13AC">
        <w:rPr>
          <w:rFonts w:ascii="Times New Roman" w:hAnsi="Times New Roman" w:cs="Times New Roman"/>
        </w:rPr>
        <w:fldChar w:fldCharType="separate"/>
      </w:r>
      <w:r w:rsidR="00D81948">
        <w:rPr>
          <w:rFonts w:ascii="Times New Roman" w:hAnsi="Times New Roman" w:cs="Times New Roman"/>
          <w:noProof/>
        </w:rPr>
        <w:t>(Coutts et al., 2007; Rowell et al., 2018)</w:t>
      </w:r>
      <w:r w:rsidR="00EE13AC">
        <w:rPr>
          <w:rFonts w:ascii="Times New Roman" w:hAnsi="Times New Roman" w:cs="Times New Roman"/>
        </w:rPr>
        <w:fldChar w:fldCharType="end"/>
      </w:r>
      <w:r w:rsidR="00EE13AC">
        <w:rPr>
          <w:rFonts w:ascii="Times New Roman" w:hAnsi="Times New Roman" w:cs="Times New Roman"/>
        </w:rPr>
        <w:t xml:space="preserve">. </w:t>
      </w:r>
    </w:p>
    <w:p w14:paraId="66EF9F89" w14:textId="3B770F94" w:rsidR="00892DA8" w:rsidRDefault="00892DA8" w:rsidP="00501E0A">
      <w:pPr>
        <w:spacing w:line="480" w:lineRule="auto"/>
        <w:jc w:val="both"/>
        <w:rPr>
          <w:rFonts w:ascii="Times New Roman" w:hAnsi="Times New Roman" w:cs="Times New Roman"/>
        </w:rPr>
      </w:pPr>
      <w:r>
        <w:rPr>
          <w:rFonts w:ascii="Times New Roman" w:hAnsi="Times New Roman" w:cs="Times New Roman"/>
        </w:rPr>
        <w:lastRenderedPageBreak/>
        <w:tab/>
      </w:r>
      <w:r w:rsidR="00814E09">
        <w:rPr>
          <w:rFonts w:ascii="Times New Roman" w:hAnsi="Times New Roman" w:cs="Times New Roman"/>
        </w:rPr>
        <w:t xml:space="preserve">However, despite the response displaying differences across time, limitations exist that may help to explain some of the findings. For example, there was a difference within Body Mass detected from </w:t>
      </w:r>
      <w:r w:rsidR="009F7278">
        <w:rPr>
          <w:rFonts w:ascii="Times New Roman" w:hAnsi="Times New Roman" w:cs="Times New Roman"/>
        </w:rPr>
        <w:t xml:space="preserve">the Pre values of </w:t>
      </w:r>
      <w:r w:rsidR="00814E09">
        <w:rPr>
          <w:rFonts w:ascii="Times New Roman" w:hAnsi="Times New Roman" w:cs="Times New Roman"/>
        </w:rPr>
        <w:t xml:space="preserve">Week 1 </w:t>
      </w:r>
      <w:r w:rsidR="009F7278">
        <w:rPr>
          <w:rFonts w:ascii="Times New Roman" w:hAnsi="Times New Roman" w:cs="Times New Roman"/>
        </w:rPr>
        <w:t>and</w:t>
      </w:r>
      <w:r w:rsidR="00814E09">
        <w:rPr>
          <w:rFonts w:ascii="Times New Roman" w:hAnsi="Times New Roman" w:cs="Times New Roman"/>
        </w:rPr>
        <w:t xml:space="preserve"> Week 4 </w:t>
      </w:r>
      <w:r w:rsidR="009F7278">
        <w:rPr>
          <w:rFonts w:ascii="Times New Roman" w:hAnsi="Times New Roman" w:cs="Times New Roman"/>
        </w:rPr>
        <w:t xml:space="preserve">compared to the Post values of Week 1 and Week 4 </w:t>
      </w:r>
      <w:r w:rsidR="00814E09">
        <w:rPr>
          <w:rFonts w:ascii="Times New Roman" w:hAnsi="Times New Roman" w:cs="Times New Roman"/>
        </w:rPr>
        <w:t xml:space="preserve">which could </w:t>
      </w:r>
      <w:r w:rsidR="00AA7880">
        <w:rPr>
          <w:rFonts w:ascii="Times New Roman" w:hAnsi="Times New Roman" w:cs="Times New Roman"/>
        </w:rPr>
        <w:t>result in</w:t>
      </w:r>
      <w:r w:rsidR="00814E09">
        <w:rPr>
          <w:rFonts w:ascii="Times New Roman" w:hAnsi="Times New Roman" w:cs="Times New Roman"/>
        </w:rPr>
        <w:t xml:space="preserve"> </w:t>
      </w:r>
      <w:r w:rsidR="005326D2">
        <w:rPr>
          <w:rFonts w:ascii="Times New Roman" w:hAnsi="Times New Roman" w:cs="Times New Roman"/>
        </w:rPr>
        <w:t>a</w:t>
      </w:r>
      <w:r w:rsidR="00814E09">
        <w:rPr>
          <w:rFonts w:ascii="Times New Roman" w:hAnsi="Times New Roman" w:cs="Times New Roman"/>
        </w:rPr>
        <w:t xml:space="preserve"> heightened concentration of the hormones due to a more dehydrated state </w:t>
      </w:r>
      <w:r w:rsidR="00AA7880">
        <w:rPr>
          <w:rFonts w:ascii="Times New Roman" w:hAnsi="Times New Roman" w:cs="Times New Roman"/>
        </w:rPr>
        <w:t>causing</w:t>
      </w:r>
      <w:r w:rsidR="00814E09">
        <w:rPr>
          <w:rFonts w:ascii="Times New Roman" w:hAnsi="Times New Roman" w:cs="Times New Roman"/>
        </w:rPr>
        <w:t xml:space="preserve"> hemoconcentration of the hormones</w:t>
      </w:r>
      <w:r w:rsidR="00A25CEA">
        <w:rPr>
          <w:rFonts w:ascii="Times New Roman" w:hAnsi="Times New Roman" w:cs="Times New Roman"/>
        </w:rPr>
        <w:t xml:space="preserve">. Additionally, </w:t>
      </w:r>
      <w:r w:rsidR="000E742A">
        <w:rPr>
          <w:rFonts w:ascii="Times New Roman" w:hAnsi="Times New Roman" w:cs="Times New Roman"/>
        </w:rPr>
        <w:t xml:space="preserve">other biological variables that could impact endocrine responses including emotional strain, dietary status outside of the testing environment, and training regimes outside of normal practices were not recorded. Furthermore, technical errors that may have went undetected could have included </w:t>
      </w:r>
      <w:r w:rsidR="005F3217">
        <w:rPr>
          <w:rFonts w:ascii="Times New Roman" w:hAnsi="Times New Roman" w:cs="Times New Roman"/>
        </w:rPr>
        <w:t>environmental conditions on days of testing or correcting for hemoconcentration</w:t>
      </w:r>
      <w:r w:rsidR="000E742A">
        <w:rPr>
          <w:rFonts w:ascii="Times New Roman" w:hAnsi="Times New Roman" w:cs="Times New Roman"/>
        </w:rPr>
        <w:t>. These limitations are acknowledged by the authors and will be considered when in the practically applied setting.</w:t>
      </w:r>
    </w:p>
    <w:p w14:paraId="770C3A8B" w14:textId="1DC26A85" w:rsidR="005907DF" w:rsidRDefault="005907DF">
      <w:pPr>
        <w:rPr>
          <w:rFonts w:ascii="Times New Roman" w:hAnsi="Times New Roman" w:cs="Times New Roman"/>
        </w:rPr>
      </w:pPr>
      <w:r>
        <w:rPr>
          <w:rFonts w:ascii="Times New Roman" w:hAnsi="Times New Roman" w:cs="Times New Roman"/>
        </w:rPr>
        <w:br w:type="page"/>
      </w:r>
    </w:p>
    <w:p w14:paraId="467D28F6" w14:textId="091CA3FD" w:rsidR="004649E3" w:rsidRPr="005907DF" w:rsidRDefault="005907DF" w:rsidP="005907DF">
      <w:pPr>
        <w:pStyle w:val="Heading1"/>
        <w:spacing w:line="480" w:lineRule="auto"/>
        <w:jc w:val="center"/>
        <w:rPr>
          <w:rFonts w:ascii="Times New Roman" w:hAnsi="Times New Roman" w:cs="Times New Roman"/>
          <w:b/>
          <w:bCs/>
          <w:color w:val="000000" w:themeColor="text1"/>
          <w:sz w:val="24"/>
          <w:szCs w:val="24"/>
        </w:rPr>
      </w:pPr>
      <w:bookmarkStart w:id="97" w:name="_Toc99267654"/>
      <w:r w:rsidRPr="005907DF">
        <w:rPr>
          <w:rFonts w:ascii="Times New Roman" w:hAnsi="Times New Roman" w:cs="Times New Roman"/>
          <w:b/>
          <w:bCs/>
          <w:color w:val="000000" w:themeColor="text1"/>
          <w:sz w:val="24"/>
          <w:szCs w:val="24"/>
        </w:rPr>
        <w:lastRenderedPageBreak/>
        <w:t>Chapter V: Conclusion</w:t>
      </w:r>
      <w:bookmarkEnd w:id="97"/>
    </w:p>
    <w:p w14:paraId="7C6867B4" w14:textId="69C8D9A6" w:rsidR="00E90D16" w:rsidRDefault="005907DF" w:rsidP="005907DF">
      <w:pPr>
        <w:spacing w:line="480" w:lineRule="auto"/>
        <w:rPr>
          <w:rFonts w:ascii="Times New Roman" w:hAnsi="Times New Roman" w:cs="Times New Roman"/>
        </w:rPr>
      </w:pPr>
      <w:r w:rsidRPr="005907DF">
        <w:rPr>
          <w:rFonts w:ascii="Times New Roman" w:hAnsi="Times New Roman" w:cs="Times New Roman"/>
        </w:rPr>
        <w:tab/>
      </w:r>
      <w:r>
        <w:rPr>
          <w:rFonts w:ascii="Times New Roman" w:hAnsi="Times New Roman" w:cs="Times New Roman"/>
        </w:rPr>
        <w:t xml:space="preserve">The primary purpose of this retrospective study was to evaluate </w:t>
      </w:r>
      <w:r w:rsidR="00827FBC">
        <w:rPr>
          <w:rFonts w:ascii="Times New Roman" w:hAnsi="Times New Roman" w:cs="Times New Roman"/>
        </w:rPr>
        <w:t xml:space="preserve">endocrine responses and neuromuscular performance to similar training demands of acute bouts of sport specific training within the preseason as well as over the entire training phase of the preseason in a cohort of elite male NCAA Division </w:t>
      </w:r>
      <w:r w:rsidR="00E74A24">
        <w:rPr>
          <w:rFonts w:ascii="Times New Roman" w:hAnsi="Times New Roman" w:cs="Times New Roman"/>
        </w:rPr>
        <w:t>I</w:t>
      </w:r>
      <w:r w:rsidR="00827FBC">
        <w:rPr>
          <w:rFonts w:ascii="Times New Roman" w:hAnsi="Times New Roman" w:cs="Times New Roman"/>
        </w:rPr>
        <w:t xml:space="preserve"> basketball players.</w:t>
      </w:r>
    </w:p>
    <w:p w14:paraId="00DCC167" w14:textId="4A94B283" w:rsidR="00E90D16" w:rsidRPr="005907DF" w:rsidRDefault="00E90D16" w:rsidP="00F829B9">
      <w:pPr>
        <w:pStyle w:val="Heading2"/>
      </w:pPr>
      <w:bookmarkStart w:id="98" w:name="_Toc99267655"/>
      <w:r>
        <w:t>Research Questions</w:t>
      </w:r>
      <w:bookmarkEnd w:id="98"/>
    </w:p>
    <w:p w14:paraId="6C011F91" w14:textId="4073CC66" w:rsidR="00E90D16" w:rsidRDefault="00E90D16" w:rsidP="00427607">
      <w:pPr>
        <w:spacing w:line="480" w:lineRule="auto"/>
        <w:rPr>
          <w:rFonts w:ascii="Times New Roman" w:hAnsi="Times New Roman"/>
        </w:rPr>
      </w:pPr>
      <w:bookmarkStart w:id="99" w:name="_Toc99267656"/>
      <w:r w:rsidRPr="006D7DD3">
        <w:rPr>
          <w:rStyle w:val="Heading3Char"/>
          <w:rFonts w:ascii="Times New Roman" w:hAnsi="Times New Roman" w:cs="Times New Roman"/>
          <w:b/>
          <w:bCs/>
          <w:i/>
          <w:iCs/>
          <w:color w:val="000000" w:themeColor="text1"/>
          <w:u w:val="single"/>
        </w:rPr>
        <w:t>Research Question 1</w:t>
      </w:r>
      <w:bookmarkEnd w:id="99"/>
      <w:r w:rsidRPr="006D7DD3">
        <w:rPr>
          <w:rFonts w:ascii="Times New Roman" w:hAnsi="Times New Roman" w:cs="Times New Roman"/>
          <w:b/>
          <w:bCs/>
          <w:i/>
          <w:iCs/>
          <w:u w:val="single"/>
        </w:rPr>
        <w:t>:</w:t>
      </w:r>
      <w:r w:rsidRPr="0098140E">
        <w:rPr>
          <w:rFonts w:ascii="Times New Roman" w:hAnsi="Times New Roman" w:cs="Times New Roman"/>
          <w:color w:val="000000" w:themeColor="text1"/>
        </w:rPr>
        <w:t xml:space="preserve"> </w:t>
      </w:r>
      <w:r w:rsidRPr="00AA6AD1">
        <w:rPr>
          <w:rFonts w:ascii="Times New Roman" w:hAnsi="Times New Roman"/>
        </w:rPr>
        <w:t xml:space="preserve">Are there significant differences in salivary </w:t>
      </w:r>
      <w:r w:rsidR="00AA6AD1">
        <w:rPr>
          <w:rFonts w:ascii="Times New Roman" w:hAnsi="Times New Roman"/>
        </w:rPr>
        <w:t>T</w:t>
      </w:r>
      <w:r w:rsidRPr="00AA6AD1">
        <w:rPr>
          <w:rFonts w:ascii="Times New Roman" w:hAnsi="Times New Roman"/>
        </w:rPr>
        <w:t xml:space="preserve">estosterone, salivary </w:t>
      </w:r>
      <w:r w:rsidR="00AA6AD1">
        <w:rPr>
          <w:rFonts w:ascii="Times New Roman" w:hAnsi="Times New Roman"/>
        </w:rPr>
        <w:t>C</w:t>
      </w:r>
      <w:r w:rsidRPr="00AA6AD1">
        <w:rPr>
          <w:rFonts w:ascii="Times New Roman" w:hAnsi="Times New Roman"/>
        </w:rPr>
        <w:t xml:space="preserve">ortisol, or salivary </w:t>
      </w:r>
      <w:proofErr w:type="spellStart"/>
      <w:r w:rsidR="00AA6AD1">
        <w:rPr>
          <w:rFonts w:ascii="Times New Roman" w:hAnsi="Times New Roman"/>
        </w:rPr>
        <w:t>T</w:t>
      </w:r>
      <w:r w:rsidRPr="00AA6AD1">
        <w:rPr>
          <w:rFonts w:ascii="Times New Roman" w:hAnsi="Times New Roman"/>
        </w:rPr>
        <w:t>estos</w:t>
      </w:r>
      <w:r w:rsidR="008C2AC3">
        <w:rPr>
          <w:rFonts w:ascii="Times New Roman" w:hAnsi="Times New Roman"/>
        </w:rPr>
        <w:t>t</w:t>
      </w:r>
      <w:r w:rsidRPr="00AA6AD1">
        <w:rPr>
          <w:rFonts w:ascii="Times New Roman" w:hAnsi="Times New Roman"/>
        </w:rPr>
        <w:t>erone:</w:t>
      </w:r>
      <w:r w:rsidR="00AA6AD1">
        <w:rPr>
          <w:rFonts w:ascii="Times New Roman" w:hAnsi="Times New Roman"/>
        </w:rPr>
        <w:t>C</w:t>
      </w:r>
      <w:r w:rsidRPr="00AA6AD1">
        <w:rPr>
          <w:rFonts w:ascii="Times New Roman" w:hAnsi="Times New Roman"/>
        </w:rPr>
        <w:t>ortisol</w:t>
      </w:r>
      <w:proofErr w:type="spellEnd"/>
      <w:r w:rsidRPr="00AA6AD1">
        <w:rPr>
          <w:rFonts w:ascii="Times New Roman" w:hAnsi="Times New Roman"/>
        </w:rPr>
        <w:t xml:space="preserve"> ratio pre- and post- basketball sessions?</w:t>
      </w:r>
    </w:p>
    <w:p w14:paraId="340511C2" w14:textId="30D6E127" w:rsidR="0098140E" w:rsidRDefault="0098140E" w:rsidP="00427607">
      <w:pPr>
        <w:spacing w:line="480" w:lineRule="auto"/>
        <w:rPr>
          <w:rFonts w:ascii="Times New Roman" w:hAnsi="Times New Roman"/>
        </w:rPr>
      </w:pPr>
      <w:r>
        <w:rPr>
          <w:rFonts w:ascii="Times New Roman" w:hAnsi="Times New Roman"/>
        </w:rPr>
        <w:tab/>
      </w:r>
      <w:r w:rsidR="00B70101">
        <w:rPr>
          <w:rFonts w:ascii="Times New Roman" w:hAnsi="Times New Roman"/>
        </w:rPr>
        <w:t>There w</w:t>
      </w:r>
      <w:r w:rsidR="00343183">
        <w:rPr>
          <w:rFonts w:ascii="Times New Roman" w:hAnsi="Times New Roman"/>
        </w:rPr>
        <w:t>as a</w:t>
      </w:r>
      <w:r w:rsidR="00B70101">
        <w:rPr>
          <w:rFonts w:ascii="Times New Roman" w:hAnsi="Times New Roman"/>
        </w:rPr>
        <w:t xml:space="preserve"> significant </w:t>
      </w:r>
      <w:r w:rsidR="00343183">
        <w:rPr>
          <w:rFonts w:ascii="Times New Roman" w:hAnsi="Times New Roman"/>
        </w:rPr>
        <w:t xml:space="preserve">increase </w:t>
      </w:r>
      <w:r w:rsidR="008C747A">
        <w:rPr>
          <w:rFonts w:ascii="Times New Roman" w:hAnsi="Times New Roman"/>
        </w:rPr>
        <w:t xml:space="preserve">observed </w:t>
      </w:r>
      <w:r w:rsidR="00343183">
        <w:rPr>
          <w:rFonts w:ascii="Times New Roman" w:hAnsi="Times New Roman"/>
        </w:rPr>
        <w:t>in C levels from Pre to Post in Week 1 but not</w:t>
      </w:r>
      <w:r w:rsidR="008C747A">
        <w:rPr>
          <w:rFonts w:ascii="Times New Roman" w:hAnsi="Times New Roman"/>
        </w:rPr>
        <w:t xml:space="preserve"> </w:t>
      </w:r>
      <w:r w:rsidR="00DA041F">
        <w:rPr>
          <w:rFonts w:ascii="Times New Roman" w:hAnsi="Times New Roman"/>
        </w:rPr>
        <w:t>found</w:t>
      </w:r>
      <w:r w:rsidR="00343183">
        <w:rPr>
          <w:rFonts w:ascii="Times New Roman" w:hAnsi="Times New Roman"/>
        </w:rPr>
        <w:t xml:space="preserve"> in Week 4. </w:t>
      </w:r>
    </w:p>
    <w:p w14:paraId="224FEDF3" w14:textId="0FBFF4A0" w:rsidR="00427607" w:rsidRPr="00CF6FF1" w:rsidRDefault="00AA6AD1" w:rsidP="00427607">
      <w:pPr>
        <w:spacing w:line="480" w:lineRule="auto"/>
        <w:jc w:val="both"/>
      </w:pPr>
      <w:bookmarkStart w:id="100" w:name="_Toc99267657"/>
      <w:r w:rsidRPr="006D7DD3">
        <w:rPr>
          <w:rStyle w:val="Heading3Char"/>
          <w:rFonts w:ascii="Times New Roman" w:hAnsi="Times New Roman" w:cs="Times New Roman"/>
          <w:b/>
          <w:bCs/>
          <w:i/>
          <w:iCs/>
          <w:color w:val="000000" w:themeColor="text1"/>
        </w:rPr>
        <w:t>Hypothesis 1</w:t>
      </w:r>
      <w:bookmarkEnd w:id="100"/>
      <w:r w:rsidRPr="006D7DD3">
        <w:rPr>
          <w:rFonts w:ascii="Times New Roman" w:hAnsi="Times New Roman"/>
          <w:b/>
          <w:bCs/>
          <w:i/>
          <w:iCs/>
          <w:color w:val="000000" w:themeColor="text1"/>
        </w:rPr>
        <w:t>:</w:t>
      </w:r>
      <w:r w:rsidRPr="006D7DD3">
        <w:rPr>
          <w:rFonts w:ascii="Times New Roman" w:hAnsi="Times New Roman"/>
          <w:color w:val="000000" w:themeColor="text1"/>
        </w:rPr>
        <w:t xml:space="preserve"> </w:t>
      </w:r>
      <w:r w:rsidR="00427607" w:rsidRPr="00427607">
        <w:rPr>
          <w:rFonts w:ascii="Times New Roman" w:hAnsi="Times New Roman"/>
        </w:rPr>
        <w:t xml:space="preserve">It was hypothesized that there would be a significant increase in salivary </w:t>
      </w:r>
      <w:r w:rsidR="00A63E8D">
        <w:rPr>
          <w:rFonts w:ascii="Times New Roman" w:hAnsi="Times New Roman"/>
        </w:rPr>
        <w:t>C</w:t>
      </w:r>
      <w:r w:rsidR="00427607" w:rsidRPr="00427607">
        <w:rPr>
          <w:rFonts w:ascii="Times New Roman" w:hAnsi="Times New Roman"/>
        </w:rPr>
        <w:t xml:space="preserve">ortisol following both basketball sessions in accordance with previous literature </w:t>
      </w:r>
      <w:r w:rsidR="00427607" w:rsidRPr="00427607">
        <w:rPr>
          <w:rFonts w:ascii="Times New Roman" w:hAnsi="Times New Roman"/>
          <w:noProof/>
        </w:rPr>
        <w:fldChar w:fldCharType="begin"/>
      </w:r>
      <w:r w:rsidR="00546507">
        <w:rPr>
          <w:rFonts w:ascii="Times New Roman" w:hAnsi="Times New Roman"/>
          <w:noProof/>
        </w:rPr>
        <w:instrText xml:space="preserve"> ADDIN ZOTERO_ITEM CSL_CITATION {"citationID":"6GFXGTuR","properties":{"formattedCitation":"(Arruda et al., 2014)","plainCitation":"(Arruda et al., 2014)","noteIndex":0},"citationItems":[{"id":121,"uris":["http://zotero.org/users/6327055/items/ISQ3B27D"],"itemData":{"id":121,"type":"article-journal","abstract":"This study examined the inﬂuence of competition playing venue on the hormonal responses, state anxiety and perception of effort in elite basketball players. Eighteen males from two basketball teams were monitored during two competitive matches that were played against each other on a home and away basis. Salivary testosterone (T) and cortisol (C) concentrations were measured before and after each match. The Competitive State Anxiety Inventory-2 (CSAI-2) test was also administrated prior to each match and session ratings of perceived exertion (RPE) were taken post-game. Playing at home was accompanied by elevated pre-match T concentration, as compared to playing away (p b 0.05). The matches played at home were also won. Salivary T and C concentrations were similarly elevated across the matches (percent changes from pre to post) played either at home or away. No signiﬁcant differences in state anxiety and perception of effort were identiﬁed between the playing venues. Pre-match T and C concentrations and the percent changes in these hormones were signiﬁcantly related to somatic anxiety, especially when playing at home (p b 0.05). In conclusion, the competition playing venue appeared to inﬂuence athlete salivary hormonal responses prior to elite basketball matches. These hormonal responses were associated with player's anxiety state, which might contribute to performance and the eventual match outcomes.","container-title":"Physiology &amp; Behavior","DOI":"10.1016/j.physbeh.2014.03.007","ISSN":"00319384","journalAbbreviation":"Physiology &amp; Behavior","language":"en","page":"1-5","source":"DOI.org (Crossref)","title":"Influence of competition playing venue on the hormonal responses, state anxiety and perception of effort in elite basketball athletes","volume":"130","author":[{"family":"Arruda","given":"Ademir F.S."},{"family":"Aoki","given":"Marcelo S."},{"family":"Freitas","given":"Camila G."},{"family":"Drago","given":"Gustavo"},{"family":"Oliveira","given":"Roney"},{"family":"Crewther","given":"Blair T."},{"family":"Moreira","given":"Alexandre"}],"issued":{"date-parts":[["2014",5]]}}}],"schema":"https://github.com/citation-style-language/schema/raw/master/csl-citation.json"} </w:instrText>
      </w:r>
      <w:r w:rsidR="00427607" w:rsidRPr="00427607">
        <w:rPr>
          <w:rFonts w:ascii="Times New Roman" w:hAnsi="Times New Roman"/>
          <w:noProof/>
        </w:rPr>
        <w:fldChar w:fldCharType="separate"/>
      </w:r>
      <w:r w:rsidR="00427607" w:rsidRPr="00427607">
        <w:rPr>
          <w:rFonts w:ascii="Times New Roman" w:hAnsi="Times New Roman"/>
          <w:noProof/>
        </w:rPr>
        <w:t>(Arruda et al., 2014)</w:t>
      </w:r>
      <w:r w:rsidR="00427607" w:rsidRPr="00427607">
        <w:rPr>
          <w:rFonts w:ascii="Times New Roman" w:hAnsi="Times New Roman"/>
          <w:noProof/>
        </w:rPr>
        <w:fldChar w:fldCharType="end"/>
      </w:r>
      <w:r w:rsidR="00427607" w:rsidRPr="00427607">
        <w:rPr>
          <w:rFonts w:ascii="Times New Roman" w:hAnsi="Times New Roman"/>
        </w:rPr>
        <w:t xml:space="preserve">. </w:t>
      </w:r>
      <w:r w:rsidR="00093E2D">
        <w:rPr>
          <w:rFonts w:ascii="Times New Roman" w:hAnsi="Times New Roman"/>
        </w:rPr>
        <w:t xml:space="preserve">Additionally, no significant differences would exist within salivary Testosterone and salivary </w:t>
      </w:r>
      <w:proofErr w:type="spellStart"/>
      <w:r w:rsidR="00093E2D">
        <w:rPr>
          <w:rFonts w:ascii="Times New Roman" w:hAnsi="Times New Roman"/>
        </w:rPr>
        <w:t>Testosterone:Cortisol</w:t>
      </w:r>
      <w:proofErr w:type="spellEnd"/>
      <w:r w:rsidR="00093E2D">
        <w:rPr>
          <w:rFonts w:ascii="Times New Roman" w:hAnsi="Times New Roman"/>
        </w:rPr>
        <w:t xml:space="preserve"> ratio after each basketball specific training session </w:t>
      </w:r>
      <w:r w:rsidR="00427607" w:rsidRPr="00427607">
        <w:rPr>
          <w:rFonts w:ascii="Times New Roman" w:hAnsi="Times New Roman"/>
        </w:rPr>
        <w:t xml:space="preserve">similarly reported by </w:t>
      </w:r>
      <w:r w:rsidR="00427607" w:rsidRPr="00427607">
        <w:rPr>
          <w:rFonts w:ascii="Times New Roman" w:hAnsi="Times New Roman"/>
          <w:noProof/>
        </w:rPr>
        <w:fldChar w:fldCharType="begin"/>
      </w:r>
      <w:r w:rsidR="00546507">
        <w:rPr>
          <w:rFonts w:ascii="Times New Roman" w:hAnsi="Times New Roman"/>
          <w:noProof/>
        </w:rPr>
        <w:instrText xml:space="preserve"> ADDIN ZOTERO_ITEM CSL_CITATION {"citationID":"7GdV2Q32","properties":{"formattedCitation":"(Andre et al., 2018; Hoffman et al., 1999)","plainCitation":"(Andre et al., 2018; Hoffman et al., 1999)","noteIndex":0},"citationItems":[{"id":127,"uris":["http://zotero.org/users/6327055/items/NJLLP2DZ"],"itemData":{"id":127,"type":"article-journal","abstract":"International Journal of Exercise Science 11(6): 439-451, 2018. The purpose of this study was to monitor weekly the salivary free testosterone (FT), cortisol (C), and the FT/C ratio in elite men NCAA Division I basketball athletes across an entire season. Twelve athletes gave salivary samples for 30 consecutive weeks, beginning in the pre-season and ending one week after the end of post-season competition. Samples were assayed for FT and C. Additionally, a composite value (CBD) composed of Z-scores for weekly practice minutes, game minutes, resistance training repetitions, academic demands, and travel schedules was determined. One-way RM ANOVAs were used to determine which weekly values were different (α=.05) from the season mean. For FT, 10 weeks were different from the season average (5.1 nmol/L). For C, 11 weeks were different from the season mean (9.0 nmol/L). For FT/C, weeks 7 (p=.007), 17 (p=.007), and 25 (p=.005) were different from the season mean (FT/C=0.69). During Wk7, at the start of regular season play, FT/C was above, while CBD was below the season means. During Wk17, which was leading into a series of important conference games, FT/C was below, while CBD was not different from season means. During Wk25, which was one week before the conference tournament, FT/C was below, while CBD was above season means. The methods of this study can be used for monitoring athlete responses and adaptations to sport-specific training and competition; specifically, for evaluating responses to challenging pre-season training, recovery for regular season play, and how they physiologically cope with the competitive season.","container-title":"International Journal of Exercise Science","issue":"6","language":"en","note":"Purpose: Monitor weekly salivary biomarkers in elite men NCAA Division 1 basketball players throughout an entire season. Additionally, the salivary biomarkers were compared to other demands for collegiate basketball training and competition, to examin their relationships. \nResearch Question: What is the weekly hormonal response to training? How do other stimuli within the magnitude of the training sessions and aspects of the season effect the hormonal response? \nMethods \nStudy Design: This study was observational with a colllection of saliva upon arrival from each participant prior to the afternoon practice across 30 weeks of the training and competitive season. Aspects such as playing/practice minutes, travel, resistance exercise volume, and academia were collected. \nSample: 12 male NCAA Division 1 American collegiate basketball student athletes \nProtocol: Salivary sample at rest prior to the afternoon practice (1300-1500hrs) in the middle of the week for 27 weeks with the 30 week season. Sample collection began one week before pre-season and concluded one week after post-season. No eating, brushing teeth, or consuming any drink other than water 1 hour prior to collection. Mouth rinse with water and resting for 5 minutes and finally an oral swab to hold in their mouth for 2 minutes.\nValidity/Reliabilty Data: Saliva has been shown to be highly correlated with plasma or serum samples. \nData Collection Procedures: Samples were frozen at -80 degress Celsius. Enzyme immunoassay kits using 96 well microtitre plates from Salimetrics. Separate assay for each athlete. Playing minutes, practice minutes, resistance training volume (total repetitions), travel schedules (scale values based on the time getting back from the trip - 1 = overnight bus before midnight, 2 = overnight flight, 5 = multiple day trip with flight), and academic demands (scale generalized so 0 = no class, 2 = normal academic week, 4 = exam period) were collected. All variables converted to Z scores. \nStatistical Analyses: IBM SPSS 24, 324 total samples with 20 missing from absence and replaced with the team's average for that week. Verification of all assumptions and a 1 way RMANOVA with LSD pairwise comparisons to determine which weekly values were different from the season mean. Relationships between team FT, C, FT/C and team CBD (collegiate basketball demands) scores, and their individual components, throughout the season was done through Pearson correlations. Significant set at 0.05. \nFindings: The FT (free testosterone) was seen to be different from the season mean in 10 weeks, C (cortisol) was different in 11 weeks, and FT/C (FT/C ratio) was different in weeks 7 (more than 3 SD above with CBD significantly below season averages), 17-before important games (more than 2.5 SD below season average and no difference in CBD), and 25-before conference tournament (FT/C more than 1 SD below and CBD significantly above season averages). There was a significant negative correlation between FT/C and game minutes. \nConclusions: The increases in C at the beginning is likely due to the intense preseason. The large increase in FT/C in week 7 suggests that the athletes were recovered from preseason prior to the first week of regular season competition but there was no increase in FT meaning there was a reduction in C. The decrease in FT/C at week 17 could suggest that the season was beginning to have an effect physiologically on the athletes and was supported by the negative correlation of FT/C and game minutes. There was another decrease in FT/C at the start of postseason competition but a return to baseline once competition play stopped. This is likely due to the decreases in FT leading to the reduction in FT/C but C also varied significantly through the collection showing that the demands are stressful. The CBD was very unpredictable but when examined individually a significant inverse correlation between FT/C and game minutes was found. Monitoring FT/C changes may provide insight into health, performance, and recovery. \nFurther Research: Collect performance data in conjuction with the biomarker samples to examine if performance changes occur and relate to the biomarkers. \nRelevant Studies: \nGaviglio CM, Cook CJ. Relationship between midweek training measures of testosterone and cortisol concentrations and game outcome in professional rugby union matches. J Strength Cond Res 28(12):3447-3452, 2014.\nBalsalobre-Fernández C, Tejero-González CM, del Campo-Vecino J. Relationships between training load, salivary cortisol responses and performance during season training in middle and long distance runners. PLoS ONE 9(8), 2014.\nHoffman JR, Epstein S, Yarom Y, Zigel L, Einbinder M. Hormonal and biochemical changes in elite basketball players during a 4-week training camp. J Strength Cond Res 13(3):280-285, 1999.\nKraemer WJ, Ratamess NA. Hormonal responses and adaptations to resistance exercise and training. Sports Med 35(4):339-361, 2005.","page":"439-451","source":"Zotero","title":"Weekly salivary biomarkers across a season for elite men collegiate basketball players","volume":"11","author":[{"family":"Andre","given":"Matthew J"},{"family":"Fry","given":"Andrew C"},{"family":"Luebbers","given":"Paul E"},{"family":"Hudy","given":"Andrea"},{"family":"Dietz","given":"Partricia R"},{"family":"Cain","given":"Glenn J"}],"issued":{"date-parts":[["2018"]]}}},{"id":170,"uris":["http://zotero.org/users/6327055/items/JX5273GV"],"itemData":{"id":170,"type":"article-journal","abstract":"This investigation examined hormonal and biochemical changes in basketball players during a 4-week training camp before the European championships. Ten members of the Israel national team (mean ± SD; age: 26.4 ± 4.3 years; weight: 100.7 ± 12.3 kg; and height: 196.4 ± 8.0 cm) participated in this study, which began 4 weeks after the regular season. Plasma samples of testosterone, cortisol, luteinizing hormone, thyroid-stimulating hormone, triiodothyronine, free thyroxine, creatine kinase, and urea were obtained before (T1) and after 9 (T2), 17 (T3), and 28 (T4) days of practice. Questionnaires concerning appetite, quality of sleep, muscle soreness, and recovery time following practice were filled out before each blood draw. Differences (p &lt; 0.05) in the volume of training were seen between T1 and T2 (150 ± 29 min*d−1) and T3 and T4 (92 ± 28 min*d−1). Muscle soreness and recovery time following practice were greater (p &lt; 0.05) at T2 than T1, T3, and T4. A significant increase in cortisol, although remaining within normal physiological range, was observed between T1 (260 ± 91 nmol*L−1) and T4 (457 ± 99 nmol*L−1). No changes from Tl were seen in testosterone (14.2 ± 5.6 nmol*L−1), luteinizing hormone (4.2 ± 1.6 IU*mH−1), creatine kinase, and urea or in the testosterone-to-cortisol ratio. In addition, no significant changes from T1 were observed in any of the thyroid hormones. These results suggest that a 28-day training camp may not cause significant disturbances in hormonal or biochemical stress markers in elite athletes.","container-title":"The Journal of Strength &amp; Conditioning Research","ISSN":"1064-8011","issue":"3","language":"en-US","note":"Purpose: Examine the hormonal and biochemical measurements in the early stages of overtraining in elite basketball players. \nResearch Question: What are the hormonal and biochemical responses in elite basketball players in the response to overtraining?\nMethods \nStudy Design: Measurements of hormonal and other biochemical parameters were collected in a 4 week training camp before an international basketball tournament and a month of complete rest after the regular season. \nSample: 10 participants of the Israel national basketball team \nProtocol: Measurements such as blood samples and questionnaires were taken on Days 1, 9, 17, and 28 in the morning before practice at the same time. A questionnaire was adminsitered by the same researcher and same environemental conditions was performed to describe appetite, quality of sleep, feelings of soreness, feelings of recovery, and perception of practice intensity all done on a 5 point scale. \nStatistical Analyses: Significance was set at 0.05. A one way ANOVA and repeated measures across time with post hoc analyses of a Bonferroni correction was performed. \nFindings: Training volume was the average practice time per day. Training volume was high initially but completed a taper toward the end of the camp. Training volume was significantly greater in days 1 and 9 than days 17 and 28. The perception of the training intensity was unchanged throughout the camp. The subjective questionnaire revealed that on Day 9 there were increases in muscle soreness and less recovery time. The concentration of T was unchanged throughout the 4 weeks. There was a significant increase in cortisol over the 4 weeks but only Day 28 showed a significant increase from Day 1. T/C ratio remained unchanged throughout the camp but there was a decrease seen from Day 1 to Day 28. \nConclusions: The resting level of T was low compared to normal to start and may suggest that the players were still not recovered from the 9 month regular season play even after a month of rest. The significant increase in C from Day 1 to Day 28 could be due to the athletes still not being recovered and another stimulus was given to early in a hypersensitive state of the athletes. This is in line with the decrease in T/C ratio of 22% from Day 1 to Day 28 but not reaching significance. Overall, the 4 week recovery period may not have been adequate for the athletes.\nFurther Research: Examine the duration of a recovery period to be adequate enough for recovery to occur within athletes. \nRelevant Studies: \nHakkinen, K. Effects of the competitive season on physical fitness profile in elite basketball players. J. Hum. Movement Stud. 15:119-128. 1988.","page":"280–285","source":"journals.lww.com","title":"Hormonal and biochemical changes in elite basketball players during a 4-week training camp","volume":"13","author":[{"family":"Hoffman","given":"Jay R."},{"family":"Epstein","given":"Shmuel"},{"family":"Yarom","given":"Yoni"},{"family":"Zigel","given":"Levanna"},{"family":"Einbinder","given":"Merav"}],"issued":{"date-parts":[["1999",8]]}}}],"schema":"https://github.com/citation-style-language/schema/raw/master/csl-citation.json"} </w:instrText>
      </w:r>
      <w:r w:rsidR="00427607" w:rsidRPr="00427607">
        <w:rPr>
          <w:rFonts w:ascii="Times New Roman" w:hAnsi="Times New Roman"/>
          <w:noProof/>
        </w:rPr>
        <w:fldChar w:fldCharType="separate"/>
      </w:r>
      <w:r w:rsidR="00427607" w:rsidRPr="00427607">
        <w:rPr>
          <w:rFonts w:ascii="Times New Roman" w:hAnsi="Times New Roman"/>
          <w:noProof/>
        </w:rPr>
        <w:t>(Andre et al., 2018; Hoffman et al., 1999)</w:t>
      </w:r>
      <w:r w:rsidR="00427607" w:rsidRPr="00427607">
        <w:rPr>
          <w:rFonts w:ascii="Times New Roman" w:hAnsi="Times New Roman"/>
          <w:noProof/>
        </w:rPr>
        <w:fldChar w:fldCharType="end"/>
      </w:r>
      <w:r w:rsidR="00427607" w:rsidRPr="00427607">
        <w:rPr>
          <w:rFonts w:ascii="Times New Roman" w:hAnsi="Times New Roman"/>
        </w:rPr>
        <w:t>.</w:t>
      </w:r>
    </w:p>
    <w:p w14:paraId="1753E13E" w14:textId="0F0386FB" w:rsidR="00AA6AD1" w:rsidRDefault="0008287E" w:rsidP="00AA6AD1">
      <w:pPr>
        <w:spacing w:line="480" w:lineRule="auto"/>
        <w:rPr>
          <w:rFonts w:ascii="Times New Roman" w:hAnsi="Times New Roman"/>
        </w:rPr>
      </w:pPr>
      <w:r>
        <w:rPr>
          <w:rFonts w:ascii="Times New Roman" w:hAnsi="Times New Roman"/>
        </w:rPr>
        <w:tab/>
      </w:r>
      <w:r w:rsidR="00A63E8D">
        <w:rPr>
          <w:rFonts w:ascii="Times New Roman" w:hAnsi="Times New Roman"/>
        </w:rPr>
        <w:t xml:space="preserve">We will </w:t>
      </w:r>
      <w:r w:rsidR="00170E2D">
        <w:rPr>
          <w:rFonts w:ascii="Times New Roman" w:hAnsi="Times New Roman"/>
        </w:rPr>
        <w:t>accept</w:t>
      </w:r>
      <w:r w:rsidR="00A63E8D">
        <w:rPr>
          <w:rFonts w:ascii="Times New Roman" w:hAnsi="Times New Roman"/>
        </w:rPr>
        <w:t xml:space="preserve"> Hypothesis 1, </w:t>
      </w:r>
      <w:r w:rsidR="00170E2D">
        <w:rPr>
          <w:rFonts w:ascii="Times New Roman" w:hAnsi="Times New Roman"/>
        </w:rPr>
        <w:t xml:space="preserve">since </w:t>
      </w:r>
      <w:r w:rsidR="00A63E8D">
        <w:rPr>
          <w:rFonts w:ascii="Times New Roman" w:hAnsi="Times New Roman"/>
        </w:rPr>
        <w:t xml:space="preserve">there was a significant increase in salivary Cortisol following </w:t>
      </w:r>
      <w:r w:rsidR="00170E2D">
        <w:rPr>
          <w:rFonts w:ascii="Times New Roman" w:hAnsi="Times New Roman"/>
        </w:rPr>
        <w:t>a</w:t>
      </w:r>
      <w:r w:rsidR="00A63E8D">
        <w:rPr>
          <w:rFonts w:ascii="Times New Roman" w:hAnsi="Times New Roman"/>
        </w:rPr>
        <w:t xml:space="preserve"> basketball session in Week 1</w:t>
      </w:r>
      <w:r w:rsidR="00170E2D">
        <w:rPr>
          <w:rFonts w:ascii="Times New Roman" w:hAnsi="Times New Roman"/>
        </w:rPr>
        <w:t xml:space="preserve"> compared to Week 4</w:t>
      </w:r>
      <w:r w:rsidR="00A63E8D">
        <w:rPr>
          <w:rFonts w:ascii="Times New Roman" w:hAnsi="Times New Roman"/>
        </w:rPr>
        <w:t xml:space="preserve">, </w:t>
      </w:r>
      <w:r w:rsidR="00170E2D">
        <w:rPr>
          <w:rFonts w:ascii="Times New Roman" w:hAnsi="Times New Roman"/>
        </w:rPr>
        <w:t xml:space="preserve">indicating </w:t>
      </w:r>
      <w:r w:rsidR="00A63E8D">
        <w:rPr>
          <w:rFonts w:ascii="Times New Roman" w:hAnsi="Times New Roman"/>
        </w:rPr>
        <w:t xml:space="preserve">a significant </w:t>
      </w:r>
      <w:r w:rsidR="00170E2D">
        <w:rPr>
          <w:rFonts w:ascii="Times New Roman" w:hAnsi="Times New Roman"/>
        </w:rPr>
        <w:t>time effect</w:t>
      </w:r>
      <w:r w:rsidR="00A63E8D">
        <w:rPr>
          <w:rFonts w:ascii="Times New Roman" w:hAnsi="Times New Roman"/>
        </w:rPr>
        <w:t xml:space="preserve">. </w:t>
      </w:r>
      <w:r w:rsidR="005A05F6">
        <w:rPr>
          <w:rFonts w:ascii="Times New Roman" w:hAnsi="Times New Roman"/>
        </w:rPr>
        <w:t>Additionall</w:t>
      </w:r>
      <w:r w:rsidR="00901CCB">
        <w:rPr>
          <w:rFonts w:ascii="Times New Roman" w:hAnsi="Times New Roman"/>
        </w:rPr>
        <w:t xml:space="preserve">y, </w:t>
      </w:r>
      <w:r w:rsidR="00A63E8D">
        <w:rPr>
          <w:rFonts w:ascii="Times New Roman" w:hAnsi="Times New Roman"/>
        </w:rPr>
        <w:t xml:space="preserve">salivary Testosterone and salivary </w:t>
      </w:r>
      <w:proofErr w:type="spellStart"/>
      <w:r w:rsidR="00A63E8D">
        <w:rPr>
          <w:rFonts w:ascii="Times New Roman" w:hAnsi="Times New Roman"/>
        </w:rPr>
        <w:t>Testosterone:Cortisol</w:t>
      </w:r>
      <w:proofErr w:type="spellEnd"/>
      <w:r w:rsidR="00A63E8D">
        <w:rPr>
          <w:rFonts w:ascii="Times New Roman" w:hAnsi="Times New Roman"/>
        </w:rPr>
        <w:t xml:space="preserve"> ratio remained the same following the basketball specific training sessions. </w:t>
      </w:r>
    </w:p>
    <w:p w14:paraId="52BF6048" w14:textId="07DCC1E0" w:rsidR="00AA6AD1" w:rsidRDefault="00AA6AD1" w:rsidP="00427607">
      <w:pPr>
        <w:spacing w:line="480" w:lineRule="auto"/>
        <w:jc w:val="both"/>
        <w:rPr>
          <w:rFonts w:ascii="Times New Roman" w:hAnsi="Times New Roman"/>
        </w:rPr>
      </w:pPr>
      <w:bookmarkStart w:id="101" w:name="_Toc99267658"/>
      <w:r w:rsidRPr="006D7DD3">
        <w:rPr>
          <w:rStyle w:val="Heading3Char"/>
          <w:rFonts w:ascii="Times New Roman" w:hAnsi="Times New Roman" w:cs="Times New Roman"/>
          <w:b/>
          <w:bCs/>
          <w:i/>
          <w:iCs/>
          <w:color w:val="000000" w:themeColor="text1"/>
          <w:u w:val="single"/>
        </w:rPr>
        <w:t>Research Question 2</w:t>
      </w:r>
      <w:bookmarkEnd w:id="101"/>
      <w:r w:rsidRPr="006D7DD3">
        <w:rPr>
          <w:rFonts w:ascii="Times New Roman" w:hAnsi="Times New Roman" w:cs="Times New Roman"/>
          <w:b/>
          <w:bCs/>
          <w:i/>
          <w:iCs/>
          <w:u w:val="single"/>
        </w:rPr>
        <w:t>:</w:t>
      </w:r>
      <w:r w:rsidRPr="0098140E">
        <w:rPr>
          <w:rFonts w:ascii="Times New Roman" w:hAnsi="Times New Roman" w:cs="Times New Roman"/>
        </w:rPr>
        <w:t xml:space="preserve"> </w:t>
      </w:r>
      <w:r w:rsidRPr="00AA6AD1">
        <w:rPr>
          <w:rFonts w:ascii="Times New Roman" w:hAnsi="Times New Roman"/>
        </w:rPr>
        <w:t xml:space="preserve">Are there significant differences in salivary </w:t>
      </w:r>
      <w:r>
        <w:rPr>
          <w:rFonts w:ascii="Times New Roman" w:hAnsi="Times New Roman"/>
        </w:rPr>
        <w:t>T</w:t>
      </w:r>
      <w:r w:rsidRPr="00AA6AD1">
        <w:rPr>
          <w:rFonts w:ascii="Times New Roman" w:hAnsi="Times New Roman"/>
        </w:rPr>
        <w:t xml:space="preserve">estosterone, salivary </w:t>
      </w:r>
      <w:r>
        <w:rPr>
          <w:rFonts w:ascii="Times New Roman" w:hAnsi="Times New Roman"/>
        </w:rPr>
        <w:t>C</w:t>
      </w:r>
      <w:r w:rsidRPr="00AA6AD1">
        <w:rPr>
          <w:rFonts w:ascii="Times New Roman" w:hAnsi="Times New Roman"/>
        </w:rPr>
        <w:t xml:space="preserve">ortisol, or salivary </w:t>
      </w:r>
      <w:proofErr w:type="spellStart"/>
      <w:r>
        <w:rPr>
          <w:rFonts w:ascii="Times New Roman" w:hAnsi="Times New Roman"/>
        </w:rPr>
        <w:t>T</w:t>
      </w:r>
      <w:r w:rsidRPr="00AA6AD1">
        <w:rPr>
          <w:rFonts w:ascii="Times New Roman" w:hAnsi="Times New Roman"/>
        </w:rPr>
        <w:t>estos</w:t>
      </w:r>
      <w:r w:rsidR="008C2AC3">
        <w:rPr>
          <w:rFonts w:ascii="Times New Roman" w:hAnsi="Times New Roman"/>
        </w:rPr>
        <w:t>t</w:t>
      </w:r>
      <w:r w:rsidRPr="00AA6AD1">
        <w:rPr>
          <w:rFonts w:ascii="Times New Roman" w:hAnsi="Times New Roman"/>
        </w:rPr>
        <w:t>erone:</w:t>
      </w:r>
      <w:r>
        <w:rPr>
          <w:rFonts w:ascii="Times New Roman" w:hAnsi="Times New Roman"/>
        </w:rPr>
        <w:t>C</w:t>
      </w:r>
      <w:r w:rsidRPr="00AA6AD1">
        <w:rPr>
          <w:rFonts w:ascii="Times New Roman" w:hAnsi="Times New Roman"/>
        </w:rPr>
        <w:t>ortisol</w:t>
      </w:r>
      <w:proofErr w:type="spellEnd"/>
      <w:r w:rsidRPr="00AA6AD1">
        <w:rPr>
          <w:rFonts w:ascii="Times New Roman" w:hAnsi="Times New Roman"/>
        </w:rPr>
        <w:t xml:space="preserve"> ratio pre- and post- basketball preseason training phase?</w:t>
      </w:r>
    </w:p>
    <w:p w14:paraId="2A140D24" w14:textId="5AE2047F" w:rsidR="002D0370" w:rsidRDefault="002D0370" w:rsidP="00427607">
      <w:pPr>
        <w:spacing w:line="480" w:lineRule="auto"/>
        <w:jc w:val="both"/>
        <w:rPr>
          <w:rFonts w:ascii="Times New Roman" w:hAnsi="Times New Roman"/>
        </w:rPr>
      </w:pPr>
      <w:r>
        <w:rPr>
          <w:rFonts w:ascii="Times New Roman" w:hAnsi="Times New Roman"/>
        </w:rPr>
        <w:tab/>
      </w:r>
      <w:r w:rsidR="005A17E6">
        <w:rPr>
          <w:rFonts w:ascii="Times New Roman" w:hAnsi="Times New Roman"/>
        </w:rPr>
        <w:t xml:space="preserve">There were significant differences across the preseason training phase in salivary Testosterone, salivary Cortisol, and salivary Testosterone ratio. </w:t>
      </w:r>
      <w:r w:rsidR="00824AD7">
        <w:rPr>
          <w:rFonts w:ascii="Times New Roman" w:hAnsi="Times New Roman"/>
        </w:rPr>
        <w:t xml:space="preserve">Salivary Testosterone and salivary </w:t>
      </w:r>
      <w:r w:rsidR="00824AD7">
        <w:rPr>
          <w:rFonts w:ascii="Times New Roman" w:hAnsi="Times New Roman"/>
        </w:rPr>
        <w:lastRenderedPageBreak/>
        <w:t xml:space="preserve">Cortisol exhibited a significant </w:t>
      </w:r>
      <w:r w:rsidR="00AB4566">
        <w:rPr>
          <w:rFonts w:ascii="Times New Roman" w:hAnsi="Times New Roman"/>
        </w:rPr>
        <w:t>increase</w:t>
      </w:r>
      <w:r w:rsidR="00824AD7">
        <w:rPr>
          <w:rFonts w:ascii="Times New Roman" w:hAnsi="Times New Roman"/>
        </w:rPr>
        <w:t xml:space="preserve"> in the average of the Pre values of Week 1 and Week 4 compared to the average of the Post values of Week 1 and Week 4. Additionally, salivary Cortisol displayed a difference in the absolute change expressed in Week 1 from Pre to Post was significantly higher than the absolute change in Week 4. Moreover, the absolute and relative change in the T:C ratio in Week 1 from Pre to Post was significantly lower than Week 4. Also, the </w:t>
      </w:r>
      <w:r w:rsidR="00E42007">
        <w:rPr>
          <w:rFonts w:ascii="Times New Roman" w:hAnsi="Times New Roman"/>
        </w:rPr>
        <w:t xml:space="preserve">Post </w:t>
      </w:r>
      <w:r w:rsidR="00824AD7">
        <w:rPr>
          <w:rFonts w:ascii="Times New Roman" w:hAnsi="Times New Roman"/>
        </w:rPr>
        <w:t xml:space="preserve">T:C ratio </w:t>
      </w:r>
      <w:r w:rsidR="00E42007">
        <w:rPr>
          <w:rFonts w:ascii="Times New Roman" w:hAnsi="Times New Roman"/>
        </w:rPr>
        <w:t xml:space="preserve">produced in Week 1 was significantly lower than Week 4 Post. </w:t>
      </w:r>
    </w:p>
    <w:p w14:paraId="61C882BA" w14:textId="33A1BBA8" w:rsidR="00427607" w:rsidRPr="009A0BFB" w:rsidRDefault="00AA6AD1" w:rsidP="00427607">
      <w:pPr>
        <w:spacing w:line="480" w:lineRule="auto"/>
        <w:jc w:val="both"/>
      </w:pPr>
      <w:bookmarkStart w:id="102" w:name="_Toc99267659"/>
      <w:r w:rsidRPr="006D7DD3">
        <w:rPr>
          <w:rStyle w:val="Heading3Char"/>
          <w:rFonts w:ascii="Times New Roman" w:hAnsi="Times New Roman" w:cs="Times New Roman"/>
          <w:b/>
          <w:bCs/>
          <w:i/>
          <w:iCs/>
          <w:color w:val="000000" w:themeColor="text1"/>
        </w:rPr>
        <w:t>Hypothesis 2</w:t>
      </w:r>
      <w:bookmarkEnd w:id="102"/>
      <w:r w:rsidRPr="006D7DD3">
        <w:rPr>
          <w:rFonts w:ascii="Times New Roman" w:hAnsi="Times New Roman" w:cs="Times New Roman"/>
          <w:b/>
          <w:bCs/>
          <w:i/>
          <w:iCs/>
          <w:color w:val="000000" w:themeColor="text1"/>
        </w:rPr>
        <w:t>:</w:t>
      </w:r>
      <w:r w:rsidR="00427607" w:rsidRPr="006D7DD3">
        <w:rPr>
          <w:rFonts w:ascii="Times New Roman" w:hAnsi="Times New Roman"/>
          <w:color w:val="000000" w:themeColor="text1"/>
        </w:rPr>
        <w:t xml:space="preserve"> </w:t>
      </w:r>
      <w:r w:rsidR="00427607" w:rsidRPr="00427607">
        <w:rPr>
          <w:rFonts w:ascii="Times New Roman" w:hAnsi="Times New Roman"/>
        </w:rPr>
        <w:t xml:space="preserve">It was hypothesized that there would be a significant increase in salivary </w:t>
      </w:r>
      <w:proofErr w:type="spellStart"/>
      <w:r w:rsidR="008C2AC3">
        <w:rPr>
          <w:rFonts w:ascii="Times New Roman" w:hAnsi="Times New Roman"/>
        </w:rPr>
        <w:t>T</w:t>
      </w:r>
      <w:r w:rsidR="00427607" w:rsidRPr="00427607">
        <w:rPr>
          <w:rFonts w:ascii="Times New Roman" w:hAnsi="Times New Roman"/>
        </w:rPr>
        <w:t>estos</w:t>
      </w:r>
      <w:r w:rsidR="008C2AC3">
        <w:rPr>
          <w:rFonts w:ascii="Times New Roman" w:hAnsi="Times New Roman"/>
        </w:rPr>
        <w:t>t</w:t>
      </w:r>
      <w:r w:rsidR="00427607" w:rsidRPr="00427607">
        <w:rPr>
          <w:rFonts w:ascii="Times New Roman" w:hAnsi="Times New Roman"/>
        </w:rPr>
        <w:t>erone:</w:t>
      </w:r>
      <w:r w:rsidR="008C2AC3">
        <w:rPr>
          <w:rFonts w:ascii="Times New Roman" w:hAnsi="Times New Roman"/>
        </w:rPr>
        <w:t>C</w:t>
      </w:r>
      <w:r w:rsidR="00427607" w:rsidRPr="00427607">
        <w:rPr>
          <w:rFonts w:ascii="Times New Roman" w:hAnsi="Times New Roman"/>
        </w:rPr>
        <w:t>ortisol</w:t>
      </w:r>
      <w:proofErr w:type="spellEnd"/>
      <w:r w:rsidR="00427607" w:rsidRPr="00427607">
        <w:rPr>
          <w:rFonts w:ascii="Times New Roman" w:hAnsi="Times New Roman"/>
        </w:rPr>
        <w:t xml:space="preserve"> ratio, a significant decrease in salivary </w:t>
      </w:r>
      <w:r w:rsidR="008C2AC3">
        <w:rPr>
          <w:rFonts w:ascii="Times New Roman" w:hAnsi="Times New Roman"/>
        </w:rPr>
        <w:t>C</w:t>
      </w:r>
      <w:r w:rsidR="00427607" w:rsidRPr="00427607">
        <w:rPr>
          <w:rFonts w:ascii="Times New Roman" w:hAnsi="Times New Roman"/>
        </w:rPr>
        <w:t xml:space="preserve">ortisol </w:t>
      </w:r>
      <w:r w:rsidR="00093E2D">
        <w:rPr>
          <w:rFonts w:ascii="Times New Roman" w:hAnsi="Times New Roman"/>
        </w:rPr>
        <w:t>concentration, and no differences would exist within salivary Testosterone concentrations following the preseason training phase</w:t>
      </w:r>
      <w:r w:rsidR="00427607" w:rsidRPr="00427607">
        <w:rPr>
          <w:rFonts w:ascii="Times New Roman" w:hAnsi="Times New Roman"/>
        </w:rPr>
        <w:t xml:space="preserve"> in parallel with </w:t>
      </w:r>
      <w:r w:rsidR="00427607" w:rsidRPr="00427607">
        <w:rPr>
          <w:rFonts w:ascii="Times New Roman" w:hAnsi="Times New Roman"/>
          <w:noProof/>
        </w:rPr>
        <w:fldChar w:fldCharType="begin"/>
      </w:r>
      <w:r w:rsidR="00546507">
        <w:rPr>
          <w:rFonts w:ascii="Times New Roman" w:hAnsi="Times New Roman"/>
          <w:noProof/>
        </w:rPr>
        <w:instrText xml:space="preserve"> ADDIN ZOTERO_ITEM CSL_CITATION {"citationID":"HpWwzMf2","properties":{"formattedCitation":"(Andre et al., 2018)","plainCitation":"(Andre et al., 2018)","noteIndex":0},"citationItems":[{"id":127,"uris":["http://zotero.org/users/6327055/items/NJLLP2DZ"],"itemData":{"id":127,"type":"article-journal","abstract":"International Journal of Exercise Science 11(6): 439-451, 2018. The purpose of this study was to monitor weekly the salivary free testosterone (FT), cortisol (C), and the FT/C ratio in elite men NCAA Division I basketball athletes across an entire season. Twelve athletes gave salivary samples for 30 consecutive weeks, beginning in the pre-season and ending one week after the end of post-season competition. Samples were assayed for FT and C. Additionally, a composite value (CBD) composed of Z-scores for weekly practice minutes, game minutes, resistance training repetitions, academic demands, and travel schedules was determined. One-way RM ANOVAs were used to determine which weekly values were different (α=.05) from the season mean. For FT, 10 weeks were different from the season average (5.1 nmol/L). For C, 11 weeks were different from the season mean (9.0 nmol/L). For FT/C, weeks 7 (p=.007), 17 (p=.007), and 25 (p=.005) were different from the season mean (FT/C=0.69). During Wk7, at the start of regular season play, FT/C was above, while CBD was below the season means. During Wk17, which was leading into a series of important conference games, FT/C was below, while CBD was not different from season means. During Wk25, which was one week before the conference tournament, FT/C was below, while CBD was above season means. The methods of this study can be used for monitoring athlete responses and adaptations to sport-specific training and competition; specifically, for evaluating responses to challenging pre-season training, recovery for regular season play, and how they physiologically cope with the competitive season.","container-title":"International Journal of Exercise Science","issue":"6","language":"en","note":"Purpose: Monitor weekly salivary biomarkers in elite men NCAA Division 1 basketball players throughout an entire season. Additionally, the salivary biomarkers were compared to other demands for collegiate basketball training and competition, to examin their relationships. \nResearch Question: What is the weekly hormonal response to training? How do other stimuli within the magnitude of the training sessions and aspects of the season effect the hormonal response? \nMethods \nStudy Design: This study was observational with a colllection of saliva upon arrival from each participant prior to the afternoon practice across 30 weeks of the training and competitive season. Aspects such as playing/practice minutes, travel, resistance exercise volume, and academia were collected. \nSample: 12 male NCAA Division 1 American collegiate basketball student athletes \nProtocol: Salivary sample at rest prior to the afternoon practice (1300-1500hrs) in the middle of the week for 27 weeks with the 30 week season. Sample collection began one week before pre-season and concluded one week after post-season. No eating, brushing teeth, or consuming any drink other than water 1 hour prior to collection. Mouth rinse with water and resting for 5 minutes and finally an oral swab to hold in their mouth for 2 minutes.\nValidity/Reliabilty Data: Saliva has been shown to be highly correlated with plasma or serum samples. \nData Collection Procedures: Samples were frozen at -80 degress Celsius. Enzyme immunoassay kits using 96 well microtitre plates from Salimetrics. Separate assay for each athlete. Playing minutes, practice minutes, resistance training volume (total repetitions), travel schedules (scale values based on the time getting back from the trip - 1 = overnight bus before midnight, 2 = overnight flight, 5 = multiple day trip with flight), and academic demands (scale generalized so 0 = no class, 2 = normal academic week, 4 = exam period) were collected. All variables converted to Z scores. \nStatistical Analyses: IBM SPSS 24, 324 total samples with 20 missing from absence and replaced with the team's average for that week. Verification of all assumptions and a 1 way RMANOVA with LSD pairwise comparisons to determine which weekly values were different from the season mean. Relationships between team FT, C, FT/C and team CBD (collegiate basketball demands) scores, and their individual components, throughout the season was done through Pearson correlations. Significant set at 0.05. \nFindings: The FT (free testosterone) was seen to be different from the season mean in 10 weeks, C (cortisol) was different in 11 weeks, and FT/C (FT/C ratio) was different in weeks 7 (more than 3 SD above with CBD significantly below season averages), 17-before important games (more than 2.5 SD below season average and no difference in CBD), and 25-before conference tournament (FT/C more than 1 SD below and CBD significantly above season averages). There was a significant negative correlation between FT/C and game minutes. \nConclusions: The increases in C at the beginning is likely due to the intense preseason. The large increase in FT/C in week 7 suggests that the athletes were recovered from preseason prior to the first week of regular season competition but there was no increase in FT meaning there was a reduction in C. The decrease in FT/C at week 17 could suggest that the season was beginning to have an effect physiologically on the athletes and was supported by the negative correlation of FT/C and game minutes. There was another decrease in FT/C at the start of postseason competition but a return to baseline once competition play stopped. This is likely due to the decreases in FT leading to the reduction in FT/C but C also varied significantly through the collection showing that the demands are stressful. The CBD was very unpredictable but when examined individually a significant inverse correlation between FT/C and game minutes was found. Monitoring FT/C changes may provide insight into health, performance, and recovery. \nFurther Research: Collect performance data in conjuction with the biomarker samples to examine if performance changes occur and relate to the biomarkers. \nRelevant Studies: \nGaviglio CM, Cook CJ. Relationship between midweek training measures of testosterone and cortisol concentrations and game outcome in professional rugby union matches. J Strength Cond Res 28(12):3447-3452, 2014.\nBalsalobre-Fernández C, Tejero-González CM, del Campo-Vecino J. Relationships between training load, salivary cortisol responses and performance during season training in middle and long distance runners. PLoS ONE 9(8), 2014.\nHoffman JR, Epstein S, Yarom Y, Zigel L, Einbinder M. Hormonal and biochemical changes in elite basketball players during a 4-week training camp. J Strength Cond Res 13(3):280-285, 1999.\nKraemer WJ, Ratamess NA. Hormonal responses and adaptations to resistance exercise and training. Sports Med 35(4):339-361, 2005.","page":"439-451","source":"Zotero","title":"Weekly salivary biomarkers across a season for elite men collegiate basketball players","volume":"11","author":[{"family":"Andre","given":"Matthew J"},{"family":"Fry","given":"Andrew C"},{"family":"Luebbers","given":"Paul E"},{"family":"Hudy","given":"Andrea"},{"family":"Dietz","given":"Partricia R"},{"family":"Cain","given":"Glenn J"}],"issued":{"date-parts":[["2018"]]}}}],"schema":"https://github.com/citation-style-language/schema/raw/master/csl-citation.json"} </w:instrText>
      </w:r>
      <w:r w:rsidR="00427607" w:rsidRPr="00427607">
        <w:rPr>
          <w:rFonts w:ascii="Times New Roman" w:hAnsi="Times New Roman"/>
          <w:noProof/>
        </w:rPr>
        <w:fldChar w:fldCharType="separate"/>
      </w:r>
      <w:r w:rsidR="00427607" w:rsidRPr="00427607">
        <w:rPr>
          <w:rFonts w:ascii="Times New Roman" w:hAnsi="Times New Roman"/>
          <w:noProof/>
        </w:rPr>
        <w:t>(Andre et al., 2018)</w:t>
      </w:r>
      <w:r w:rsidR="00427607" w:rsidRPr="00427607">
        <w:rPr>
          <w:rFonts w:ascii="Times New Roman" w:hAnsi="Times New Roman"/>
          <w:noProof/>
        </w:rPr>
        <w:fldChar w:fldCharType="end"/>
      </w:r>
      <w:r w:rsidR="00427607" w:rsidRPr="00427607">
        <w:rPr>
          <w:rFonts w:ascii="Times New Roman" w:hAnsi="Times New Roman"/>
        </w:rPr>
        <w:t xml:space="preserve">. </w:t>
      </w:r>
    </w:p>
    <w:p w14:paraId="26D191FD" w14:textId="76CF4B0F" w:rsidR="00AA6AD1" w:rsidRDefault="0008287E" w:rsidP="00AA6AD1">
      <w:pPr>
        <w:spacing w:line="480" w:lineRule="auto"/>
        <w:rPr>
          <w:rFonts w:ascii="Times New Roman" w:hAnsi="Times New Roman"/>
        </w:rPr>
      </w:pPr>
      <w:r>
        <w:rPr>
          <w:rFonts w:ascii="Times New Roman" w:hAnsi="Times New Roman"/>
        </w:rPr>
        <w:tab/>
      </w:r>
      <w:r w:rsidR="00395DEA">
        <w:rPr>
          <w:rFonts w:ascii="Times New Roman" w:hAnsi="Times New Roman"/>
        </w:rPr>
        <w:t xml:space="preserve">We will reject Hypothesis 2, </w:t>
      </w:r>
      <w:r w:rsidR="00D2263E">
        <w:rPr>
          <w:rFonts w:ascii="Times New Roman" w:hAnsi="Times New Roman"/>
        </w:rPr>
        <w:t xml:space="preserve">since there was only a significant increase in the salivary </w:t>
      </w:r>
      <w:proofErr w:type="spellStart"/>
      <w:r w:rsidR="00D2263E">
        <w:rPr>
          <w:rFonts w:ascii="Times New Roman" w:hAnsi="Times New Roman"/>
        </w:rPr>
        <w:t>Testosterone:Cortisol</w:t>
      </w:r>
      <w:proofErr w:type="spellEnd"/>
      <w:r w:rsidR="00D2263E">
        <w:rPr>
          <w:rFonts w:ascii="Times New Roman" w:hAnsi="Times New Roman"/>
        </w:rPr>
        <w:t xml:space="preserve"> ratio in the absolute and relative changes and the Post values from Week 1 to Week 4. Plus, salivary Cortisol only displayed a significant reduction in the absolute change from Week 1 to Week 4, otherwise it remained unchanged in Week 4 compared to Week 1</w:t>
      </w:r>
      <w:r w:rsidR="00013D15">
        <w:rPr>
          <w:rFonts w:ascii="Times New Roman" w:hAnsi="Times New Roman"/>
        </w:rPr>
        <w:t xml:space="preserve">. Lastly, salivary Testosterone exhibited a significant increase from the average Pre values of Week 1 and Week 4 to the Post values of Week 1 and Week 4, nevertheless no other differences were detected. </w:t>
      </w:r>
    </w:p>
    <w:p w14:paraId="631C55D9" w14:textId="305BC40B" w:rsidR="00AA6AD1" w:rsidRDefault="00AA6AD1" w:rsidP="00427607">
      <w:pPr>
        <w:spacing w:line="480" w:lineRule="auto"/>
        <w:jc w:val="both"/>
        <w:rPr>
          <w:rFonts w:ascii="Times New Roman" w:hAnsi="Times New Roman"/>
        </w:rPr>
      </w:pPr>
      <w:bookmarkStart w:id="103" w:name="_Toc99267660"/>
      <w:r w:rsidRPr="006D7DD3">
        <w:rPr>
          <w:rStyle w:val="Heading3Char"/>
          <w:rFonts w:ascii="Times New Roman" w:hAnsi="Times New Roman" w:cs="Times New Roman"/>
          <w:b/>
          <w:bCs/>
          <w:i/>
          <w:iCs/>
          <w:color w:val="000000" w:themeColor="text1"/>
          <w:u w:val="single"/>
        </w:rPr>
        <w:t>Research Question 3</w:t>
      </w:r>
      <w:bookmarkEnd w:id="103"/>
      <w:r w:rsidRPr="006D7DD3">
        <w:rPr>
          <w:rFonts w:ascii="Times New Roman" w:hAnsi="Times New Roman" w:cs="Times New Roman"/>
          <w:b/>
          <w:bCs/>
          <w:i/>
          <w:iCs/>
          <w:color w:val="000000" w:themeColor="text1"/>
          <w:u w:val="single"/>
        </w:rPr>
        <w:t>:</w:t>
      </w:r>
      <w:r w:rsidRPr="006D7DD3">
        <w:rPr>
          <w:rFonts w:ascii="Times New Roman" w:hAnsi="Times New Roman"/>
          <w:color w:val="000000" w:themeColor="text1"/>
        </w:rPr>
        <w:t xml:space="preserve"> </w:t>
      </w:r>
      <w:r w:rsidRPr="00AA6AD1">
        <w:rPr>
          <w:rFonts w:ascii="Times New Roman" w:hAnsi="Times New Roman"/>
        </w:rPr>
        <w:t>Are there significant differences in countermovement jump performance pre- and post- basketball specific training session?</w:t>
      </w:r>
    </w:p>
    <w:p w14:paraId="4B7CB363" w14:textId="67DE4F23" w:rsidR="002D0370" w:rsidRPr="00AA6AD1" w:rsidRDefault="002D0370" w:rsidP="00427607">
      <w:pPr>
        <w:spacing w:line="480" w:lineRule="auto"/>
        <w:jc w:val="both"/>
      </w:pPr>
      <w:r>
        <w:rPr>
          <w:rFonts w:ascii="Times New Roman" w:hAnsi="Times New Roman"/>
        </w:rPr>
        <w:tab/>
      </w:r>
      <w:r w:rsidR="00054E77">
        <w:rPr>
          <w:rFonts w:ascii="Times New Roman" w:hAnsi="Times New Roman"/>
        </w:rPr>
        <w:t xml:space="preserve">There was a significant difference in </w:t>
      </w:r>
      <w:proofErr w:type="spellStart"/>
      <w:r w:rsidR="00054E77">
        <w:rPr>
          <w:rFonts w:ascii="Times New Roman" w:hAnsi="Times New Roman"/>
        </w:rPr>
        <w:t>ConcPF</w:t>
      </w:r>
      <w:proofErr w:type="spellEnd"/>
      <w:r w:rsidR="00054E77">
        <w:rPr>
          <w:rFonts w:ascii="Times New Roman" w:hAnsi="Times New Roman"/>
        </w:rPr>
        <w:t xml:space="preserve"> exhibit</w:t>
      </w:r>
      <w:r w:rsidR="00805687">
        <w:rPr>
          <w:rFonts w:ascii="Times New Roman" w:hAnsi="Times New Roman"/>
        </w:rPr>
        <w:t>ing</w:t>
      </w:r>
      <w:r w:rsidR="00054E77">
        <w:rPr>
          <w:rFonts w:ascii="Times New Roman" w:hAnsi="Times New Roman"/>
        </w:rPr>
        <w:t xml:space="preserve"> an increase in Week 1 from Pre to Post but not in Week 4. However, when made relative to Body Mass, no significant differences were detected in any CMJ variables. </w:t>
      </w:r>
    </w:p>
    <w:p w14:paraId="74663105" w14:textId="5BA8B095" w:rsidR="00427607" w:rsidRPr="002634C4" w:rsidRDefault="00AA6AD1" w:rsidP="00427607">
      <w:pPr>
        <w:spacing w:line="480" w:lineRule="auto"/>
        <w:jc w:val="both"/>
      </w:pPr>
      <w:bookmarkStart w:id="104" w:name="_Toc99267661"/>
      <w:r w:rsidRPr="006D7DD3">
        <w:rPr>
          <w:rStyle w:val="Heading3Char"/>
          <w:rFonts w:ascii="Times New Roman" w:hAnsi="Times New Roman" w:cs="Times New Roman"/>
          <w:b/>
          <w:bCs/>
          <w:i/>
          <w:iCs/>
          <w:color w:val="000000" w:themeColor="text1"/>
        </w:rPr>
        <w:lastRenderedPageBreak/>
        <w:t>Hypothesis 3</w:t>
      </w:r>
      <w:bookmarkEnd w:id="104"/>
      <w:r w:rsidRPr="006D7DD3">
        <w:rPr>
          <w:rFonts w:ascii="Times New Roman" w:hAnsi="Times New Roman" w:cs="Times New Roman"/>
          <w:b/>
          <w:bCs/>
          <w:i/>
          <w:iCs/>
          <w:color w:val="000000" w:themeColor="text1"/>
        </w:rPr>
        <w:t>:</w:t>
      </w:r>
      <w:r w:rsidR="00427607" w:rsidRPr="006D7DD3">
        <w:rPr>
          <w:rFonts w:ascii="Times New Roman" w:hAnsi="Times New Roman"/>
          <w:color w:val="000000" w:themeColor="text1"/>
        </w:rPr>
        <w:t xml:space="preserve"> </w:t>
      </w:r>
      <w:r w:rsidR="00427607" w:rsidRPr="00427607">
        <w:rPr>
          <w:rFonts w:ascii="Times New Roman" w:hAnsi="Times New Roman"/>
        </w:rPr>
        <w:t>It was hypothesized that there would be significant decreases in countermovement jump performance from pre- to post- basketball specific training sessions.</w:t>
      </w:r>
    </w:p>
    <w:p w14:paraId="4AD9FA92" w14:textId="50E59C95" w:rsidR="00AA6AD1" w:rsidRDefault="00054E77" w:rsidP="00AA6AD1">
      <w:pPr>
        <w:spacing w:line="480" w:lineRule="auto"/>
        <w:rPr>
          <w:rFonts w:ascii="Times New Roman" w:hAnsi="Times New Roman"/>
        </w:rPr>
      </w:pPr>
      <w:r>
        <w:rPr>
          <w:rFonts w:ascii="Times New Roman" w:hAnsi="Times New Roman"/>
        </w:rPr>
        <w:tab/>
        <w:t xml:space="preserve">We will reject Hypothesis 3, that CMJ performance would be influenced from Pre to Post basketball specific training sessions since we did not observe any differences when made relative to Body Mass. </w:t>
      </w:r>
    </w:p>
    <w:p w14:paraId="5A30221A" w14:textId="3B792E58" w:rsidR="00AA6AD1" w:rsidRDefault="00AA6AD1" w:rsidP="00427607">
      <w:pPr>
        <w:spacing w:line="480" w:lineRule="auto"/>
        <w:jc w:val="both"/>
        <w:rPr>
          <w:rFonts w:ascii="Times New Roman" w:hAnsi="Times New Roman"/>
        </w:rPr>
      </w:pPr>
      <w:bookmarkStart w:id="105" w:name="_Toc99267662"/>
      <w:r w:rsidRPr="006D7DD3">
        <w:rPr>
          <w:rStyle w:val="Heading3Char"/>
          <w:rFonts w:ascii="Times New Roman" w:hAnsi="Times New Roman" w:cs="Times New Roman"/>
          <w:b/>
          <w:bCs/>
          <w:i/>
          <w:iCs/>
          <w:color w:val="000000" w:themeColor="text1"/>
          <w:u w:val="single"/>
        </w:rPr>
        <w:t>Research Question 4</w:t>
      </w:r>
      <w:bookmarkEnd w:id="105"/>
      <w:r w:rsidRPr="00AA6AD1">
        <w:rPr>
          <w:rFonts w:ascii="Times New Roman" w:hAnsi="Times New Roman"/>
          <w:b/>
          <w:bCs/>
          <w:i/>
          <w:iCs/>
          <w:u w:val="single"/>
        </w:rPr>
        <w:t>:</w:t>
      </w:r>
      <w:r w:rsidRPr="00AA6AD1">
        <w:rPr>
          <w:rFonts w:ascii="Times New Roman" w:hAnsi="Times New Roman"/>
        </w:rPr>
        <w:t xml:space="preserve"> Are there significant differences in countermovement jump performance pre- and post- basketball preseason training phase?</w:t>
      </w:r>
    </w:p>
    <w:p w14:paraId="32F3C86D" w14:textId="5800D75C" w:rsidR="002D0370" w:rsidRPr="00AA6AD1" w:rsidRDefault="002D0370" w:rsidP="00427607">
      <w:pPr>
        <w:spacing w:line="480" w:lineRule="auto"/>
        <w:jc w:val="both"/>
      </w:pPr>
      <w:r>
        <w:rPr>
          <w:rFonts w:ascii="Times New Roman" w:hAnsi="Times New Roman"/>
        </w:rPr>
        <w:tab/>
      </w:r>
      <w:r w:rsidR="00805687">
        <w:rPr>
          <w:rFonts w:ascii="Times New Roman" w:hAnsi="Times New Roman"/>
        </w:rPr>
        <w:t xml:space="preserve">There was a significant difference in </w:t>
      </w:r>
      <w:proofErr w:type="spellStart"/>
      <w:r w:rsidR="00805687">
        <w:rPr>
          <w:rFonts w:ascii="Times New Roman" w:hAnsi="Times New Roman"/>
        </w:rPr>
        <w:t>EccMF</w:t>
      </w:r>
      <w:proofErr w:type="spellEnd"/>
      <w:r w:rsidR="00805687">
        <w:rPr>
          <w:rFonts w:ascii="Times New Roman" w:hAnsi="Times New Roman"/>
        </w:rPr>
        <w:t xml:space="preserve"> and Body Mass displayed in the average of the Pre values in Week 1 and Week 4 compared to the average of the Post values of Week 1 and Week 4. However, when made relative to Body Mass, no significant differences were detected in any CMJ variables.</w:t>
      </w:r>
    </w:p>
    <w:p w14:paraId="1D70484D" w14:textId="77777777" w:rsidR="00427607" w:rsidRPr="0093561F" w:rsidRDefault="00AA6AD1" w:rsidP="00427607">
      <w:pPr>
        <w:spacing w:line="480" w:lineRule="auto"/>
        <w:jc w:val="both"/>
      </w:pPr>
      <w:bookmarkStart w:id="106" w:name="_Toc99267663"/>
      <w:r w:rsidRPr="006D7DD3">
        <w:rPr>
          <w:rStyle w:val="Heading3Char"/>
          <w:rFonts w:ascii="Times New Roman" w:hAnsi="Times New Roman" w:cs="Times New Roman"/>
          <w:b/>
          <w:bCs/>
          <w:i/>
          <w:iCs/>
          <w:color w:val="000000" w:themeColor="text1"/>
        </w:rPr>
        <w:t>Hypothesis 4</w:t>
      </w:r>
      <w:bookmarkEnd w:id="106"/>
      <w:r w:rsidRPr="00427607">
        <w:rPr>
          <w:rFonts w:ascii="Times New Roman" w:hAnsi="Times New Roman"/>
          <w:b/>
          <w:bCs/>
          <w:i/>
          <w:iCs/>
        </w:rPr>
        <w:t>:</w:t>
      </w:r>
      <w:r>
        <w:rPr>
          <w:rFonts w:ascii="Times New Roman" w:hAnsi="Times New Roman"/>
        </w:rPr>
        <w:t xml:space="preserve"> </w:t>
      </w:r>
      <w:r w:rsidR="00427607" w:rsidRPr="00427607">
        <w:rPr>
          <w:rFonts w:ascii="Times New Roman" w:hAnsi="Times New Roman"/>
        </w:rPr>
        <w:t xml:space="preserve">It was hypothesized that there would be significant increases in countermovement jump performance from pre- to post- of the preseason training phase. </w:t>
      </w:r>
    </w:p>
    <w:p w14:paraId="7D3F82E3" w14:textId="366E7717" w:rsidR="00D64246" w:rsidRPr="00FC3B56" w:rsidRDefault="0008287E" w:rsidP="00FC3B56">
      <w:pPr>
        <w:spacing w:line="480" w:lineRule="auto"/>
        <w:rPr>
          <w:rFonts w:ascii="Times New Roman" w:hAnsi="Times New Roman" w:cs="Times New Roman"/>
        </w:rPr>
      </w:pPr>
      <w:r>
        <w:rPr>
          <w:rFonts w:ascii="Times New Roman" w:hAnsi="Times New Roman" w:cs="Times New Roman"/>
        </w:rPr>
        <w:tab/>
      </w:r>
      <w:r w:rsidR="006A634C">
        <w:rPr>
          <w:rFonts w:ascii="Times New Roman" w:hAnsi="Times New Roman" w:cs="Times New Roman"/>
        </w:rPr>
        <w:t xml:space="preserve">We will reject Hypothesis 4, that CMJ performance would be influenced from Pre to Post of the preseason training phase since we did not observe any differences when made relative to Body Mass. </w:t>
      </w:r>
    </w:p>
    <w:p w14:paraId="48E05733" w14:textId="0B96B697" w:rsidR="00427607" w:rsidRPr="00FC3B56" w:rsidRDefault="00FC3B56" w:rsidP="00F829B9">
      <w:pPr>
        <w:pStyle w:val="Heading2"/>
      </w:pPr>
      <w:bookmarkStart w:id="107" w:name="_Toc99267664"/>
      <w:r w:rsidRPr="00FC3B56">
        <w:t>Practical Significance</w:t>
      </w:r>
      <w:bookmarkEnd w:id="107"/>
    </w:p>
    <w:p w14:paraId="0DDA7790" w14:textId="5070CAEF" w:rsidR="00BF073F" w:rsidRPr="00BF073F" w:rsidRDefault="00FC3B56" w:rsidP="00BF073F">
      <w:pPr>
        <w:spacing w:line="480" w:lineRule="auto"/>
        <w:rPr>
          <w:rFonts w:ascii="Times New Roman" w:hAnsi="Times New Roman" w:cs="Times New Roman"/>
          <w:lang w:bidi="en-US"/>
        </w:rPr>
      </w:pPr>
      <w:r w:rsidRPr="00FC3B56">
        <w:rPr>
          <w:rFonts w:ascii="Times New Roman" w:hAnsi="Times New Roman" w:cs="Times New Roman"/>
          <w:lang w:bidi="en-US"/>
        </w:rPr>
        <w:tab/>
      </w:r>
      <w:r w:rsidR="00E138B0">
        <w:rPr>
          <w:rFonts w:ascii="Times New Roman" w:hAnsi="Times New Roman" w:cs="Times New Roman"/>
          <w:lang w:bidi="en-US"/>
        </w:rPr>
        <w:t>Th</w:t>
      </w:r>
      <w:r w:rsidR="001948DD">
        <w:rPr>
          <w:rFonts w:ascii="Times New Roman" w:hAnsi="Times New Roman" w:cs="Times New Roman"/>
          <w:lang w:bidi="en-US"/>
        </w:rPr>
        <w:t xml:space="preserve">e findings from the present study offer several practically relevant takeaways. </w:t>
      </w:r>
      <w:r w:rsidR="00DB4E91">
        <w:rPr>
          <w:rFonts w:ascii="Times New Roman" w:hAnsi="Times New Roman" w:cs="Times New Roman"/>
          <w:lang w:bidi="en-US"/>
        </w:rPr>
        <w:t xml:space="preserve">Neuromuscular performance after made relative to the players’ body mass did not seem to be influenced after a sport specific training session, nor over the course of the entire preseason. </w:t>
      </w:r>
      <w:r w:rsidR="00CA4FB9">
        <w:rPr>
          <w:rFonts w:ascii="Times New Roman" w:hAnsi="Times New Roman" w:cs="Times New Roman"/>
        </w:rPr>
        <w:t xml:space="preserve">Additionally, the cortisol response following four weeks of the preseason training phase showed to be blunted with the testosterone response unchanged resulting in a more anabolic state while examining the T:C ratio. </w:t>
      </w:r>
      <w:r w:rsidR="00B514A9">
        <w:rPr>
          <w:rFonts w:ascii="Times New Roman" w:hAnsi="Times New Roman" w:cs="Times New Roman"/>
          <w:lang w:bidi="en-US"/>
        </w:rPr>
        <w:t>Therefore</w:t>
      </w:r>
      <w:r w:rsidR="00DB4E91">
        <w:rPr>
          <w:rFonts w:ascii="Times New Roman" w:hAnsi="Times New Roman" w:cs="Times New Roman"/>
          <w:lang w:bidi="en-US"/>
        </w:rPr>
        <w:t>, m</w:t>
      </w:r>
      <w:r w:rsidR="001948DD">
        <w:rPr>
          <w:rFonts w:ascii="Times New Roman" w:hAnsi="Times New Roman" w:cs="Times New Roman"/>
          <w:lang w:bidi="en-US"/>
        </w:rPr>
        <w:t xml:space="preserve">onitoring of physiological status may be of interest to gain </w:t>
      </w:r>
      <w:r w:rsidR="001948DD">
        <w:rPr>
          <w:rFonts w:ascii="Times New Roman" w:hAnsi="Times New Roman" w:cs="Times New Roman"/>
          <w:lang w:bidi="en-US"/>
        </w:rPr>
        <w:lastRenderedPageBreak/>
        <w:t>insight of whether or not an individual is approaching concerning levels</w:t>
      </w:r>
      <w:r w:rsidR="00C562B1">
        <w:rPr>
          <w:rFonts w:ascii="Times New Roman" w:hAnsi="Times New Roman" w:cs="Times New Roman"/>
          <w:lang w:bidi="en-US"/>
        </w:rPr>
        <w:t xml:space="preserve">. In fact, long-term monitoring, such as across training phases, may be more useful than the acute measurements following training sessions due to the ability to observe the changes in the </w:t>
      </w:r>
      <w:r w:rsidR="00BA6652">
        <w:rPr>
          <w:rFonts w:ascii="Times New Roman" w:hAnsi="Times New Roman" w:cs="Times New Roman"/>
          <w:lang w:bidi="en-US"/>
        </w:rPr>
        <w:t xml:space="preserve">hormonal changes reflective of </w:t>
      </w:r>
      <w:r w:rsidR="00C562B1">
        <w:rPr>
          <w:rFonts w:ascii="Times New Roman" w:hAnsi="Times New Roman" w:cs="Times New Roman"/>
          <w:lang w:bidi="en-US"/>
        </w:rPr>
        <w:t xml:space="preserve">anabolic </w:t>
      </w:r>
      <w:r w:rsidR="00BA6652">
        <w:rPr>
          <w:rFonts w:ascii="Times New Roman" w:hAnsi="Times New Roman" w:cs="Times New Roman"/>
          <w:lang w:bidi="en-US"/>
        </w:rPr>
        <w:t>and</w:t>
      </w:r>
      <w:r w:rsidR="00C562B1">
        <w:rPr>
          <w:rFonts w:ascii="Times New Roman" w:hAnsi="Times New Roman" w:cs="Times New Roman"/>
          <w:lang w:bidi="en-US"/>
        </w:rPr>
        <w:t xml:space="preserve"> catabolic balance</w:t>
      </w:r>
      <w:r w:rsidR="00BA6652">
        <w:rPr>
          <w:rFonts w:ascii="Times New Roman" w:hAnsi="Times New Roman" w:cs="Times New Roman"/>
          <w:lang w:bidi="en-US"/>
        </w:rPr>
        <w:t>s and neuromuscular changes</w:t>
      </w:r>
      <w:r w:rsidR="00C562B1">
        <w:rPr>
          <w:rFonts w:ascii="Times New Roman" w:hAnsi="Times New Roman" w:cs="Times New Roman"/>
          <w:lang w:bidi="en-US"/>
        </w:rPr>
        <w:t xml:space="preserve">, while also collecting and accounting for the </w:t>
      </w:r>
      <w:r w:rsidR="004F68BC">
        <w:rPr>
          <w:rFonts w:ascii="Times New Roman" w:hAnsi="Times New Roman" w:cs="Times New Roman"/>
          <w:lang w:bidi="en-US"/>
        </w:rPr>
        <w:t xml:space="preserve">influence of the </w:t>
      </w:r>
      <w:r w:rsidR="00C562B1">
        <w:rPr>
          <w:rFonts w:ascii="Times New Roman" w:hAnsi="Times New Roman" w:cs="Times New Roman"/>
          <w:lang w:bidi="en-US"/>
        </w:rPr>
        <w:t xml:space="preserve">accumulation of </w:t>
      </w:r>
      <w:proofErr w:type="spellStart"/>
      <w:r w:rsidR="00C562B1">
        <w:rPr>
          <w:rFonts w:ascii="Times New Roman" w:hAnsi="Times New Roman" w:cs="Times New Roman"/>
          <w:lang w:bidi="en-US"/>
        </w:rPr>
        <w:t>eTL</w:t>
      </w:r>
      <w:proofErr w:type="spellEnd"/>
      <w:r w:rsidR="00C562B1">
        <w:rPr>
          <w:rFonts w:ascii="Times New Roman" w:hAnsi="Times New Roman" w:cs="Times New Roman"/>
          <w:lang w:bidi="en-US"/>
        </w:rPr>
        <w:t xml:space="preserve"> and </w:t>
      </w:r>
      <w:proofErr w:type="spellStart"/>
      <w:r w:rsidR="00C562B1">
        <w:rPr>
          <w:rFonts w:ascii="Times New Roman" w:hAnsi="Times New Roman" w:cs="Times New Roman"/>
          <w:lang w:bidi="en-US"/>
        </w:rPr>
        <w:t>iTL</w:t>
      </w:r>
      <w:proofErr w:type="spellEnd"/>
      <w:r w:rsidR="00C562B1">
        <w:rPr>
          <w:rFonts w:ascii="Times New Roman" w:hAnsi="Times New Roman" w:cs="Times New Roman"/>
          <w:lang w:bidi="en-US"/>
        </w:rPr>
        <w:t xml:space="preserve">. </w:t>
      </w:r>
    </w:p>
    <w:p w14:paraId="024E9CC1" w14:textId="2FCD8797" w:rsidR="00BF073F" w:rsidRPr="00BF073F" w:rsidRDefault="00BF073F" w:rsidP="00F829B9">
      <w:pPr>
        <w:pStyle w:val="Heading2"/>
      </w:pPr>
      <w:bookmarkStart w:id="108" w:name="_Toc99267665"/>
      <w:r w:rsidRPr="00BF073F">
        <w:t>Suggestions for Future Research</w:t>
      </w:r>
      <w:bookmarkEnd w:id="108"/>
    </w:p>
    <w:p w14:paraId="7F26CD5B" w14:textId="0A41DD64" w:rsidR="00557014" w:rsidRPr="00BF073F" w:rsidRDefault="00BF073F" w:rsidP="00BF073F">
      <w:pPr>
        <w:spacing w:line="480" w:lineRule="auto"/>
        <w:rPr>
          <w:rFonts w:ascii="Times New Roman" w:hAnsi="Times New Roman" w:cs="Times New Roman"/>
          <w:lang w:bidi="en-US"/>
        </w:rPr>
      </w:pPr>
      <w:r>
        <w:rPr>
          <w:rFonts w:ascii="Times New Roman" w:hAnsi="Times New Roman" w:cs="Times New Roman"/>
          <w:lang w:bidi="en-US"/>
        </w:rPr>
        <w:tab/>
      </w:r>
      <w:r w:rsidR="003B1C0D">
        <w:rPr>
          <w:rFonts w:ascii="Times New Roman" w:hAnsi="Times New Roman" w:cs="Times New Roman"/>
          <w:lang w:bidi="en-US"/>
        </w:rPr>
        <w:t xml:space="preserve">Future </w:t>
      </w:r>
      <w:r w:rsidR="003C26A9">
        <w:rPr>
          <w:rFonts w:ascii="Times New Roman" w:hAnsi="Times New Roman" w:cs="Times New Roman"/>
          <w:lang w:bidi="en-US"/>
        </w:rPr>
        <w:t>studies</w:t>
      </w:r>
      <w:r w:rsidR="003B1C0D">
        <w:rPr>
          <w:rFonts w:ascii="Times New Roman" w:hAnsi="Times New Roman" w:cs="Times New Roman"/>
          <w:lang w:bidi="en-US"/>
        </w:rPr>
        <w:t xml:space="preserve"> </w:t>
      </w:r>
      <w:r w:rsidR="003C26A9">
        <w:rPr>
          <w:rFonts w:ascii="Times New Roman" w:hAnsi="Times New Roman" w:cs="Times New Roman"/>
          <w:lang w:bidi="en-US"/>
        </w:rPr>
        <w:t xml:space="preserve">should include </w:t>
      </w:r>
      <w:r w:rsidR="00DE5327">
        <w:rPr>
          <w:rFonts w:ascii="Times New Roman" w:hAnsi="Times New Roman" w:cs="Times New Roman"/>
          <w:lang w:bidi="en-US"/>
        </w:rPr>
        <w:t>additional data collection points of 24 hours post</w:t>
      </w:r>
      <w:r w:rsidR="003C26A9">
        <w:rPr>
          <w:rFonts w:ascii="Times New Roman" w:hAnsi="Times New Roman" w:cs="Times New Roman"/>
          <w:lang w:bidi="en-US"/>
        </w:rPr>
        <w:t xml:space="preserve"> </w:t>
      </w:r>
      <w:r w:rsidR="00DE5327">
        <w:rPr>
          <w:rFonts w:ascii="Times New Roman" w:hAnsi="Times New Roman" w:cs="Times New Roman"/>
          <w:lang w:bidi="en-US"/>
        </w:rPr>
        <w:t>sport specific training session as well as including a sample of elite intercollegiate women’s basketball players</w:t>
      </w:r>
      <w:r w:rsidR="008070AD">
        <w:rPr>
          <w:rFonts w:ascii="Times New Roman" w:hAnsi="Times New Roman" w:cs="Times New Roman"/>
          <w:lang w:bidi="en-US"/>
        </w:rPr>
        <w:t xml:space="preserve"> while controlling for menstrual cycle or any other type of birth control being utilized</w:t>
      </w:r>
      <w:r w:rsidR="00DE5327">
        <w:rPr>
          <w:rFonts w:ascii="Times New Roman" w:hAnsi="Times New Roman" w:cs="Times New Roman"/>
          <w:lang w:bidi="en-US"/>
        </w:rPr>
        <w:t xml:space="preserve">. </w:t>
      </w:r>
      <w:r w:rsidR="00557014">
        <w:rPr>
          <w:rFonts w:ascii="Times New Roman" w:hAnsi="Times New Roman" w:cs="Times New Roman"/>
          <w:lang w:bidi="en-US"/>
        </w:rPr>
        <w:t>Furthermore, future investigations</w:t>
      </w:r>
      <w:r w:rsidR="008070AD">
        <w:rPr>
          <w:rFonts w:ascii="Times New Roman" w:hAnsi="Times New Roman" w:cs="Times New Roman"/>
          <w:lang w:bidi="en-US"/>
        </w:rPr>
        <w:t xml:space="preserve"> should also record hydration and incorporate psychological and recovery questionnaires to account for other influences on physiological status. </w:t>
      </w:r>
      <w:r w:rsidR="00557014">
        <w:rPr>
          <w:rFonts w:ascii="Times New Roman" w:hAnsi="Times New Roman" w:cs="Times New Roman"/>
          <w:lang w:bidi="en-US"/>
        </w:rPr>
        <w:t xml:space="preserve">Finally, future research should explore these same variables and acute and chronic responses throughout the course of the entire competitive season and postseason </w:t>
      </w:r>
    </w:p>
    <w:p w14:paraId="18334F6E" w14:textId="7D7EAD5A" w:rsidR="001D5388" w:rsidRPr="00337EF8" w:rsidRDefault="0051641E" w:rsidP="008D7C02">
      <w:pPr>
        <w:spacing w:line="480" w:lineRule="auto"/>
        <w:rPr>
          <w:rFonts w:ascii="Times New Roman" w:hAnsi="Times New Roman" w:cs="Times New Roman"/>
          <w:b/>
          <w:bCs/>
          <w:i/>
          <w:iCs/>
        </w:rPr>
      </w:pPr>
      <w:r w:rsidRPr="00337EF8">
        <w:rPr>
          <w:rFonts w:ascii="Times New Roman" w:hAnsi="Times New Roman" w:cs="Times New Roman"/>
          <w:b/>
          <w:bCs/>
          <w:i/>
          <w:iCs/>
        </w:rPr>
        <w:br w:type="page"/>
      </w:r>
    </w:p>
    <w:p w14:paraId="78003D19" w14:textId="6A0195C0" w:rsidR="001D5388" w:rsidRPr="00825EAA" w:rsidRDefault="001D5388" w:rsidP="00395DEA">
      <w:pPr>
        <w:pStyle w:val="Heading1"/>
        <w:spacing w:line="480" w:lineRule="auto"/>
        <w:jc w:val="center"/>
        <w:rPr>
          <w:rFonts w:ascii="Times New Roman" w:hAnsi="Times New Roman" w:cs="Times New Roman"/>
          <w:b/>
          <w:bCs/>
          <w:color w:val="000000" w:themeColor="text1"/>
          <w:sz w:val="24"/>
          <w:szCs w:val="24"/>
        </w:rPr>
      </w:pPr>
      <w:bookmarkStart w:id="109" w:name="_Toc99267666"/>
      <w:r w:rsidRPr="00825EAA">
        <w:rPr>
          <w:rFonts w:ascii="Times New Roman" w:hAnsi="Times New Roman" w:cs="Times New Roman"/>
          <w:b/>
          <w:bCs/>
          <w:color w:val="000000" w:themeColor="text1"/>
          <w:sz w:val="24"/>
          <w:szCs w:val="24"/>
        </w:rPr>
        <w:lastRenderedPageBreak/>
        <w:t>R</w:t>
      </w:r>
      <w:r w:rsidR="00CE1556" w:rsidRPr="00825EAA">
        <w:rPr>
          <w:rFonts w:ascii="Times New Roman" w:hAnsi="Times New Roman" w:cs="Times New Roman"/>
          <w:b/>
          <w:bCs/>
          <w:color w:val="000000" w:themeColor="text1"/>
          <w:sz w:val="24"/>
          <w:szCs w:val="24"/>
        </w:rPr>
        <w:t>eferences</w:t>
      </w:r>
      <w:bookmarkEnd w:id="109"/>
    </w:p>
    <w:p w14:paraId="16FBF653" w14:textId="77777777" w:rsidR="006F482A" w:rsidRPr="006F482A" w:rsidRDefault="008F3118" w:rsidP="006F482A">
      <w:pPr>
        <w:pStyle w:val="Bibliography"/>
      </w:pPr>
      <w:r w:rsidRPr="00825EAA">
        <w:rPr>
          <w:b/>
          <w:bCs/>
        </w:rPr>
        <w:fldChar w:fldCharType="begin"/>
      </w:r>
      <w:r w:rsidR="00A05ADB">
        <w:rPr>
          <w:b/>
          <w:bCs/>
        </w:rPr>
        <w:instrText xml:space="preserve"> ADDIN ZOTERO_BIBL {"uncited":[],"omitted":[],"custom":[]} CSL_BIBLIOGRAPHY </w:instrText>
      </w:r>
      <w:r w:rsidRPr="00825EAA">
        <w:rPr>
          <w:b/>
          <w:bCs/>
        </w:rPr>
        <w:fldChar w:fldCharType="separate"/>
      </w:r>
      <w:r w:rsidR="006F482A" w:rsidRPr="006F482A">
        <w:t xml:space="preserve">Achten, J., &amp; Jeukendrup, A. E. (2003). Heart rate monitoring: Applications and limitations. </w:t>
      </w:r>
      <w:r w:rsidR="006F482A" w:rsidRPr="006F482A">
        <w:rPr>
          <w:i/>
          <w:iCs/>
        </w:rPr>
        <w:t>Sports Medicine</w:t>
      </w:r>
      <w:r w:rsidR="006F482A" w:rsidRPr="006F482A">
        <w:t xml:space="preserve">, </w:t>
      </w:r>
      <w:r w:rsidR="006F482A" w:rsidRPr="006F482A">
        <w:rPr>
          <w:i/>
          <w:iCs/>
        </w:rPr>
        <w:t>33</w:t>
      </w:r>
      <w:r w:rsidR="006F482A" w:rsidRPr="006F482A">
        <w:t>(7), 517–538. https://doi.org/10.2165/00007256-200333070-00004</w:t>
      </w:r>
    </w:p>
    <w:p w14:paraId="5B258DD7" w14:textId="77777777" w:rsidR="006F482A" w:rsidRPr="006F482A" w:rsidRDefault="006F482A" w:rsidP="006F482A">
      <w:pPr>
        <w:pStyle w:val="Bibliography"/>
      </w:pPr>
      <w:r w:rsidRPr="006F482A">
        <w:t xml:space="preserve">Adlercreutz, H., Härkönen, M., Kuoppasalmi, K., Näveri, H., Huhtaniemi, I., Tikkanen, H., Remes, K., Dessypris, A., &amp; Karvonen, J. (1986). Effect of training on plasma anabolic and catabolic steroid hormones and their response during physical exercise. </w:t>
      </w:r>
      <w:r w:rsidRPr="006F482A">
        <w:rPr>
          <w:i/>
          <w:iCs/>
        </w:rPr>
        <w:t>International Journal of Sports Medicine</w:t>
      </w:r>
      <w:r w:rsidRPr="006F482A">
        <w:t xml:space="preserve">, </w:t>
      </w:r>
      <w:r w:rsidRPr="006F482A">
        <w:rPr>
          <w:i/>
          <w:iCs/>
        </w:rPr>
        <w:t>07</w:t>
      </w:r>
      <w:r w:rsidRPr="006F482A">
        <w:t>(S 1), S27–S28. https://doi.org/10.1055/s-2008-1025798</w:t>
      </w:r>
    </w:p>
    <w:p w14:paraId="4ABF5A14" w14:textId="77777777" w:rsidR="006F482A" w:rsidRPr="006F482A" w:rsidRDefault="006F482A" w:rsidP="006F482A">
      <w:pPr>
        <w:pStyle w:val="Bibliography"/>
      </w:pPr>
      <w:r w:rsidRPr="006F482A">
        <w:t xml:space="preserve">Akubat, I., Barrett, S., &amp; Abt, G. (2014). Integrating the internal and external training loads in soccer. </w:t>
      </w:r>
      <w:r w:rsidRPr="006F482A">
        <w:rPr>
          <w:i/>
          <w:iCs/>
        </w:rPr>
        <w:t>International Journal of Sports Physiology and Performance</w:t>
      </w:r>
      <w:r w:rsidRPr="006F482A">
        <w:t xml:space="preserve">, </w:t>
      </w:r>
      <w:r w:rsidRPr="006F482A">
        <w:rPr>
          <w:i/>
          <w:iCs/>
        </w:rPr>
        <w:t>9</w:t>
      </w:r>
      <w:r w:rsidRPr="006F482A">
        <w:t>(3), 457–462. https://doi.org/10.1123/ijspp.2012-0347</w:t>
      </w:r>
    </w:p>
    <w:p w14:paraId="29EF9D77" w14:textId="77777777" w:rsidR="006F482A" w:rsidRPr="006F482A" w:rsidRDefault="006F482A" w:rsidP="006F482A">
      <w:pPr>
        <w:pStyle w:val="Bibliography"/>
      </w:pPr>
      <w:r w:rsidRPr="006F482A">
        <w:t xml:space="preserve">Andre, M. J., Fry, A. C., Luebbers, P. E., Hudy, A., Dietz, P. R., &amp; Cain, G. J. (2018). Weekly salivary biomarkers across a season for elite men collegiate basketball players. </w:t>
      </w:r>
      <w:r w:rsidRPr="006F482A">
        <w:rPr>
          <w:i/>
          <w:iCs/>
        </w:rPr>
        <w:t>International Journal of Exercise Science</w:t>
      </w:r>
      <w:r w:rsidRPr="006F482A">
        <w:t xml:space="preserve">, </w:t>
      </w:r>
      <w:r w:rsidRPr="006F482A">
        <w:rPr>
          <w:i/>
          <w:iCs/>
        </w:rPr>
        <w:t>11</w:t>
      </w:r>
      <w:r w:rsidRPr="006F482A">
        <w:t>(6), 439–451.</w:t>
      </w:r>
    </w:p>
    <w:p w14:paraId="68789CCB" w14:textId="77777777" w:rsidR="006F482A" w:rsidRPr="006F482A" w:rsidRDefault="006F482A" w:rsidP="006F482A">
      <w:pPr>
        <w:pStyle w:val="Bibliography"/>
      </w:pPr>
      <w:r w:rsidRPr="006F482A">
        <w:t xml:space="preserve">Angeli, A., Minetto, M., Dovio, A., &amp; Paccotti, P. (2004). The overtraining syndrome in athletes: A stress-related disorder. </w:t>
      </w:r>
      <w:r w:rsidRPr="006F482A">
        <w:rPr>
          <w:i/>
          <w:iCs/>
        </w:rPr>
        <w:t>Journal of Endocrinological Investigation</w:t>
      </w:r>
      <w:r w:rsidRPr="006F482A">
        <w:t xml:space="preserve">, </w:t>
      </w:r>
      <w:r w:rsidRPr="006F482A">
        <w:rPr>
          <w:i/>
          <w:iCs/>
        </w:rPr>
        <w:t>27</w:t>
      </w:r>
      <w:r w:rsidRPr="006F482A">
        <w:t>(6), 603–612. https://doi.org/10.1007/BF03347487</w:t>
      </w:r>
    </w:p>
    <w:p w14:paraId="76240B48" w14:textId="77777777" w:rsidR="006F482A" w:rsidRPr="006F482A" w:rsidRDefault="006F482A" w:rsidP="006F482A">
      <w:pPr>
        <w:pStyle w:val="Bibliography"/>
      </w:pPr>
      <w:r w:rsidRPr="006F482A">
        <w:t xml:space="preserve">Aoki, M. S., Ronda, L. T., Marcelino, P. R., Drago, G., Carling, C., Bradley, P. S., &amp; Moreira, A. (2017). Monitoring training loads in professional basketball players engaged in a periodized training program. </w:t>
      </w:r>
      <w:r w:rsidRPr="006F482A">
        <w:rPr>
          <w:i/>
          <w:iCs/>
        </w:rPr>
        <w:t>Journal of Strength and Conditioning Research</w:t>
      </w:r>
      <w:r w:rsidRPr="006F482A">
        <w:t xml:space="preserve">, </w:t>
      </w:r>
      <w:r w:rsidRPr="006F482A">
        <w:rPr>
          <w:i/>
          <w:iCs/>
        </w:rPr>
        <w:t>31</w:t>
      </w:r>
      <w:r w:rsidRPr="006F482A">
        <w:t>(2), 348–358. https://doi.org/10.1519/JSC.0000000000001507</w:t>
      </w:r>
    </w:p>
    <w:p w14:paraId="5FD1CCCE" w14:textId="77777777" w:rsidR="006F482A" w:rsidRPr="006F482A" w:rsidRDefault="006F482A" w:rsidP="006F482A">
      <w:pPr>
        <w:pStyle w:val="Bibliography"/>
      </w:pPr>
      <w:r w:rsidRPr="006F482A">
        <w:t xml:space="preserve">Arruda, A. F. S., Aoki, M. S., Freitas, C. G., Drago, G., Oliveira, R., Crewther, B. T., &amp; Moreira, A. (2014). Influence of competition playing venue on the hormonal responses, state </w:t>
      </w:r>
      <w:r w:rsidRPr="006F482A">
        <w:lastRenderedPageBreak/>
        <w:t xml:space="preserve">anxiety and perception of effort in elite basketball athletes. </w:t>
      </w:r>
      <w:r w:rsidRPr="006F482A">
        <w:rPr>
          <w:i/>
          <w:iCs/>
        </w:rPr>
        <w:t>Physiology &amp; Behavior</w:t>
      </w:r>
      <w:r w:rsidRPr="006F482A">
        <w:t xml:space="preserve">, </w:t>
      </w:r>
      <w:r w:rsidRPr="006F482A">
        <w:rPr>
          <w:i/>
          <w:iCs/>
        </w:rPr>
        <w:t>130</w:t>
      </w:r>
      <w:r w:rsidRPr="006F482A">
        <w:t>, 1–5. https://doi.org/10.1016/j.physbeh.2014.03.007</w:t>
      </w:r>
    </w:p>
    <w:p w14:paraId="0EAADA39" w14:textId="77777777" w:rsidR="006F482A" w:rsidRPr="006F482A" w:rsidRDefault="006F482A" w:rsidP="006F482A">
      <w:pPr>
        <w:pStyle w:val="Bibliography"/>
      </w:pPr>
      <w:r w:rsidRPr="006F482A">
        <w:t xml:space="preserve">Arruda, A. F. S., Aoki, M. S., Paludo, A. C., &amp; Moreira, A. (2017). Salivary steroid response and competitive anxiety in elite basketball players: Effect of opponent level. </w:t>
      </w:r>
      <w:r w:rsidRPr="006F482A">
        <w:rPr>
          <w:i/>
          <w:iCs/>
        </w:rPr>
        <w:t>Physiology &amp; Behavior</w:t>
      </w:r>
      <w:r w:rsidRPr="006F482A">
        <w:t xml:space="preserve">, </w:t>
      </w:r>
      <w:r w:rsidRPr="006F482A">
        <w:rPr>
          <w:i/>
          <w:iCs/>
        </w:rPr>
        <w:t>177</w:t>
      </w:r>
      <w:r w:rsidRPr="006F482A">
        <w:t>, 291–296. https://doi.org/10.1016/j.physbeh.2017.05.017</w:t>
      </w:r>
    </w:p>
    <w:p w14:paraId="4B8278F3" w14:textId="77777777" w:rsidR="006F482A" w:rsidRPr="006F482A" w:rsidRDefault="006F482A" w:rsidP="006F482A">
      <w:pPr>
        <w:pStyle w:val="Bibliography"/>
      </w:pPr>
      <w:r w:rsidRPr="006F482A">
        <w:t xml:space="preserve">Balsalobre-Fernández, C., Tejero-González, C. M., &amp; del Campo-Vecino, J. (2014). Relationships between training load, salivary cortisol responses and performance during season training in middle and long distance runners. </w:t>
      </w:r>
      <w:r w:rsidRPr="006F482A">
        <w:rPr>
          <w:i/>
          <w:iCs/>
        </w:rPr>
        <w:t>PLOS ONE</w:t>
      </w:r>
      <w:r w:rsidRPr="006F482A">
        <w:t xml:space="preserve">, </w:t>
      </w:r>
      <w:r w:rsidRPr="006F482A">
        <w:rPr>
          <w:i/>
          <w:iCs/>
        </w:rPr>
        <w:t>9</w:t>
      </w:r>
      <w:r w:rsidRPr="006F482A">
        <w:t>(8), e106066. https://doi.org/10.1371/journal.pone.0106066</w:t>
      </w:r>
    </w:p>
    <w:p w14:paraId="6766DD9D" w14:textId="77777777" w:rsidR="006F482A" w:rsidRPr="006F482A" w:rsidRDefault="006F482A" w:rsidP="006F482A">
      <w:pPr>
        <w:pStyle w:val="Bibliography"/>
      </w:pPr>
      <w:r w:rsidRPr="006F482A">
        <w:t>Barrett, S., Midgley, A., &amp; Lovell, R. (2014). PlayerLoad</w:t>
      </w:r>
      <w:r w:rsidRPr="006F482A">
        <w:rPr>
          <w:vertAlign w:val="superscript"/>
        </w:rPr>
        <w:t>TM</w:t>
      </w:r>
      <w:r w:rsidRPr="006F482A">
        <w:t xml:space="preserve">: Reliability, convergent validity, and influence of unit position during treadmill running. </w:t>
      </w:r>
      <w:r w:rsidRPr="006F482A">
        <w:rPr>
          <w:i/>
          <w:iCs/>
        </w:rPr>
        <w:t>International Journal of Sports Physiology and Performance</w:t>
      </w:r>
      <w:r w:rsidRPr="006F482A">
        <w:t xml:space="preserve">, </w:t>
      </w:r>
      <w:r w:rsidRPr="006F482A">
        <w:rPr>
          <w:i/>
          <w:iCs/>
        </w:rPr>
        <w:t>9</w:t>
      </w:r>
      <w:r w:rsidRPr="006F482A">
        <w:t>(6), 945–952. https://doi.org/10.1123/ijspp.2013-0418</w:t>
      </w:r>
    </w:p>
    <w:p w14:paraId="7050B9FB" w14:textId="77777777" w:rsidR="006F482A" w:rsidRPr="006F482A" w:rsidRDefault="006F482A" w:rsidP="006F482A">
      <w:pPr>
        <w:pStyle w:val="Bibliography"/>
      </w:pPr>
      <w:r w:rsidRPr="006F482A">
        <w:t xml:space="preserve">Baxendale, P. M., Jacobs, H. S., &amp; James, V. H. T. (1982). Salivary testosterone: Relationship to unbound plasma testosterone in normal and hyperandrogenic women. </w:t>
      </w:r>
      <w:r w:rsidRPr="006F482A">
        <w:rPr>
          <w:i/>
          <w:iCs/>
        </w:rPr>
        <w:t>Clinical Endocrinology</w:t>
      </w:r>
      <w:r w:rsidRPr="006F482A">
        <w:t xml:space="preserve">, </w:t>
      </w:r>
      <w:r w:rsidRPr="006F482A">
        <w:rPr>
          <w:i/>
          <w:iCs/>
        </w:rPr>
        <w:t>16</w:t>
      </w:r>
      <w:r w:rsidRPr="006F482A">
        <w:t>(6), 595–603. https://doi.org/10.1111/j.1365-2265.1982.tb03176.x</w:t>
      </w:r>
    </w:p>
    <w:p w14:paraId="63FBCC3D" w14:textId="77777777" w:rsidR="006F482A" w:rsidRPr="006F482A" w:rsidRDefault="006F482A" w:rsidP="006F482A">
      <w:pPr>
        <w:pStyle w:val="Bibliography"/>
      </w:pPr>
      <w:r w:rsidRPr="006F482A">
        <w:t xml:space="preserve">Berkelmans, D. M., Dalbo, V. J., Kean, C. O., Milanović, Z., Stojanović, E., Stojiljković, N., &amp; Scanlan, A. T. (2018). Heart rate monitoring in basketball: Applications, player responses, and practical recommendations. </w:t>
      </w:r>
      <w:r w:rsidRPr="006F482A">
        <w:rPr>
          <w:i/>
          <w:iCs/>
        </w:rPr>
        <w:t>Journal of Strength and Conditioning Research</w:t>
      </w:r>
      <w:r w:rsidRPr="006F482A">
        <w:t xml:space="preserve">, </w:t>
      </w:r>
      <w:r w:rsidRPr="006F482A">
        <w:rPr>
          <w:i/>
          <w:iCs/>
        </w:rPr>
        <w:t>32</w:t>
      </w:r>
      <w:r w:rsidRPr="006F482A">
        <w:t>(8), 2383–2399. https://doi.org/10.1519/JSC.0000000000002194</w:t>
      </w:r>
    </w:p>
    <w:p w14:paraId="4DD73C51" w14:textId="77777777" w:rsidR="006F482A" w:rsidRPr="006F482A" w:rsidRDefault="006F482A" w:rsidP="006F482A">
      <w:pPr>
        <w:pStyle w:val="Bibliography"/>
      </w:pPr>
      <w:r w:rsidRPr="006F482A">
        <w:t xml:space="preserve">Borresen, J., &amp; Ian Lambert, M. (2009). The quantification of training load, the training response and the effect on performance: </w:t>
      </w:r>
      <w:r w:rsidRPr="006F482A">
        <w:rPr>
          <w:i/>
          <w:iCs/>
        </w:rPr>
        <w:t>Sports Medicine</w:t>
      </w:r>
      <w:r w:rsidRPr="006F482A">
        <w:t xml:space="preserve">, </w:t>
      </w:r>
      <w:r w:rsidRPr="006F482A">
        <w:rPr>
          <w:i/>
          <w:iCs/>
        </w:rPr>
        <w:t>39</w:t>
      </w:r>
      <w:r w:rsidRPr="006F482A">
        <w:t>(9), 779–795. https://doi.org/10.2165/11317780-000000000-00000</w:t>
      </w:r>
    </w:p>
    <w:p w14:paraId="5531C871" w14:textId="77777777" w:rsidR="006F482A" w:rsidRPr="006F482A" w:rsidRDefault="006F482A" w:rsidP="006F482A">
      <w:pPr>
        <w:pStyle w:val="Bibliography"/>
      </w:pPr>
      <w:r w:rsidRPr="006F482A">
        <w:lastRenderedPageBreak/>
        <w:t xml:space="preserve">Boyd, L. J., Ball, K., &amp; Aughey, R. J. (2011). The reliability of minimaxx accelerometers for measuring physical activity in australian football. </w:t>
      </w:r>
      <w:r w:rsidRPr="006F482A">
        <w:rPr>
          <w:i/>
          <w:iCs/>
        </w:rPr>
        <w:t>International Journal of Sports Physiology and Performance</w:t>
      </w:r>
      <w:r w:rsidRPr="006F482A">
        <w:t xml:space="preserve">, </w:t>
      </w:r>
      <w:r w:rsidRPr="006F482A">
        <w:rPr>
          <w:i/>
          <w:iCs/>
        </w:rPr>
        <w:t>6</w:t>
      </w:r>
      <w:r w:rsidRPr="006F482A">
        <w:t>(3), 311–321. https://doi.org/10.1123/ijspp.6.3.311</w:t>
      </w:r>
    </w:p>
    <w:p w14:paraId="71E368CB" w14:textId="77777777" w:rsidR="006F482A" w:rsidRPr="006F482A" w:rsidRDefault="006F482A" w:rsidP="006F482A">
      <w:pPr>
        <w:pStyle w:val="Bibliography"/>
      </w:pPr>
      <w:r w:rsidRPr="006F482A">
        <w:t xml:space="preserve">Casamichana, D., Castellano, J., Calleja-Gonzalez, J., San Román, J., &amp; Castagna, C. (2013). Relationship between indicators of training load in soccer players. </w:t>
      </w:r>
      <w:r w:rsidRPr="006F482A">
        <w:rPr>
          <w:i/>
          <w:iCs/>
        </w:rPr>
        <w:t>Journal of Strength and Conditioning Research</w:t>
      </w:r>
      <w:r w:rsidRPr="006F482A">
        <w:t xml:space="preserve">, </w:t>
      </w:r>
      <w:r w:rsidRPr="006F482A">
        <w:rPr>
          <w:i/>
          <w:iCs/>
        </w:rPr>
        <w:t>27</w:t>
      </w:r>
      <w:r w:rsidRPr="006F482A">
        <w:t>(2), 369–374. https://doi.org/10.1519/JSC.0b013e3182548af1</w:t>
      </w:r>
    </w:p>
    <w:p w14:paraId="3C383A78" w14:textId="77777777" w:rsidR="006F482A" w:rsidRPr="006F482A" w:rsidRDefault="006F482A" w:rsidP="006F482A">
      <w:pPr>
        <w:pStyle w:val="Bibliography"/>
      </w:pPr>
      <w:r w:rsidRPr="006F482A">
        <w:t xml:space="preserve">Casto, K. V., &amp; Edwards, D. A. (2016). Testosterone, cortisol, and human competition. </w:t>
      </w:r>
      <w:r w:rsidRPr="006F482A">
        <w:rPr>
          <w:i/>
          <w:iCs/>
        </w:rPr>
        <w:t>Hormones and Behavior</w:t>
      </w:r>
      <w:r w:rsidRPr="006F482A">
        <w:t xml:space="preserve">, </w:t>
      </w:r>
      <w:r w:rsidRPr="006F482A">
        <w:rPr>
          <w:i/>
          <w:iCs/>
        </w:rPr>
        <w:t>82</w:t>
      </w:r>
      <w:r w:rsidRPr="006F482A">
        <w:t>, 21–37. https://doi.org/10.1016/j.yhbeh.2016.04.004</w:t>
      </w:r>
    </w:p>
    <w:p w14:paraId="5427D7D9" w14:textId="77777777" w:rsidR="006F482A" w:rsidRPr="006F482A" w:rsidRDefault="006F482A" w:rsidP="006F482A">
      <w:pPr>
        <w:pStyle w:val="Bibliography"/>
      </w:pPr>
      <w:r w:rsidRPr="006F482A">
        <w:t xml:space="preserve">Chambers, R., Gabbett, T. J., Cole, M. H., &amp; Beard, A. (2015). The use of wearable microsensors to quantify sport-specific movements. </w:t>
      </w:r>
      <w:r w:rsidRPr="006F482A">
        <w:rPr>
          <w:i/>
          <w:iCs/>
        </w:rPr>
        <w:t>Sports Medicine</w:t>
      </w:r>
      <w:r w:rsidRPr="006F482A">
        <w:t xml:space="preserve">, </w:t>
      </w:r>
      <w:r w:rsidRPr="006F482A">
        <w:rPr>
          <w:i/>
          <w:iCs/>
        </w:rPr>
        <w:t>45</w:t>
      </w:r>
      <w:r w:rsidRPr="006F482A">
        <w:t>(7), 1065–1081. https://doi.org/10.1007/s40279-015-0332-9</w:t>
      </w:r>
    </w:p>
    <w:p w14:paraId="179079E6" w14:textId="77777777" w:rsidR="006F482A" w:rsidRPr="006F482A" w:rsidRDefault="006F482A" w:rsidP="006F482A">
      <w:pPr>
        <w:pStyle w:val="Bibliography"/>
      </w:pPr>
      <w:r w:rsidRPr="006F482A">
        <w:t xml:space="preserve">Chatzinikolaou, A., Draganidis, D., Avloniti, A., Karipidis, A., Jamurtas, A. Z., Skevaki, C. L., Tsoukas, D., Sovatzidis, A., Theodorou, A., Kambas, A., Papassotiriou, I., Taxildaris, K., &amp; Fatouros, I. (2014). The microcycle of inflammation and performance changes after a basketball match. </w:t>
      </w:r>
      <w:r w:rsidRPr="006F482A">
        <w:rPr>
          <w:i/>
          <w:iCs/>
        </w:rPr>
        <w:t>Journal of Sports Sciences</w:t>
      </w:r>
      <w:r w:rsidRPr="006F482A">
        <w:t xml:space="preserve">, </w:t>
      </w:r>
      <w:r w:rsidRPr="006F482A">
        <w:rPr>
          <w:i/>
          <w:iCs/>
        </w:rPr>
        <w:t>32</w:t>
      </w:r>
      <w:r w:rsidRPr="006F482A">
        <w:t>(9), 870–882. https://doi.org/10.1080/02640414.2013.865251</w:t>
      </w:r>
    </w:p>
    <w:p w14:paraId="1CA12CC5" w14:textId="77777777" w:rsidR="006F482A" w:rsidRPr="006F482A" w:rsidRDefault="006F482A" w:rsidP="006F482A">
      <w:pPr>
        <w:pStyle w:val="Bibliography"/>
      </w:pPr>
      <w:r w:rsidRPr="006F482A">
        <w:t xml:space="preserve">Cohen, J. (1992). A power primer. </w:t>
      </w:r>
      <w:r w:rsidRPr="006F482A">
        <w:rPr>
          <w:i/>
          <w:iCs/>
        </w:rPr>
        <w:t>Psychological Bulletin</w:t>
      </w:r>
      <w:r w:rsidRPr="006F482A">
        <w:t xml:space="preserve">, </w:t>
      </w:r>
      <w:r w:rsidRPr="006F482A">
        <w:rPr>
          <w:i/>
          <w:iCs/>
        </w:rPr>
        <w:t>112</w:t>
      </w:r>
      <w:r w:rsidRPr="006F482A">
        <w:t>(1), 155–159. https://doi.org/10.1037//0033-2909.112.1.155</w:t>
      </w:r>
    </w:p>
    <w:p w14:paraId="6E3F4E97" w14:textId="77777777" w:rsidR="006F482A" w:rsidRPr="006F482A" w:rsidRDefault="006F482A" w:rsidP="006F482A">
      <w:pPr>
        <w:pStyle w:val="Bibliography"/>
      </w:pPr>
      <w:r w:rsidRPr="006F482A">
        <w:t xml:space="preserve">Cormack, S. J., Newton, R. U., &amp; McGuigan, M. R. (2008). Neuromuscular and endocrine responses of elite players to an australian rules football match. </w:t>
      </w:r>
      <w:r w:rsidRPr="006F482A">
        <w:rPr>
          <w:i/>
          <w:iCs/>
        </w:rPr>
        <w:t xml:space="preserve">International Journal of </w:t>
      </w:r>
      <w:r w:rsidRPr="006F482A">
        <w:rPr>
          <w:i/>
          <w:iCs/>
        </w:rPr>
        <w:lastRenderedPageBreak/>
        <w:t>Sports Physiology and Performance</w:t>
      </w:r>
      <w:r w:rsidRPr="006F482A">
        <w:t xml:space="preserve">, </w:t>
      </w:r>
      <w:r w:rsidRPr="006F482A">
        <w:rPr>
          <w:i/>
          <w:iCs/>
        </w:rPr>
        <w:t>3</w:t>
      </w:r>
      <w:r w:rsidRPr="006F482A">
        <w:t>(3), 359–374. https://doi.org/10.1123/ijspp.3.3.359</w:t>
      </w:r>
    </w:p>
    <w:p w14:paraId="0DB6EC92" w14:textId="77777777" w:rsidR="006F482A" w:rsidRPr="006F482A" w:rsidRDefault="006F482A" w:rsidP="006F482A">
      <w:pPr>
        <w:pStyle w:val="Bibliography"/>
      </w:pPr>
      <w:r w:rsidRPr="006F482A">
        <w:t xml:space="preserve">Cormack, S. J., Newton, R. U., McGuigan, M. R., &amp; Doyle, T. L. A. (2008). Reliability of Measures Obtained During Single and Repeated Countermovement Jumps. </w:t>
      </w:r>
      <w:r w:rsidRPr="006F482A">
        <w:rPr>
          <w:i/>
          <w:iCs/>
        </w:rPr>
        <w:t>International Journal of Sports Physiology and Performance</w:t>
      </w:r>
      <w:r w:rsidRPr="006F482A">
        <w:t xml:space="preserve">, </w:t>
      </w:r>
      <w:r w:rsidRPr="006F482A">
        <w:rPr>
          <w:i/>
          <w:iCs/>
        </w:rPr>
        <w:t>3</w:t>
      </w:r>
      <w:r w:rsidRPr="006F482A">
        <w:t>(2), 131–144. https://doi.org/10.1123/ijspp.3.2.131</w:t>
      </w:r>
    </w:p>
    <w:p w14:paraId="3D9E5E4D" w14:textId="77777777" w:rsidR="006F482A" w:rsidRPr="006F482A" w:rsidRDefault="006F482A" w:rsidP="006F482A">
      <w:pPr>
        <w:pStyle w:val="Bibliography"/>
      </w:pPr>
      <w:r w:rsidRPr="006F482A">
        <w:t xml:space="preserve">Coutts, A., Reaburn, P., Piva, T., &amp; Murphy, A. (2007). Changes in Selected Biochemical, Muscular Strength, Power, and Endurance Measures during Deliberate Overreaching and Tapering in Rugby League Players. </w:t>
      </w:r>
      <w:r w:rsidRPr="006F482A">
        <w:rPr>
          <w:i/>
          <w:iCs/>
        </w:rPr>
        <w:t>International Journal of Sports Medicine</w:t>
      </w:r>
      <w:r w:rsidRPr="006F482A">
        <w:t xml:space="preserve">, </w:t>
      </w:r>
      <w:r w:rsidRPr="006F482A">
        <w:rPr>
          <w:i/>
          <w:iCs/>
        </w:rPr>
        <w:t>28</w:t>
      </w:r>
      <w:r w:rsidRPr="006F482A">
        <w:t>(2), 116–124. https://doi.org/10.1055/s-2006-924145</w:t>
      </w:r>
    </w:p>
    <w:p w14:paraId="7F9491D3" w14:textId="77777777" w:rsidR="006F482A" w:rsidRPr="006F482A" w:rsidRDefault="006F482A" w:rsidP="006F482A">
      <w:pPr>
        <w:pStyle w:val="Bibliography"/>
      </w:pPr>
      <w:r w:rsidRPr="006F482A">
        <w:t xml:space="preserve">Cruz, I. de F., Pereira, L. A., Kobal, R., Kitamura, K., Cedra, C., Loturco, I., &amp; Cal Abad, C. C. (2018). Perceived training load and jumping responses following nine weeks of a competitive period in young female basketball players. </w:t>
      </w:r>
      <w:r w:rsidRPr="006F482A">
        <w:rPr>
          <w:i/>
          <w:iCs/>
        </w:rPr>
        <w:t>PeerJ</w:t>
      </w:r>
      <w:r w:rsidRPr="006F482A">
        <w:t xml:space="preserve">, </w:t>
      </w:r>
      <w:r w:rsidRPr="006F482A">
        <w:rPr>
          <w:i/>
          <w:iCs/>
        </w:rPr>
        <w:t>6</w:t>
      </w:r>
      <w:r w:rsidRPr="006F482A">
        <w:t>, e5225. https://doi.org/10.7717/peerj.5225</w:t>
      </w:r>
    </w:p>
    <w:p w14:paraId="01AB5467" w14:textId="77777777" w:rsidR="006F482A" w:rsidRPr="006F482A" w:rsidRDefault="006F482A" w:rsidP="006F482A">
      <w:pPr>
        <w:pStyle w:val="Bibliography"/>
      </w:pPr>
      <w:r w:rsidRPr="006F482A">
        <w:t xml:space="preserve">Cummins, C., Orr, R., O’Connor, H., &amp; West, C. (2013). Global positioning systems (gps) and microtechnology sensors in team sports: A systematic review. </w:t>
      </w:r>
      <w:r w:rsidRPr="006F482A">
        <w:rPr>
          <w:i/>
          <w:iCs/>
        </w:rPr>
        <w:t>Sports Medicine</w:t>
      </w:r>
      <w:r w:rsidRPr="006F482A">
        <w:t xml:space="preserve">, </w:t>
      </w:r>
      <w:r w:rsidRPr="006F482A">
        <w:rPr>
          <w:i/>
          <w:iCs/>
        </w:rPr>
        <w:t>43</w:t>
      </w:r>
      <w:r w:rsidRPr="006F482A">
        <w:t>(10), 1025–1042. https://doi.org/10.1007/s40279-013-0069-2</w:t>
      </w:r>
    </w:p>
    <w:p w14:paraId="24D19390" w14:textId="77777777" w:rsidR="006F482A" w:rsidRPr="006F482A" w:rsidRDefault="006F482A" w:rsidP="006F482A">
      <w:pPr>
        <w:pStyle w:val="Bibliography"/>
      </w:pPr>
      <w:r w:rsidRPr="006F482A">
        <w:t xml:space="preserve">Cunanan, A. J., DeWeese, B. H., Wagle, J. P., Carroll, K. M., Sausaman, R., Hornsby, W. G., Haff, G. G., Triplett, N. T., Pierce, K. C., &amp; Stone, M. H. (2018). The general adaptation syndrome: A foundation for the concept of periodization. </w:t>
      </w:r>
      <w:r w:rsidRPr="006F482A">
        <w:rPr>
          <w:i/>
          <w:iCs/>
        </w:rPr>
        <w:t>Sports Medicine</w:t>
      </w:r>
      <w:r w:rsidRPr="006F482A">
        <w:t xml:space="preserve">, </w:t>
      </w:r>
      <w:r w:rsidRPr="006F482A">
        <w:rPr>
          <w:i/>
          <w:iCs/>
        </w:rPr>
        <w:t>48</w:t>
      </w:r>
      <w:r w:rsidRPr="006F482A">
        <w:t>(4), 787–797. https://doi.org/10.1007/s40279-017-0855-3</w:t>
      </w:r>
    </w:p>
    <w:p w14:paraId="1716D23C" w14:textId="77777777" w:rsidR="006F482A" w:rsidRPr="006F482A" w:rsidRDefault="006F482A" w:rsidP="006F482A">
      <w:pPr>
        <w:pStyle w:val="Bibliography"/>
      </w:pPr>
      <w:r w:rsidRPr="006F482A">
        <w:lastRenderedPageBreak/>
        <w:t xml:space="preserve">Davies, C. T., &amp; Few, J. D. (1973). Effects of exercise on adrenocortical function. </w:t>
      </w:r>
      <w:r w:rsidRPr="006F482A">
        <w:rPr>
          <w:i/>
          <w:iCs/>
        </w:rPr>
        <w:t>Journal of Applied Physiology</w:t>
      </w:r>
      <w:r w:rsidRPr="006F482A">
        <w:t xml:space="preserve">, </w:t>
      </w:r>
      <w:r w:rsidRPr="006F482A">
        <w:rPr>
          <w:i/>
          <w:iCs/>
        </w:rPr>
        <w:t>35</w:t>
      </w:r>
      <w:r w:rsidRPr="006F482A">
        <w:t>(6), 887–891. https://doi.org/10.1152/jappl.1973.35.6.887</w:t>
      </w:r>
    </w:p>
    <w:p w14:paraId="618C06E3" w14:textId="77777777" w:rsidR="006F482A" w:rsidRPr="006F482A" w:rsidRDefault="006F482A" w:rsidP="006F482A">
      <w:pPr>
        <w:pStyle w:val="Bibliography"/>
      </w:pPr>
      <w:r w:rsidRPr="006F482A">
        <w:t xml:space="preserve">Dellaserra, C. L., Gao, Y., &amp; Ransdell, L. (2014). Use of integrated technology in team sports: A review of opportunities, challenges, and future directions for athletes. </w:t>
      </w:r>
      <w:r w:rsidRPr="006F482A">
        <w:rPr>
          <w:i/>
          <w:iCs/>
        </w:rPr>
        <w:t>Journal of Strength and Conditioning Research</w:t>
      </w:r>
      <w:r w:rsidRPr="006F482A">
        <w:t xml:space="preserve">, </w:t>
      </w:r>
      <w:r w:rsidRPr="006F482A">
        <w:rPr>
          <w:i/>
          <w:iCs/>
        </w:rPr>
        <w:t>28</w:t>
      </w:r>
      <w:r w:rsidRPr="006F482A">
        <w:t>(2), 556–573.</w:t>
      </w:r>
    </w:p>
    <w:p w14:paraId="53F10A0E" w14:textId="77777777" w:rsidR="006F482A" w:rsidRPr="006F482A" w:rsidRDefault="006F482A" w:rsidP="006F482A">
      <w:pPr>
        <w:pStyle w:val="Bibliography"/>
      </w:pPr>
      <w:r w:rsidRPr="006F482A">
        <w:t xml:space="preserve">Duffield, R., Reid, M., Baker, J., &amp; Spratford, W. (2010). Accuracy and reliability of gps devices for measurement of movement patterns in confined spaces for court-based sports. </w:t>
      </w:r>
      <w:r w:rsidRPr="006F482A">
        <w:rPr>
          <w:i/>
          <w:iCs/>
        </w:rPr>
        <w:t>Journal of Science and Medicine in Sport</w:t>
      </w:r>
      <w:r w:rsidRPr="006F482A">
        <w:t xml:space="preserve">, </w:t>
      </w:r>
      <w:r w:rsidRPr="006F482A">
        <w:rPr>
          <w:i/>
          <w:iCs/>
        </w:rPr>
        <w:t>13</w:t>
      </w:r>
      <w:r w:rsidRPr="006F482A">
        <w:t>(5), 523–525. https://doi.org/10.1016/j.jsams.2009.07.003</w:t>
      </w:r>
    </w:p>
    <w:p w14:paraId="611BA1E3" w14:textId="77777777" w:rsidR="006F482A" w:rsidRPr="006F482A" w:rsidRDefault="006F482A" w:rsidP="006F482A">
      <w:pPr>
        <w:pStyle w:val="Bibliography"/>
      </w:pPr>
      <w:r w:rsidRPr="006F482A">
        <w:t xml:space="preserve">Edwards, D., Wetzel, K., &amp; Wyner, D. (2006). Intercollegiate soccer: Saliva cortisol and testosterone are elevated during competition, and testosterone is related to status and social connectedness with teammates. </w:t>
      </w:r>
      <w:r w:rsidRPr="006F482A">
        <w:rPr>
          <w:i/>
          <w:iCs/>
        </w:rPr>
        <w:t>Physiology &amp; Behavior</w:t>
      </w:r>
      <w:r w:rsidRPr="006F482A">
        <w:t xml:space="preserve">, </w:t>
      </w:r>
      <w:r w:rsidRPr="006F482A">
        <w:rPr>
          <w:i/>
          <w:iCs/>
        </w:rPr>
        <w:t>87</w:t>
      </w:r>
      <w:r w:rsidRPr="006F482A">
        <w:t>(1), 135–143. https://doi.org/10.1016/j.physbeh.2005.09.007</w:t>
      </w:r>
    </w:p>
    <w:p w14:paraId="7C1E6365" w14:textId="77777777" w:rsidR="006F482A" w:rsidRPr="006F482A" w:rsidRDefault="006F482A" w:rsidP="006F482A">
      <w:pPr>
        <w:pStyle w:val="Bibliography"/>
      </w:pPr>
      <w:r w:rsidRPr="006F482A">
        <w:t xml:space="preserve">Edwards, T., Spiteri, T., Piggott, B., Bonhotal, J., Haff, G. G., &amp; Joyce, C. (2018). Monitoring and managing fatigue in basketball. </w:t>
      </w:r>
      <w:r w:rsidRPr="006F482A">
        <w:rPr>
          <w:i/>
          <w:iCs/>
        </w:rPr>
        <w:t>Sports</w:t>
      </w:r>
      <w:r w:rsidRPr="006F482A">
        <w:t xml:space="preserve">, </w:t>
      </w:r>
      <w:r w:rsidRPr="006F482A">
        <w:rPr>
          <w:i/>
          <w:iCs/>
        </w:rPr>
        <w:t>6</w:t>
      </w:r>
      <w:r w:rsidRPr="006F482A">
        <w:t>(1), 19. https://doi.org/10.3390/sports6010019</w:t>
      </w:r>
    </w:p>
    <w:p w14:paraId="34D8030B" w14:textId="77777777" w:rsidR="006F482A" w:rsidRPr="006F482A" w:rsidRDefault="006F482A" w:rsidP="006F482A">
      <w:pPr>
        <w:pStyle w:val="Bibliography"/>
      </w:pPr>
      <w:r w:rsidRPr="006F482A">
        <w:t xml:space="preserve">Enoki, T., Yoshida, Y., Lally, J., Hatta, H., &amp; Bonen, A. (2006). Testosterone increases lactate transport, monocarboxylate transporter (mct) 1 and mct4 in rat skeletal muscle: Testosterone and mct1 and 4. </w:t>
      </w:r>
      <w:r w:rsidRPr="006F482A">
        <w:rPr>
          <w:i/>
          <w:iCs/>
        </w:rPr>
        <w:t>The Journal of Physiology</w:t>
      </w:r>
      <w:r w:rsidRPr="006F482A">
        <w:t xml:space="preserve">, </w:t>
      </w:r>
      <w:r w:rsidRPr="006F482A">
        <w:rPr>
          <w:i/>
          <w:iCs/>
        </w:rPr>
        <w:t>577</w:t>
      </w:r>
      <w:r w:rsidRPr="006F482A">
        <w:t>(1), 433–443. https://doi.org/10.1113/jphysiol.2006.115436</w:t>
      </w:r>
    </w:p>
    <w:p w14:paraId="5DF97F75" w14:textId="77777777" w:rsidR="006F482A" w:rsidRPr="006F482A" w:rsidRDefault="006F482A" w:rsidP="006F482A">
      <w:pPr>
        <w:pStyle w:val="Bibliography"/>
      </w:pPr>
      <w:r w:rsidRPr="006F482A">
        <w:t xml:space="preserve">Ferioli, D., Bosio, A., Bilsborough, J. C., La Torre, A., Tornaghi, M., &amp; Rampinini, E. (2018). The preparation period in basketball: Training load and neuromuscular adaptations. </w:t>
      </w:r>
      <w:r w:rsidRPr="006F482A">
        <w:rPr>
          <w:i/>
          <w:iCs/>
        </w:rPr>
        <w:lastRenderedPageBreak/>
        <w:t>International Journal of Sports Physiology and Performance</w:t>
      </w:r>
      <w:r w:rsidRPr="006F482A">
        <w:t xml:space="preserve">, </w:t>
      </w:r>
      <w:r w:rsidRPr="006F482A">
        <w:rPr>
          <w:i/>
          <w:iCs/>
        </w:rPr>
        <w:t>13</w:t>
      </w:r>
      <w:r w:rsidRPr="006F482A">
        <w:t>(8), 991–999. https://doi.org/10.1123/ijspp.2017-0434</w:t>
      </w:r>
    </w:p>
    <w:p w14:paraId="479B89C3" w14:textId="77777777" w:rsidR="006F482A" w:rsidRPr="006F482A" w:rsidRDefault="006F482A" w:rsidP="006F482A">
      <w:pPr>
        <w:pStyle w:val="Bibliography"/>
      </w:pPr>
      <w:r w:rsidRPr="006F482A">
        <w:t xml:space="preserve">Filaire, E., Lac, G., &amp; Pequignot, J.-M. (2003). Biological, Hormonal, and Psychological Parameters in Professional Soccer Players Throughout a Competitive Season. </w:t>
      </w:r>
      <w:r w:rsidRPr="006F482A">
        <w:rPr>
          <w:i/>
          <w:iCs/>
        </w:rPr>
        <w:t>Perceptual and Motor Skills</w:t>
      </w:r>
      <w:r w:rsidRPr="006F482A">
        <w:t xml:space="preserve">, </w:t>
      </w:r>
      <w:r w:rsidRPr="006F482A">
        <w:rPr>
          <w:i/>
          <w:iCs/>
        </w:rPr>
        <w:t>97</w:t>
      </w:r>
      <w:r w:rsidRPr="006F482A">
        <w:t>, 1061–1072.</w:t>
      </w:r>
    </w:p>
    <w:p w14:paraId="3500EB03" w14:textId="77777777" w:rsidR="006F482A" w:rsidRPr="006F482A" w:rsidRDefault="006F482A" w:rsidP="006F482A">
      <w:pPr>
        <w:pStyle w:val="Bibliography"/>
      </w:pPr>
      <w:r w:rsidRPr="006F482A">
        <w:t xml:space="preserve">Fleming, A. S., Corter, C., Stallings, J., &amp; Steiner, M. (2002). Testosterone and prolactin are associated with emotional responses to infant cries in new fathers. </w:t>
      </w:r>
      <w:r w:rsidRPr="006F482A">
        <w:rPr>
          <w:i/>
          <w:iCs/>
        </w:rPr>
        <w:t>Hormones and Behavior</w:t>
      </w:r>
      <w:r w:rsidRPr="006F482A">
        <w:t xml:space="preserve">, </w:t>
      </w:r>
      <w:r w:rsidRPr="006F482A">
        <w:rPr>
          <w:i/>
          <w:iCs/>
        </w:rPr>
        <w:t>42</w:t>
      </w:r>
      <w:r w:rsidRPr="006F482A">
        <w:t>(4), 399–413. https://doi.org/10.1006/hbeh.2002.1840</w:t>
      </w:r>
    </w:p>
    <w:p w14:paraId="7F449E83" w14:textId="77777777" w:rsidR="006F482A" w:rsidRPr="006F482A" w:rsidRDefault="006F482A" w:rsidP="006F482A">
      <w:pPr>
        <w:pStyle w:val="Bibliography"/>
      </w:pPr>
      <w:r w:rsidRPr="006F482A">
        <w:t xml:space="preserve">Foster, C., Florhaug, J. A., Franklin, J., Gottschall, L., Hrovatin, L. A., Parker, S., Doleshal, P., &amp; Dodge, C. (2001). A new approach to monitoring exercise training: </w:t>
      </w:r>
      <w:r w:rsidRPr="006F482A">
        <w:rPr>
          <w:i/>
          <w:iCs/>
        </w:rPr>
        <w:t>Journal of Strength and Conditioning Research</w:t>
      </w:r>
      <w:r w:rsidRPr="006F482A">
        <w:t xml:space="preserve">, </w:t>
      </w:r>
      <w:r w:rsidRPr="006F482A">
        <w:rPr>
          <w:i/>
          <w:iCs/>
        </w:rPr>
        <w:t>15</w:t>
      </w:r>
      <w:r w:rsidRPr="006F482A">
        <w:t>(1), 109–115. https://doi.org/10.1519/00124278-200102000-00019</w:t>
      </w:r>
    </w:p>
    <w:p w14:paraId="06821249" w14:textId="77777777" w:rsidR="006F482A" w:rsidRPr="006F482A" w:rsidRDefault="006F482A" w:rsidP="006F482A">
      <w:pPr>
        <w:pStyle w:val="Bibliography"/>
      </w:pPr>
      <w:r w:rsidRPr="006F482A">
        <w:t xml:space="preserve">Fox, J. L., Stanton, R., &amp; Scanlan, A. T. (2018). A comparison of training and competition demands in semiprofessional male basketball players. </w:t>
      </w:r>
      <w:r w:rsidRPr="006F482A">
        <w:rPr>
          <w:i/>
          <w:iCs/>
        </w:rPr>
        <w:t>Research Quarterly for Exercise and Sport</w:t>
      </w:r>
      <w:r w:rsidRPr="006F482A">
        <w:t xml:space="preserve">, </w:t>
      </w:r>
      <w:r w:rsidRPr="006F482A">
        <w:rPr>
          <w:i/>
          <w:iCs/>
        </w:rPr>
        <w:t>89</w:t>
      </w:r>
      <w:r w:rsidRPr="006F482A">
        <w:t>(1), 103–111. https://doi.org/10.1080/02701367.2017.1410693</w:t>
      </w:r>
    </w:p>
    <w:p w14:paraId="47043663" w14:textId="77777777" w:rsidR="006F482A" w:rsidRPr="006F482A" w:rsidRDefault="006F482A" w:rsidP="006F482A">
      <w:pPr>
        <w:pStyle w:val="Bibliography"/>
      </w:pPr>
      <w:r w:rsidRPr="006F482A">
        <w:t xml:space="preserve">Fry, A. C., &amp; Kraemer, W. J. (1997). Resistance exercise overtraining and overreaching: Neuroendocrine responses. </w:t>
      </w:r>
      <w:r w:rsidRPr="006F482A">
        <w:rPr>
          <w:i/>
          <w:iCs/>
        </w:rPr>
        <w:t>Sports Medicine</w:t>
      </w:r>
      <w:r w:rsidRPr="006F482A">
        <w:t xml:space="preserve">, </w:t>
      </w:r>
      <w:r w:rsidRPr="006F482A">
        <w:rPr>
          <w:i/>
          <w:iCs/>
        </w:rPr>
        <w:t>23</w:t>
      </w:r>
      <w:r w:rsidRPr="006F482A">
        <w:t>(2), 106–129. https://doi.org/10.2165/00007256-199723020-00004</w:t>
      </w:r>
    </w:p>
    <w:p w14:paraId="07A752D4" w14:textId="77777777" w:rsidR="006F482A" w:rsidRPr="006F482A" w:rsidRDefault="006F482A" w:rsidP="006F482A">
      <w:pPr>
        <w:pStyle w:val="Bibliography"/>
      </w:pPr>
      <w:r w:rsidRPr="006F482A">
        <w:t xml:space="preserve">Gallo, T., Cormack, S., Gabbett, T., Williams, M., &amp; Lorenzen, C. (2015). Characteristics impacting on session rating of perceived exertion training load in australian footballers. </w:t>
      </w:r>
      <w:r w:rsidRPr="006F482A">
        <w:rPr>
          <w:i/>
          <w:iCs/>
        </w:rPr>
        <w:t>Journal of Sports Sciences</w:t>
      </w:r>
      <w:r w:rsidRPr="006F482A">
        <w:t xml:space="preserve">, </w:t>
      </w:r>
      <w:r w:rsidRPr="006F482A">
        <w:rPr>
          <w:i/>
          <w:iCs/>
        </w:rPr>
        <w:t>33</w:t>
      </w:r>
      <w:r w:rsidRPr="006F482A">
        <w:t>(5), 467–475. https://doi.org/10.1080/02640414.2014.947311</w:t>
      </w:r>
    </w:p>
    <w:p w14:paraId="392140D8" w14:textId="77777777" w:rsidR="006F482A" w:rsidRPr="006F482A" w:rsidRDefault="006F482A" w:rsidP="006F482A">
      <w:pPr>
        <w:pStyle w:val="Bibliography"/>
      </w:pPr>
      <w:r w:rsidRPr="006F482A">
        <w:lastRenderedPageBreak/>
        <w:t xml:space="preserve">Gathercole, R., Sporer, B., Stellingwerff, T., &amp; Sleivert, G. (2015). Alternative countermovement-jump analysis to quantify acute neuromuscular fatigue. </w:t>
      </w:r>
      <w:r w:rsidRPr="006F482A">
        <w:rPr>
          <w:i/>
          <w:iCs/>
        </w:rPr>
        <w:t>International Journal of Sports Physiology and Performance</w:t>
      </w:r>
      <w:r w:rsidRPr="006F482A">
        <w:t xml:space="preserve">, </w:t>
      </w:r>
      <w:r w:rsidRPr="006F482A">
        <w:rPr>
          <w:i/>
          <w:iCs/>
        </w:rPr>
        <w:t>10</w:t>
      </w:r>
      <w:r w:rsidRPr="006F482A">
        <w:t>(1), 84–92. https://doi.org/10.1123/ijspp.2013-0413</w:t>
      </w:r>
    </w:p>
    <w:p w14:paraId="4BC1704A" w14:textId="77777777" w:rsidR="006F482A" w:rsidRPr="006F482A" w:rsidRDefault="006F482A" w:rsidP="006F482A">
      <w:pPr>
        <w:pStyle w:val="Bibliography"/>
      </w:pPr>
      <w:r w:rsidRPr="006F482A">
        <w:t xml:space="preserve">Gaviglio, C. M., &amp; Cook, C. J. (2014). Relationship between midweek training measures of testosterone and cortisol concentrations and game outcome in professional rugby union matches. </w:t>
      </w:r>
      <w:r w:rsidRPr="006F482A">
        <w:rPr>
          <w:i/>
          <w:iCs/>
        </w:rPr>
        <w:t>Journal of Strength and Conditioning Research</w:t>
      </w:r>
      <w:r w:rsidRPr="006F482A">
        <w:t xml:space="preserve">, </w:t>
      </w:r>
      <w:r w:rsidRPr="006F482A">
        <w:rPr>
          <w:i/>
          <w:iCs/>
        </w:rPr>
        <w:t>28</w:t>
      </w:r>
      <w:r w:rsidRPr="006F482A">
        <w:t>(12), 3447–3452. https://doi.org/10.1519/JSC.0000000000000574</w:t>
      </w:r>
    </w:p>
    <w:p w14:paraId="56FDAE35" w14:textId="77777777" w:rsidR="006F482A" w:rsidRPr="006F482A" w:rsidRDefault="006F482A" w:rsidP="006F482A">
      <w:pPr>
        <w:pStyle w:val="Bibliography"/>
      </w:pPr>
      <w:r w:rsidRPr="006F482A">
        <w:t xml:space="preserve">Gharahdaghi, N., Phillips, B. E., Szewczyk, N. J., Smith, K., Wilkinson, D. J., &amp; Atherton, P. J. (2021). Links between testosterone, oestrogen, and the growth hormone/insulin-like growth factor axis and resistance exercise muscle adaptations. </w:t>
      </w:r>
      <w:r w:rsidRPr="006F482A">
        <w:rPr>
          <w:i/>
          <w:iCs/>
        </w:rPr>
        <w:t>Frontiers in Physiology</w:t>
      </w:r>
      <w:r w:rsidRPr="006F482A">
        <w:t xml:space="preserve">, </w:t>
      </w:r>
      <w:r w:rsidRPr="006F482A">
        <w:rPr>
          <w:i/>
          <w:iCs/>
        </w:rPr>
        <w:t>11</w:t>
      </w:r>
      <w:r w:rsidRPr="006F482A">
        <w:t>, 621226. https://doi.org/10.3389/fphys.2020.621226</w:t>
      </w:r>
    </w:p>
    <w:p w14:paraId="5D111399" w14:textId="77777777" w:rsidR="006F482A" w:rsidRPr="006F482A" w:rsidRDefault="006F482A" w:rsidP="006F482A">
      <w:pPr>
        <w:pStyle w:val="Bibliography"/>
      </w:pPr>
      <w:r w:rsidRPr="006F482A">
        <w:t xml:space="preserve">Gibson, E. L., Checkley, S., Papadopoulos, A., Poon, L., Daley, S., &amp; Wardle, J. (1999). Increased salivary cortisol reliably induced by a protein-rich midday meal. </w:t>
      </w:r>
      <w:r w:rsidRPr="006F482A">
        <w:rPr>
          <w:i/>
          <w:iCs/>
        </w:rPr>
        <w:t>Psychosomatic Medicine</w:t>
      </w:r>
      <w:r w:rsidRPr="006F482A">
        <w:t xml:space="preserve">, </w:t>
      </w:r>
      <w:r w:rsidRPr="006F482A">
        <w:rPr>
          <w:i/>
          <w:iCs/>
        </w:rPr>
        <w:t>61</w:t>
      </w:r>
      <w:r w:rsidRPr="006F482A">
        <w:t>(2), 214–224. https://doi.org/10.1097/00006842-199903000-00014</w:t>
      </w:r>
    </w:p>
    <w:p w14:paraId="7329C772" w14:textId="77777777" w:rsidR="006F482A" w:rsidRPr="006F482A" w:rsidRDefault="006F482A" w:rsidP="006F482A">
      <w:pPr>
        <w:pStyle w:val="Bibliography"/>
      </w:pPr>
      <w:r w:rsidRPr="006F482A">
        <w:t xml:space="preserve">Gonzalez-Bono, E., Salvador, A., Serrano, M. A., &amp; Ricarte, J. (1999). Testosterone, cortisol, and mood in a sports team competition. </w:t>
      </w:r>
      <w:r w:rsidRPr="006F482A">
        <w:rPr>
          <w:i/>
          <w:iCs/>
        </w:rPr>
        <w:t>Hormones and Behavior</w:t>
      </w:r>
      <w:r w:rsidRPr="006F482A">
        <w:t xml:space="preserve">, </w:t>
      </w:r>
      <w:r w:rsidRPr="006F482A">
        <w:rPr>
          <w:i/>
          <w:iCs/>
        </w:rPr>
        <w:t>35</w:t>
      </w:r>
      <w:r w:rsidRPr="006F482A">
        <w:t>(1), 55–62. https://doi.org/10.1006/hbeh.1998.1496</w:t>
      </w:r>
    </w:p>
    <w:p w14:paraId="24D54BB7" w14:textId="77777777" w:rsidR="006F482A" w:rsidRPr="006F482A" w:rsidRDefault="006F482A" w:rsidP="006F482A">
      <w:pPr>
        <w:pStyle w:val="Bibliography"/>
      </w:pPr>
      <w:r w:rsidRPr="006F482A">
        <w:t xml:space="preserve">Gozansky, W. S., Lynn, J. S., Laudenslager, M. L., &amp; Kohrt, W. M. (2005). Salivary cortisol determined by enzyme immunoassay is preferable to serum total cortisol for assessment of dynamic hypothalamic-pituitary-adrenal axis activity. </w:t>
      </w:r>
      <w:r w:rsidRPr="006F482A">
        <w:rPr>
          <w:i/>
          <w:iCs/>
        </w:rPr>
        <w:t>Clinical Endocrinology</w:t>
      </w:r>
      <w:r w:rsidRPr="006F482A">
        <w:t xml:space="preserve">, </w:t>
      </w:r>
      <w:r w:rsidRPr="006F482A">
        <w:rPr>
          <w:i/>
          <w:iCs/>
        </w:rPr>
        <w:t>63</w:t>
      </w:r>
      <w:r w:rsidRPr="006F482A">
        <w:t>(3), 336–341. https://doi.org/10.1111/j.1365-2265.2005.02349.x</w:t>
      </w:r>
    </w:p>
    <w:p w14:paraId="25C66327" w14:textId="77777777" w:rsidR="006F482A" w:rsidRPr="006F482A" w:rsidRDefault="006F482A" w:rsidP="006F482A">
      <w:pPr>
        <w:pStyle w:val="Bibliography"/>
      </w:pPr>
      <w:r w:rsidRPr="006F482A">
        <w:lastRenderedPageBreak/>
        <w:t xml:space="preserve">Hackney, A. C. (1989). Endurance training and testosterone levels: </w:t>
      </w:r>
      <w:r w:rsidRPr="006F482A">
        <w:rPr>
          <w:i/>
          <w:iCs/>
        </w:rPr>
        <w:t>Sports Medicine</w:t>
      </w:r>
      <w:r w:rsidRPr="006F482A">
        <w:t xml:space="preserve">, </w:t>
      </w:r>
      <w:r w:rsidRPr="006F482A">
        <w:rPr>
          <w:i/>
          <w:iCs/>
        </w:rPr>
        <w:t>8</w:t>
      </w:r>
      <w:r w:rsidRPr="006F482A">
        <w:t>(2), 117–127. https://doi.org/10.2165/00007256-198908020-00004</w:t>
      </w:r>
    </w:p>
    <w:p w14:paraId="46D6A76F" w14:textId="77777777" w:rsidR="006F482A" w:rsidRPr="006F482A" w:rsidRDefault="006F482A" w:rsidP="006F482A">
      <w:pPr>
        <w:pStyle w:val="Bibliography"/>
      </w:pPr>
      <w:r w:rsidRPr="006F482A">
        <w:t xml:space="preserve">Hackney, A. C., &amp; Lane, A. R. (2015). Exercise and the regulation of endocrine hormones. In </w:t>
      </w:r>
      <w:r w:rsidRPr="006F482A">
        <w:rPr>
          <w:i/>
          <w:iCs/>
        </w:rPr>
        <w:t>Progress in Molecular Biology and Translational Science</w:t>
      </w:r>
      <w:r w:rsidRPr="006F482A">
        <w:t xml:space="preserve"> (Vol. 135, pp. 293–311). Elsevier. https://doi.org/10.1016/bs.pmbts.2015.07.001</w:t>
      </w:r>
    </w:p>
    <w:p w14:paraId="33E2261E" w14:textId="77777777" w:rsidR="006F482A" w:rsidRPr="006F482A" w:rsidRDefault="006F482A" w:rsidP="006F482A">
      <w:pPr>
        <w:pStyle w:val="Bibliography"/>
      </w:pPr>
      <w:r w:rsidRPr="006F482A">
        <w:t xml:space="preserve">Häkkinen, K., Pakarinen, A., Newton, R. U., &amp; Kraemer, W. J. (1998). Acute hormone responses to heavy resistance lower and upper extremity exercise in young versus old men. </w:t>
      </w:r>
      <w:r w:rsidRPr="006F482A">
        <w:rPr>
          <w:i/>
          <w:iCs/>
        </w:rPr>
        <w:t>European Journal of Applied Physiology</w:t>
      </w:r>
      <w:r w:rsidRPr="006F482A">
        <w:t xml:space="preserve">, </w:t>
      </w:r>
      <w:r w:rsidRPr="006F482A">
        <w:rPr>
          <w:i/>
          <w:iCs/>
        </w:rPr>
        <w:t>77</w:t>
      </w:r>
      <w:r w:rsidRPr="006F482A">
        <w:t>(4), 312–319. https://doi.org/10.1007/s004210050339</w:t>
      </w:r>
    </w:p>
    <w:p w14:paraId="05DD09BE" w14:textId="77777777" w:rsidR="006F482A" w:rsidRPr="006F482A" w:rsidRDefault="006F482A" w:rsidP="006F482A">
      <w:pPr>
        <w:pStyle w:val="Bibliography"/>
      </w:pPr>
      <w:r w:rsidRPr="006F482A">
        <w:t xml:space="preserve">Halson, S. L. (2014). Monitoring training load to understand fatigue in athletes. </w:t>
      </w:r>
      <w:r w:rsidRPr="006F482A">
        <w:rPr>
          <w:i/>
          <w:iCs/>
        </w:rPr>
        <w:t>Sports Medicine</w:t>
      </w:r>
      <w:r w:rsidRPr="006F482A">
        <w:t xml:space="preserve">, </w:t>
      </w:r>
      <w:r w:rsidRPr="006F482A">
        <w:rPr>
          <w:i/>
          <w:iCs/>
        </w:rPr>
        <w:t>44</w:t>
      </w:r>
      <w:r w:rsidRPr="006F482A">
        <w:t>(S2), 139–147. https://doi.org/10.1007/s40279-014-0253-z</w:t>
      </w:r>
    </w:p>
    <w:p w14:paraId="0BCB8462" w14:textId="77777777" w:rsidR="006F482A" w:rsidRPr="006F482A" w:rsidRDefault="006F482A" w:rsidP="006F482A">
      <w:pPr>
        <w:pStyle w:val="Bibliography"/>
      </w:pPr>
      <w:r w:rsidRPr="006F482A">
        <w:t xml:space="preserve">Halson, S. L., &amp; Jeukendrup, A. E. (2004). Does overtraining exist?: An analysis of overreaching and overtraining research. </w:t>
      </w:r>
      <w:r w:rsidRPr="006F482A">
        <w:rPr>
          <w:i/>
          <w:iCs/>
        </w:rPr>
        <w:t>Sports Medicine</w:t>
      </w:r>
      <w:r w:rsidRPr="006F482A">
        <w:t xml:space="preserve">, </w:t>
      </w:r>
      <w:r w:rsidRPr="006F482A">
        <w:rPr>
          <w:i/>
          <w:iCs/>
        </w:rPr>
        <w:t>34</w:t>
      </w:r>
      <w:r w:rsidRPr="006F482A">
        <w:t>(14), 967–981. https://doi.org/10.2165/00007256-200434140-00003</w:t>
      </w:r>
    </w:p>
    <w:p w14:paraId="19A26C96" w14:textId="77777777" w:rsidR="006F482A" w:rsidRPr="006F482A" w:rsidRDefault="006F482A" w:rsidP="006F482A">
      <w:pPr>
        <w:pStyle w:val="Bibliography"/>
      </w:pPr>
      <w:r w:rsidRPr="006F482A">
        <w:t xml:space="preserve">Hayes, L. D., Grace, F. M., Baker, J. S., &amp; Sculthorpe, N. (2015). Exercise-induced responses in salivary testosterone, cortisol, and their ratios in men: A meta-analysis. </w:t>
      </w:r>
      <w:r w:rsidRPr="006F482A">
        <w:rPr>
          <w:i/>
          <w:iCs/>
        </w:rPr>
        <w:t>Sports Medicine</w:t>
      </w:r>
      <w:r w:rsidRPr="006F482A">
        <w:t xml:space="preserve">, </w:t>
      </w:r>
      <w:r w:rsidRPr="006F482A">
        <w:rPr>
          <w:i/>
          <w:iCs/>
        </w:rPr>
        <w:t>45</w:t>
      </w:r>
      <w:r w:rsidRPr="006F482A">
        <w:t>(5), 713–726. https://doi.org/10.1007/s40279-015-0306-y</w:t>
      </w:r>
    </w:p>
    <w:p w14:paraId="072C66D3" w14:textId="77777777" w:rsidR="006F482A" w:rsidRPr="006F482A" w:rsidRDefault="006F482A" w:rsidP="006F482A">
      <w:pPr>
        <w:pStyle w:val="Bibliography"/>
      </w:pPr>
      <w:r w:rsidRPr="006F482A">
        <w:t xml:space="preserve">He, C.-S., Tsai, M.-L., Ko, M.-H., Chang, C.-K., &amp; Fang, S.-H. (2010). Relationships among salivary immunoglobulin a, lactoferrin and cortisol in basketball players during a basketball season. </w:t>
      </w:r>
      <w:r w:rsidRPr="006F482A">
        <w:rPr>
          <w:i/>
          <w:iCs/>
        </w:rPr>
        <w:t>European Journal of Applied Physiology</w:t>
      </w:r>
      <w:r w:rsidRPr="006F482A">
        <w:t xml:space="preserve">, </w:t>
      </w:r>
      <w:r w:rsidRPr="006F482A">
        <w:rPr>
          <w:i/>
          <w:iCs/>
        </w:rPr>
        <w:t>110</w:t>
      </w:r>
      <w:r w:rsidRPr="006F482A">
        <w:t>(5), 989–995. https://doi.org/10.1007/s00421-010-1574-8</w:t>
      </w:r>
    </w:p>
    <w:p w14:paraId="4D716632" w14:textId="77777777" w:rsidR="006F482A" w:rsidRPr="006F482A" w:rsidRDefault="006F482A" w:rsidP="006F482A">
      <w:pPr>
        <w:pStyle w:val="Bibliography"/>
      </w:pPr>
      <w:r w:rsidRPr="006F482A">
        <w:lastRenderedPageBreak/>
        <w:t xml:space="preserve">Heishman, A., Curtis, M., Saliba, E., Hornett, R., Malin, S., &amp; Weltman, A. (2018). Noninvasive assessment of internal and external player load: Implications for optimizing athletic performance. </w:t>
      </w:r>
      <w:r w:rsidRPr="006F482A">
        <w:rPr>
          <w:i/>
          <w:iCs/>
        </w:rPr>
        <w:t>Journal of Strength and Conditioning Research</w:t>
      </w:r>
      <w:r w:rsidRPr="006F482A">
        <w:t xml:space="preserve">, </w:t>
      </w:r>
      <w:r w:rsidRPr="006F482A">
        <w:rPr>
          <w:i/>
          <w:iCs/>
        </w:rPr>
        <w:t>32</w:t>
      </w:r>
      <w:r w:rsidRPr="006F482A">
        <w:t>(5), 1280–1287. https://doi.org/10.1519/JSC.0000000000002413</w:t>
      </w:r>
    </w:p>
    <w:p w14:paraId="126A7930" w14:textId="77777777" w:rsidR="006F482A" w:rsidRPr="006F482A" w:rsidRDefault="006F482A" w:rsidP="006F482A">
      <w:pPr>
        <w:pStyle w:val="Bibliography"/>
      </w:pPr>
      <w:r w:rsidRPr="006F482A">
        <w:t xml:space="preserve">Heishman, A. D., Curtis, M. A., Saliba, E. N., Hornett, R. J., Malin, S. K., &amp; Weltman, A. L. (2017). Comparing Performance During Morning vs. Afternoon Training Sessions in Intercollegiate Basketball Players: </w:t>
      </w:r>
      <w:r w:rsidRPr="006F482A">
        <w:rPr>
          <w:i/>
          <w:iCs/>
        </w:rPr>
        <w:t>Journal of Strength and Conditioning Research</w:t>
      </w:r>
      <w:r w:rsidRPr="006F482A">
        <w:t xml:space="preserve">, </w:t>
      </w:r>
      <w:r w:rsidRPr="006F482A">
        <w:rPr>
          <w:i/>
          <w:iCs/>
        </w:rPr>
        <w:t>31</w:t>
      </w:r>
      <w:r w:rsidRPr="006F482A">
        <w:t>(6), 1557–1562. https://doi.org/10.1519/JSC.0000000000001882</w:t>
      </w:r>
    </w:p>
    <w:p w14:paraId="19B7E4EE" w14:textId="77777777" w:rsidR="006F482A" w:rsidRPr="006F482A" w:rsidRDefault="006F482A" w:rsidP="006F482A">
      <w:pPr>
        <w:pStyle w:val="Bibliography"/>
      </w:pPr>
      <w:r w:rsidRPr="006F482A">
        <w:t xml:space="preserve">Heishman, A., Daub, B., Miller, R., Brown, B., Freitas, E., &amp; Bemben, M. (2019). Countermovement jump inter-limb asymmetries in collegiate basketball players. </w:t>
      </w:r>
      <w:r w:rsidRPr="006F482A">
        <w:rPr>
          <w:i/>
          <w:iCs/>
        </w:rPr>
        <w:t>Sports</w:t>
      </w:r>
      <w:r w:rsidRPr="006F482A">
        <w:t xml:space="preserve">, </w:t>
      </w:r>
      <w:r w:rsidRPr="006F482A">
        <w:rPr>
          <w:i/>
          <w:iCs/>
        </w:rPr>
        <w:t>7</w:t>
      </w:r>
      <w:r w:rsidRPr="006F482A">
        <w:t>(5), 103. https://doi.org/10.3390/sports7050103</w:t>
      </w:r>
    </w:p>
    <w:p w14:paraId="3ED644AB" w14:textId="77777777" w:rsidR="006F482A" w:rsidRPr="006F482A" w:rsidRDefault="006F482A" w:rsidP="006F482A">
      <w:pPr>
        <w:pStyle w:val="Bibliography"/>
      </w:pPr>
      <w:r w:rsidRPr="006F482A">
        <w:t xml:space="preserve">Heishman, A., Daub, B., Miller, R., Freitas, E., &amp; Bemben, M. (2021). Longitudinal hydration assessment in collegiate basketball players over various training phases. </w:t>
      </w:r>
      <w:r w:rsidRPr="006F482A">
        <w:rPr>
          <w:i/>
          <w:iCs/>
        </w:rPr>
        <w:t>Journal of Strength and Conditioning Research</w:t>
      </w:r>
      <w:r w:rsidRPr="006F482A">
        <w:t xml:space="preserve">, </w:t>
      </w:r>
      <w:r w:rsidRPr="006F482A">
        <w:rPr>
          <w:i/>
          <w:iCs/>
        </w:rPr>
        <w:t>35</w:t>
      </w:r>
      <w:r w:rsidRPr="006F482A">
        <w:t>(4), 1089–1094. https://doi.org/10.1519/JSC.0000000000002845</w:t>
      </w:r>
    </w:p>
    <w:p w14:paraId="3D153587" w14:textId="77777777" w:rsidR="006F482A" w:rsidRPr="006F482A" w:rsidRDefault="006F482A" w:rsidP="006F482A">
      <w:pPr>
        <w:pStyle w:val="Bibliography"/>
      </w:pPr>
      <w:r w:rsidRPr="006F482A">
        <w:t xml:space="preserve">Heishman, A., Daub, B., Miller, R., Freitas, E., Frantz, B., &amp; Bemben, M. (2020). Countermovement jump reliability performed with and without an arm swing in ncaa division 1 intercollegiate basketball players. </w:t>
      </w:r>
      <w:r w:rsidRPr="006F482A">
        <w:rPr>
          <w:i/>
          <w:iCs/>
        </w:rPr>
        <w:t>Journal of Strength and Conditioning Research</w:t>
      </w:r>
      <w:r w:rsidRPr="006F482A">
        <w:t xml:space="preserve">, </w:t>
      </w:r>
      <w:r w:rsidRPr="006F482A">
        <w:rPr>
          <w:i/>
          <w:iCs/>
        </w:rPr>
        <w:t>34</w:t>
      </w:r>
      <w:r w:rsidRPr="006F482A">
        <w:t>(2), 546–558. https://doi.org/10.1519/JSC.0000000000002812</w:t>
      </w:r>
    </w:p>
    <w:p w14:paraId="71B35AF9" w14:textId="77777777" w:rsidR="006F482A" w:rsidRPr="006F482A" w:rsidRDefault="006F482A" w:rsidP="006F482A">
      <w:pPr>
        <w:pStyle w:val="Bibliography"/>
      </w:pPr>
      <w:r w:rsidRPr="006F482A">
        <w:t xml:space="preserve">Heishman, A., Miller, R., Freitas, E., Brown, B., Daub, B., &amp; Bemben, M. (2020). Monitoring external training loads and neuromuscular performance for division 1 basketball players </w:t>
      </w:r>
      <w:r w:rsidRPr="006F482A">
        <w:lastRenderedPageBreak/>
        <w:t xml:space="preserve">over the pre-season. </w:t>
      </w:r>
      <w:r w:rsidRPr="006F482A">
        <w:rPr>
          <w:i/>
          <w:iCs/>
        </w:rPr>
        <w:t>Medicine &amp; Science in Sports &amp; Exercise</w:t>
      </w:r>
      <w:r w:rsidRPr="006F482A">
        <w:t xml:space="preserve">, </w:t>
      </w:r>
      <w:r w:rsidRPr="006F482A">
        <w:rPr>
          <w:i/>
          <w:iCs/>
        </w:rPr>
        <w:t>51</w:t>
      </w:r>
      <w:r w:rsidRPr="006F482A">
        <w:t>(6S), 35–35. https://doi.org/10.1249/01.mss.0000560595.64671.b6</w:t>
      </w:r>
    </w:p>
    <w:p w14:paraId="08B607FC" w14:textId="77777777" w:rsidR="006F482A" w:rsidRPr="006F482A" w:rsidRDefault="006F482A" w:rsidP="006F482A">
      <w:pPr>
        <w:pStyle w:val="Bibliography"/>
      </w:pPr>
      <w:r w:rsidRPr="006F482A">
        <w:t xml:space="preserve">Heishman, A., Peak, K., Daub, B., Miller, R., &amp; Freitas, E. (2021). Does footwear influence countermovement jump parameters used to assess performance in collegiate basketball players? </w:t>
      </w:r>
      <w:r w:rsidRPr="006F482A">
        <w:rPr>
          <w:i/>
          <w:iCs/>
        </w:rPr>
        <w:t>International Journal of Kinesiology and Sports Science</w:t>
      </w:r>
      <w:r w:rsidRPr="006F482A">
        <w:t xml:space="preserve">, </w:t>
      </w:r>
      <w:r w:rsidRPr="006F482A">
        <w:rPr>
          <w:i/>
          <w:iCs/>
        </w:rPr>
        <w:t>9</w:t>
      </w:r>
      <w:r w:rsidRPr="006F482A">
        <w:t>(2), 14. https://doi.org/10.7575/aiac.ijkss.v.9n.2p.14</w:t>
      </w:r>
    </w:p>
    <w:p w14:paraId="4A5CF609" w14:textId="77777777" w:rsidR="006F482A" w:rsidRPr="006F482A" w:rsidRDefault="006F482A" w:rsidP="006F482A">
      <w:pPr>
        <w:pStyle w:val="Bibliography"/>
      </w:pPr>
      <w:r w:rsidRPr="006F482A">
        <w:t xml:space="preserve">Heishman, A., Peak, K., Miller, R., Brown, B., Daub, B., Freitas, E., &amp; Bemben, M. (2020). Associations between two athlete monitoring systems used to quantify external training loads in basketball players. </w:t>
      </w:r>
      <w:r w:rsidRPr="006F482A">
        <w:rPr>
          <w:i/>
          <w:iCs/>
        </w:rPr>
        <w:t>Sports</w:t>
      </w:r>
      <w:r w:rsidRPr="006F482A">
        <w:t xml:space="preserve">, </w:t>
      </w:r>
      <w:r w:rsidRPr="006F482A">
        <w:rPr>
          <w:i/>
          <w:iCs/>
        </w:rPr>
        <w:t>8</w:t>
      </w:r>
      <w:r w:rsidRPr="006F482A">
        <w:t>(3), 33. https://doi.org/10.3390/sports8030033</w:t>
      </w:r>
    </w:p>
    <w:p w14:paraId="6B57868B" w14:textId="77777777" w:rsidR="006F482A" w:rsidRPr="006F482A" w:rsidRDefault="006F482A" w:rsidP="006F482A">
      <w:pPr>
        <w:pStyle w:val="Bibliography"/>
      </w:pPr>
      <w:r w:rsidRPr="006F482A">
        <w:t xml:space="preserve">Hill, E. E., Zack, E., Battaglini, C., Viru, M., Viru, A., &amp; Hackney, A. C. (2008). Exercise and circulating cortisol levels: The intensity threshold effect. </w:t>
      </w:r>
      <w:r w:rsidRPr="006F482A">
        <w:rPr>
          <w:i/>
          <w:iCs/>
        </w:rPr>
        <w:t>Journal of Endocrinological Investigation</w:t>
      </w:r>
      <w:r w:rsidRPr="006F482A">
        <w:t xml:space="preserve">, </w:t>
      </w:r>
      <w:r w:rsidRPr="006F482A">
        <w:rPr>
          <w:i/>
          <w:iCs/>
        </w:rPr>
        <w:t>31</w:t>
      </w:r>
      <w:r w:rsidRPr="006F482A">
        <w:t>(7), 587–591. https://doi.org/10.1007/BF03345606</w:t>
      </w:r>
    </w:p>
    <w:p w14:paraId="17D16315" w14:textId="77777777" w:rsidR="006F482A" w:rsidRPr="006F482A" w:rsidRDefault="006F482A" w:rsidP="006F482A">
      <w:pPr>
        <w:pStyle w:val="Bibliography"/>
      </w:pPr>
      <w:r w:rsidRPr="006F482A">
        <w:t xml:space="preserve">Hoffman, J. R., Epstein, S., Yarom, Y., Zigel, L., &amp; Einbinder, M. (1999). Hormonal and biochemical changes in elite basketball players during a 4-week training camp. </w:t>
      </w:r>
      <w:r w:rsidRPr="006F482A">
        <w:rPr>
          <w:i/>
          <w:iCs/>
        </w:rPr>
        <w:t>The Journal of Strength &amp; Conditioning Research</w:t>
      </w:r>
      <w:r w:rsidRPr="006F482A">
        <w:t xml:space="preserve">, </w:t>
      </w:r>
      <w:r w:rsidRPr="006F482A">
        <w:rPr>
          <w:i/>
          <w:iCs/>
        </w:rPr>
        <w:t>13</w:t>
      </w:r>
      <w:r w:rsidRPr="006F482A">
        <w:t>(3), 280–285.</w:t>
      </w:r>
    </w:p>
    <w:p w14:paraId="56D2D559" w14:textId="77777777" w:rsidR="006F482A" w:rsidRPr="006F482A" w:rsidRDefault="006F482A" w:rsidP="006F482A">
      <w:pPr>
        <w:pStyle w:val="Bibliography"/>
      </w:pPr>
      <w:r w:rsidRPr="006F482A">
        <w:t xml:space="preserve">Holme, B. (2015). Wearable microsensor technology to measure physical activity demands in handball: A reliability study of inertial movement analysis and player load. </w:t>
      </w:r>
      <w:r w:rsidRPr="006F482A">
        <w:rPr>
          <w:i/>
          <w:iCs/>
        </w:rPr>
        <w:t>Norwegian School of Sport Sciences, Olso</w:t>
      </w:r>
      <w:r w:rsidRPr="006F482A">
        <w:t>. /paper/Wearable-microsensor-technology-to-measure-physical-Holme/80af29628bc86bfaecea9c350efe0524c98cabca</w:t>
      </w:r>
    </w:p>
    <w:p w14:paraId="714FA46D" w14:textId="77777777" w:rsidR="006F482A" w:rsidRPr="006F482A" w:rsidRDefault="006F482A" w:rsidP="006F482A">
      <w:pPr>
        <w:pStyle w:val="Bibliography"/>
      </w:pPr>
      <w:r w:rsidRPr="006F482A">
        <w:t xml:space="preserve">Johnson, S. G., &amp; Joplin, F. (1987). Direct assay for testosterone in saliva: Relationship with a direct serum free testosterone assay. </w:t>
      </w:r>
      <w:r w:rsidRPr="006F482A">
        <w:rPr>
          <w:i/>
          <w:iCs/>
        </w:rPr>
        <w:t>Clinica Chimica Acta</w:t>
      </w:r>
      <w:r w:rsidRPr="006F482A">
        <w:t>, 309–318.</w:t>
      </w:r>
    </w:p>
    <w:p w14:paraId="1763D56C" w14:textId="77777777" w:rsidR="006F482A" w:rsidRPr="006F482A" w:rsidRDefault="006F482A" w:rsidP="006F482A">
      <w:pPr>
        <w:pStyle w:val="Bibliography"/>
      </w:pPr>
      <w:r w:rsidRPr="006F482A">
        <w:lastRenderedPageBreak/>
        <w:t xml:space="preserve">Kindermann, W., Schnabel, A., Schmitt, W. M., Biro, G., Cassens, J., &amp; Weber, F. (1982). Catecholamines, growth hormone, cortisol, insulin, and sex hormones in anaerobic and aerobic exercise. </w:t>
      </w:r>
      <w:r w:rsidRPr="006F482A">
        <w:rPr>
          <w:i/>
          <w:iCs/>
        </w:rPr>
        <w:t>European Journal of Applied Physiology and Occupational Physiology</w:t>
      </w:r>
      <w:r w:rsidRPr="006F482A">
        <w:t xml:space="preserve">, </w:t>
      </w:r>
      <w:r w:rsidRPr="006F482A">
        <w:rPr>
          <w:i/>
          <w:iCs/>
        </w:rPr>
        <w:t>49</w:t>
      </w:r>
      <w:r w:rsidRPr="006F482A">
        <w:t>(3), 389–399. https://doi.org/10.1007/BF00441300</w:t>
      </w:r>
    </w:p>
    <w:p w14:paraId="6BFF5265" w14:textId="77777777" w:rsidR="006F482A" w:rsidRPr="006F482A" w:rsidRDefault="006F482A" w:rsidP="006F482A">
      <w:pPr>
        <w:pStyle w:val="Bibliography"/>
      </w:pPr>
      <w:r w:rsidRPr="006F482A">
        <w:t xml:space="preserve">Komi, P. V. (2000). Stretch-shortening cycle: A powerful model to study normal and fatigued muscle. </w:t>
      </w:r>
      <w:r w:rsidRPr="006F482A">
        <w:rPr>
          <w:i/>
          <w:iCs/>
        </w:rPr>
        <w:t>Journal of Biomechanics</w:t>
      </w:r>
      <w:r w:rsidRPr="006F482A">
        <w:t xml:space="preserve">, </w:t>
      </w:r>
      <w:r w:rsidRPr="006F482A">
        <w:rPr>
          <w:i/>
          <w:iCs/>
        </w:rPr>
        <w:t>33</w:t>
      </w:r>
      <w:r w:rsidRPr="006F482A">
        <w:t>(10), 1197–1206. https://doi.org/10.1016/S0021-9290(00)00064-6</w:t>
      </w:r>
    </w:p>
    <w:p w14:paraId="3D08D571" w14:textId="77777777" w:rsidR="006F482A" w:rsidRPr="006F482A" w:rsidRDefault="006F482A" w:rsidP="006F482A">
      <w:pPr>
        <w:pStyle w:val="Bibliography"/>
      </w:pPr>
      <w:r w:rsidRPr="006F482A">
        <w:t xml:space="preserve">Kraemer, W. J. (1988). Endocrine responses to resistance exercise. </w:t>
      </w:r>
      <w:r w:rsidRPr="006F482A">
        <w:rPr>
          <w:i/>
          <w:iCs/>
        </w:rPr>
        <w:t>Medicine and Science in Sports and Exercise</w:t>
      </w:r>
      <w:r w:rsidRPr="006F482A">
        <w:t xml:space="preserve">, </w:t>
      </w:r>
      <w:r w:rsidRPr="006F482A">
        <w:rPr>
          <w:i/>
          <w:iCs/>
        </w:rPr>
        <w:t>20</w:t>
      </w:r>
      <w:r w:rsidRPr="006F482A">
        <w:t>(5 Suppl), S152-157. https://doi.org/10.1249/00005768-198810001-00011</w:t>
      </w:r>
    </w:p>
    <w:p w14:paraId="16F1277F" w14:textId="77777777" w:rsidR="006F482A" w:rsidRPr="006F482A" w:rsidRDefault="006F482A" w:rsidP="006F482A">
      <w:pPr>
        <w:pStyle w:val="Bibliography"/>
      </w:pPr>
      <w:r w:rsidRPr="006F482A">
        <w:t xml:space="preserve">Kraemer, W. J., Hagerman, F. C., Fry, A. C., Nindl, B. C., Volek, S., &amp; Newton, R. U. (1998). The effects of short-term resistance training on endocrine function in men and women. </w:t>
      </w:r>
      <w:r w:rsidRPr="006F482A">
        <w:rPr>
          <w:i/>
          <w:iCs/>
        </w:rPr>
        <w:t>European Journal of Applied Physiology</w:t>
      </w:r>
      <w:r w:rsidRPr="006F482A">
        <w:t xml:space="preserve">, </w:t>
      </w:r>
      <w:r w:rsidRPr="006F482A">
        <w:rPr>
          <w:i/>
          <w:iCs/>
        </w:rPr>
        <w:t>78</w:t>
      </w:r>
      <w:r w:rsidRPr="006F482A">
        <w:t>, 69–76.</w:t>
      </w:r>
    </w:p>
    <w:p w14:paraId="3C84E5A4" w14:textId="77777777" w:rsidR="006F482A" w:rsidRPr="006F482A" w:rsidRDefault="006F482A" w:rsidP="006F482A">
      <w:pPr>
        <w:pStyle w:val="Bibliography"/>
      </w:pPr>
      <w:r w:rsidRPr="006F482A">
        <w:t xml:space="preserve">Kraemer, W. J., &amp; Ratamess, N. A. (2005). Hormonal responses and adaptations to resistance exercise and training: </w:t>
      </w:r>
      <w:r w:rsidRPr="006F482A">
        <w:rPr>
          <w:i/>
          <w:iCs/>
        </w:rPr>
        <w:t>Sports Medicine</w:t>
      </w:r>
      <w:r w:rsidRPr="006F482A">
        <w:t xml:space="preserve">, </w:t>
      </w:r>
      <w:r w:rsidRPr="006F482A">
        <w:rPr>
          <w:i/>
          <w:iCs/>
        </w:rPr>
        <w:t>35</w:t>
      </w:r>
      <w:r w:rsidRPr="006F482A">
        <w:t>(4), 339–361. https://doi.org/10.2165/00007256-200535040-00004</w:t>
      </w:r>
    </w:p>
    <w:p w14:paraId="516A8863" w14:textId="77777777" w:rsidR="006F482A" w:rsidRPr="006F482A" w:rsidRDefault="006F482A" w:rsidP="006F482A">
      <w:pPr>
        <w:pStyle w:val="Bibliography"/>
      </w:pPr>
      <w:r w:rsidRPr="006F482A">
        <w:t xml:space="preserve">Kraemer, W. J., Ratamess, N. A., Hymer, W. C., Nindl, B. C., &amp; Fragala, M. S. (2020). Growth hormone(s), testosterone, insulin-like growth factors, and cortisol: Roles and integration for cellular development and growth with exercise. </w:t>
      </w:r>
      <w:r w:rsidRPr="006F482A">
        <w:rPr>
          <w:i/>
          <w:iCs/>
        </w:rPr>
        <w:t>Frontiers in Endocrinology</w:t>
      </w:r>
      <w:r w:rsidRPr="006F482A">
        <w:t xml:space="preserve">, </w:t>
      </w:r>
      <w:r w:rsidRPr="006F482A">
        <w:rPr>
          <w:i/>
          <w:iCs/>
        </w:rPr>
        <w:t>11</w:t>
      </w:r>
      <w:r w:rsidRPr="006F482A">
        <w:t>, 33. https://doi.org/10.3389/fendo.2020.00033</w:t>
      </w:r>
    </w:p>
    <w:p w14:paraId="7EFF2690" w14:textId="77777777" w:rsidR="006F482A" w:rsidRPr="006F482A" w:rsidRDefault="006F482A" w:rsidP="006F482A">
      <w:pPr>
        <w:pStyle w:val="Bibliography"/>
      </w:pPr>
      <w:r w:rsidRPr="006F482A">
        <w:t xml:space="preserve">Kraemer, W. J., Spiering, B. A., Volek, J. S., Martin, G. J., Howard, R. L., Ratamess, N. A., Hatfield, D. L., Vingren, J. L., Ho, J. Y., Fragala, M. S., Thomas, G. A., French, D. N., Anderson, J. M., </w:t>
      </w:r>
      <w:r w:rsidRPr="006F482A">
        <w:lastRenderedPageBreak/>
        <w:t xml:space="preserve">Häkkinen, K., &amp; Maresh, C. M. (2009). Recovery from a national collegiate athletic association division I football game: Muscle damage and hormonal status. </w:t>
      </w:r>
      <w:r w:rsidRPr="006F482A">
        <w:rPr>
          <w:i/>
          <w:iCs/>
        </w:rPr>
        <w:t>Journal of Strength and Conditioning Research</w:t>
      </w:r>
      <w:r w:rsidRPr="006F482A">
        <w:t xml:space="preserve">, </w:t>
      </w:r>
      <w:r w:rsidRPr="006F482A">
        <w:rPr>
          <w:i/>
          <w:iCs/>
        </w:rPr>
        <w:t>23</w:t>
      </w:r>
      <w:r w:rsidRPr="006F482A">
        <w:t>(1), 2–10. https://doi.org/10.1519/JSC.0b013e31819306f2</w:t>
      </w:r>
    </w:p>
    <w:p w14:paraId="1D775208" w14:textId="77777777" w:rsidR="006F482A" w:rsidRPr="006F482A" w:rsidRDefault="006F482A" w:rsidP="006F482A">
      <w:pPr>
        <w:pStyle w:val="Bibliography"/>
      </w:pPr>
      <w:r w:rsidRPr="006F482A">
        <w:t xml:space="preserve">Lippi, G., De Vita, F., Salvagno, G. L., Gelati, M., Montagnana, M., &amp; Guidi, G. C. (2009). Measurement of morning saliva cortisol in athletes. </w:t>
      </w:r>
      <w:r w:rsidRPr="006F482A">
        <w:rPr>
          <w:i/>
          <w:iCs/>
        </w:rPr>
        <w:t>Clinical Biochemistry</w:t>
      </w:r>
      <w:r w:rsidRPr="006F482A">
        <w:t xml:space="preserve">, </w:t>
      </w:r>
      <w:r w:rsidRPr="006F482A">
        <w:rPr>
          <w:i/>
          <w:iCs/>
        </w:rPr>
        <w:t>42</w:t>
      </w:r>
      <w:r w:rsidRPr="006F482A">
        <w:t>(9), 904–906. https://doi.org/10.1016/j.clinbiochem.2009.02.012</w:t>
      </w:r>
    </w:p>
    <w:p w14:paraId="0592D028" w14:textId="77777777" w:rsidR="006F482A" w:rsidRPr="006F482A" w:rsidRDefault="006F482A" w:rsidP="006F482A">
      <w:pPr>
        <w:pStyle w:val="Bibliography"/>
      </w:pPr>
      <w:r w:rsidRPr="006F482A">
        <w:t xml:space="preserve">Malone, J. J., Lovell, R., Varley, M. C., &amp; Coutts, A. J. (2017). Unpacking the black box: Applications and considerations for using gps devices in sport. </w:t>
      </w:r>
      <w:r w:rsidRPr="006F482A">
        <w:rPr>
          <w:i/>
          <w:iCs/>
        </w:rPr>
        <w:t>International Journal of Sports Physiology and Performance</w:t>
      </w:r>
      <w:r w:rsidRPr="006F482A">
        <w:t xml:space="preserve">, </w:t>
      </w:r>
      <w:r w:rsidRPr="006F482A">
        <w:rPr>
          <w:i/>
          <w:iCs/>
        </w:rPr>
        <w:t>12</w:t>
      </w:r>
      <w:r w:rsidRPr="006F482A">
        <w:t>(s2), S2-18-S2-26. https://doi.org/10.1123/ijspp.2016-0236</w:t>
      </w:r>
    </w:p>
    <w:p w14:paraId="6C483A70" w14:textId="77777777" w:rsidR="006F482A" w:rsidRPr="006F482A" w:rsidRDefault="006F482A" w:rsidP="006F482A">
      <w:pPr>
        <w:pStyle w:val="Bibliography"/>
      </w:pPr>
      <w:r w:rsidRPr="006F482A">
        <w:t xml:space="preserve">Martínez, A. C., Seco Calvo, J., Tur Marí, J. A., Abecia Inchaurregui, L. C., Orella, E. E., &amp; Biescas, A. P. (2010). Testosterone and cortisol changes in professional basketball players through a season competition. </w:t>
      </w:r>
      <w:r w:rsidRPr="006F482A">
        <w:rPr>
          <w:i/>
          <w:iCs/>
        </w:rPr>
        <w:t>Journal of Strength and Conditioning Research</w:t>
      </w:r>
      <w:r w:rsidRPr="006F482A">
        <w:t xml:space="preserve">, </w:t>
      </w:r>
      <w:r w:rsidRPr="006F482A">
        <w:rPr>
          <w:i/>
          <w:iCs/>
        </w:rPr>
        <w:t>24</w:t>
      </w:r>
      <w:r w:rsidRPr="006F482A">
        <w:t>(4), 1102–1108. https://doi.org/10.1519/JSC.0b013e3181ce2423</w:t>
      </w:r>
    </w:p>
    <w:p w14:paraId="29F6C576" w14:textId="77777777" w:rsidR="006F482A" w:rsidRPr="006F482A" w:rsidRDefault="006F482A" w:rsidP="006F482A">
      <w:pPr>
        <w:pStyle w:val="Bibliography"/>
      </w:pPr>
      <w:r w:rsidRPr="006F482A">
        <w:t xml:space="preserve">Martinez, D. B. (2016). The use of reactive strength index, reactive strength index modified, and flight time:contraction time as monitoring tools. </w:t>
      </w:r>
      <w:r w:rsidRPr="006F482A">
        <w:rPr>
          <w:i/>
          <w:iCs/>
        </w:rPr>
        <w:t>Journal of Australian Strength and Conditioning</w:t>
      </w:r>
      <w:r w:rsidRPr="006F482A">
        <w:t xml:space="preserve">, </w:t>
      </w:r>
      <w:r w:rsidRPr="006F482A">
        <w:rPr>
          <w:i/>
          <w:iCs/>
        </w:rPr>
        <w:t>24</w:t>
      </w:r>
      <w:r w:rsidRPr="006F482A">
        <w:t>(5), 37–41.</w:t>
      </w:r>
    </w:p>
    <w:p w14:paraId="7B02138F" w14:textId="77777777" w:rsidR="006F482A" w:rsidRPr="006F482A" w:rsidRDefault="006F482A" w:rsidP="006F482A">
      <w:pPr>
        <w:pStyle w:val="Bibliography"/>
      </w:pPr>
      <w:r w:rsidRPr="006F482A">
        <w:t xml:space="preserve">Mayer, M., &amp; Rosen, F. (1977). Interaction of glucocorticoids and androgens with skeletal muscle. </w:t>
      </w:r>
      <w:r w:rsidRPr="006F482A">
        <w:rPr>
          <w:i/>
          <w:iCs/>
        </w:rPr>
        <w:t>Metabolism</w:t>
      </w:r>
      <w:r w:rsidRPr="006F482A">
        <w:t xml:space="preserve">, </w:t>
      </w:r>
      <w:r w:rsidRPr="006F482A">
        <w:rPr>
          <w:i/>
          <w:iCs/>
        </w:rPr>
        <w:t>26</w:t>
      </w:r>
      <w:r w:rsidRPr="006F482A">
        <w:t>(8), 937–962. https://doi.org/10.1016/0026-0495(77)90013-0</w:t>
      </w:r>
    </w:p>
    <w:p w14:paraId="19B55108" w14:textId="77777777" w:rsidR="006F482A" w:rsidRPr="006F482A" w:rsidRDefault="006F482A" w:rsidP="006F482A">
      <w:pPr>
        <w:pStyle w:val="Bibliography"/>
      </w:pPr>
      <w:r w:rsidRPr="006F482A">
        <w:t xml:space="preserve">McLaren, S. J., Macpherson, T. W., Coutts, A. J., Hurst, C., Spears, I. R., &amp; Weston, M. (2018). The relationships between internal and external measures of training load and intensity </w:t>
      </w:r>
      <w:r w:rsidRPr="006F482A">
        <w:lastRenderedPageBreak/>
        <w:t xml:space="preserve">in team sports: A meta-analysis. </w:t>
      </w:r>
      <w:r w:rsidRPr="006F482A">
        <w:rPr>
          <w:i/>
          <w:iCs/>
        </w:rPr>
        <w:t>Sports Medicine</w:t>
      </w:r>
      <w:r w:rsidRPr="006F482A">
        <w:t xml:space="preserve">, </w:t>
      </w:r>
      <w:r w:rsidRPr="006F482A">
        <w:rPr>
          <w:i/>
          <w:iCs/>
        </w:rPr>
        <w:t>48</w:t>
      </w:r>
      <w:r w:rsidRPr="006F482A">
        <w:t>(3), 641–658. https://doi.org/10.1007/s40279-017-0830-z</w:t>
      </w:r>
    </w:p>
    <w:p w14:paraId="5BF271F4" w14:textId="77777777" w:rsidR="006F482A" w:rsidRPr="006F482A" w:rsidRDefault="006F482A" w:rsidP="006F482A">
      <w:pPr>
        <w:pStyle w:val="Bibliography"/>
      </w:pPr>
      <w:r w:rsidRPr="006F482A">
        <w:t xml:space="preserve">McLean, B. D., Cummins, C., Conlan, G., Duthie, G., &amp; Coutts, A. J. (2018). The fit matters: Influence of accelerometer fitting and training drill demands on load measures in rugby league players. </w:t>
      </w:r>
      <w:r w:rsidRPr="006F482A">
        <w:rPr>
          <w:i/>
          <w:iCs/>
        </w:rPr>
        <w:t>International Journal of Sports Physiology and Performance</w:t>
      </w:r>
      <w:r w:rsidRPr="006F482A">
        <w:t xml:space="preserve">, </w:t>
      </w:r>
      <w:r w:rsidRPr="006F482A">
        <w:rPr>
          <w:i/>
          <w:iCs/>
        </w:rPr>
        <w:t>13</w:t>
      </w:r>
      <w:r w:rsidRPr="006F482A">
        <w:t>(8), 1083–1089. https://doi.org/10.1123/ijspp.2017-0729</w:t>
      </w:r>
    </w:p>
    <w:p w14:paraId="7F0A7381" w14:textId="77777777" w:rsidR="006F482A" w:rsidRPr="006F482A" w:rsidRDefault="006F482A" w:rsidP="006F482A">
      <w:pPr>
        <w:pStyle w:val="Bibliography"/>
      </w:pPr>
      <w:r w:rsidRPr="006F482A">
        <w:t xml:space="preserve">Meeusen, R., Duclos, M., Foster, C., Fry, A., Gleeson, M., Nieman, D., Raglin, J., Rietjens, G., Steinacker, J., &amp; Urhausen, A. (2013). Prevention, diagnosis and treatment of the overtraining syndrome: Joint consensus statement of the european college of sport science (ecss) and the american college of sports medicine (acsm). </w:t>
      </w:r>
      <w:r w:rsidRPr="006F482A">
        <w:rPr>
          <w:i/>
          <w:iCs/>
        </w:rPr>
        <w:t>European Journal of Sport Science</w:t>
      </w:r>
      <w:r w:rsidRPr="006F482A">
        <w:t xml:space="preserve">, </w:t>
      </w:r>
      <w:r w:rsidRPr="006F482A">
        <w:rPr>
          <w:i/>
          <w:iCs/>
        </w:rPr>
        <w:t>13</w:t>
      </w:r>
      <w:r w:rsidRPr="006F482A">
        <w:t>(1), 1–24. https://doi.org/10.1080/17461391.2012.730061</w:t>
      </w:r>
    </w:p>
    <w:p w14:paraId="4EFE2236" w14:textId="77777777" w:rsidR="006F482A" w:rsidRPr="006F482A" w:rsidRDefault="006F482A" w:rsidP="006F482A">
      <w:pPr>
        <w:pStyle w:val="Bibliography"/>
      </w:pPr>
      <w:r w:rsidRPr="006F482A">
        <w:t xml:space="preserve">Meeusen, R., Piacentini, M. F., Busschaert, B., Buyse, L., De Schutter, G., &amp; Stray-Gundersen, J. (2004). Hormonal responses in athletes: The use of a two bout exercise protocol to detect subtle differences in (over)training status. </w:t>
      </w:r>
      <w:r w:rsidRPr="006F482A">
        <w:rPr>
          <w:i/>
          <w:iCs/>
        </w:rPr>
        <w:t>European Journal of Applied Physiology</w:t>
      </w:r>
      <w:r w:rsidRPr="006F482A">
        <w:t xml:space="preserve">, </w:t>
      </w:r>
      <w:r w:rsidRPr="006F482A">
        <w:rPr>
          <w:i/>
          <w:iCs/>
        </w:rPr>
        <w:t>91</w:t>
      </w:r>
      <w:r w:rsidRPr="006F482A">
        <w:t>(2–3), 140–146. https://doi.org/10.1007/s00421-003-0940-1</w:t>
      </w:r>
    </w:p>
    <w:p w14:paraId="06733F52" w14:textId="77777777" w:rsidR="006F482A" w:rsidRPr="006F482A" w:rsidRDefault="006F482A" w:rsidP="006F482A">
      <w:pPr>
        <w:pStyle w:val="Bibliography"/>
      </w:pPr>
      <w:r w:rsidRPr="006F482A">
        <w:t xml:space="preserve">Montgomery, P. G., Pyne, D. B., &amp; Minahan, C. L. (2010). The physical and physiological demands of basketball training and competition. </w:t>
      </w:r>
      <w:r w:rsidRPr="006F482A">
        <w:rPr>
          <w:i/>
          <w:iCs/>
        </w:rPr>
        <w:t>International Journal of Sports Physiology and Performance</w:t>
      </w:r>
      <w:r w:rsidRPr="006F482A">
        <w:t xml:space="preserve">, </w:t>
      </w:r>
      <w:r w:rsidRPr="006F482A">
        <w:rPr>
          <w:i/>
          <w:iCs/>
        </w:rPr>
        <w:t>5</w:t>
      </w:r>
      <w:r w:rsidRPr="006F482A">
        <w:t>(1), 75–86. https://doi.org/10.1123/ijspp.5.1.75</w:t>
      </w:r>
    </w:p>
    <w:p w14:paraId="0E50EE21" w14:textId="77777777" w:rsidR="006F482A" w:rsidRPr="006F482A" w:rsidRDefault="006F482A" w:rsidP="006F482A">
      <w:pPr>
        <w:pStyle w:val="Bibliography"/>
      </w:pPr>
      <w:r w:rsidRPr="006F482A">
        <w:t xml:space="preserve">Moreira, A., Crewther, B., Freitas, C. G., Arruda, A. F. S., Costa, E. C., &amp; Aoki, M. S. (2012). Session rpe and salivary immune-endocrine responses to simulated and official basketball matches in elite young male athletes. </w:t>
      </w:r>
      <w:r w:rsidRPr="006F482A">
        <w:rPr>
          <w:i/>
          <w:iCs/>
        </w:rPr>
        <w:t>The Journal of Sports Medicine and Physical Fitness</w:t>
      </w:r>
      <w:r w:rsidRPr="006F482A">
        <w:t xml:space="preserve">, </w:t>
      </w:r>
      <w:r w:rsidRPr="006F482A">
        <w:rPr>
          <w:i/>
          <w:iCs/>
        </w:rPr>
        <w:t>52</w:t>
      </w:r>
      <w:r w:rsidRPr="006F482A">
        <w:t>(6), 7.</w:t>
      </w:r>
    </w:p>
    <w:p w14:paraId="51CC2A73" w14:textId="77777777" w:rsidR="006F482A" w:rsidRPr="006F482A" w:rsidRDefault="006F482A" w:rsidP="006F482A">
      <w:pPr>
        <w:pStyle w:val="Bibliography"/>
      </w:pPr>
      <w:r w:rsidRPr="006F482A">
        <w:lastRenderedPageBreak/>
        <w:t xml:space="preserve">Moreira, A., Nosaka, K., Nunes, J. A., Viveiros, L., Jamurtas, A. Z., &amp; Aoki, M. S. (2014). Changes in muscle damage markers in female basketball players. </w:t>
      </w:r>
      <w:r w:rsidRPr="006F482A">
        <w:rPr>
          <w:i/>
          <w:iCs/>
        </w:rPr>
        <w:t>Biology of Sport</w:t>
      </w:r>
      <w:r w:rsidRPr="006F482A">
        <w:t xml:space="preserve">, </w:t>
      </w:r>
      <w:r w:rsidRPr="006F482A">
        <w:rPr>
          <w:i/>
          <w:iCs/>
        </w:rPr>
        <w:t>31</w:t>
      </w:r>
      <w:r w:rsidRPr="006F482A">
        <w:t>(1), 3–7. https://doi.org/10.5604/20831862.1083272</w:t>
      </w:r>
    </w:p>
    <w:p w14:paraId="20855C0A" w14:textId="77777777" w:rsidR="006F482A" w:rsidRPr="006F482A" w:rsidRDefault="006F482A" w:rsidP="006F482A">
      <w:pPr>
        <w:pStyle w:val="Bibliography"/>
      </w:pPr>
      <w:r w:rsidRPr="006F482A">
        <w:t xml:space="preserve">Morton, R. H., Fitz-Clarke, J. R., &amp; Banister, E. W. (1990). Modeling human performance in running. </w:t>
      </w:r>
      <w:r w:rsidRPr="006F482A">
        <w:rPr>
          <w:i/>
          <w:iCs/>
        </w:rPr>
        <w:t>Journal of Applied Physiology</w:t>
      </w:r>
      <w:r w:rsidRPr="006F482A">
        <w:t xml:space="preserve">, </w:t>
      </w:r>
      <w:r w:rsidRPr="006F482A">
        <w:rPr>
          <w:i/>
          <w:iCs/>
        </w:rPr>
        <w:t>69</w:t>
      </w:r>
      <w:r w:rsidRPr="006F482A">
        <w:t>(3), 1171–1177. https://doi.org/10.1152/jappl.1990.69.3.1171</w:t>
      </w:r>
    </w:p>
    <w:p w14:paraId="3728B271" w14:textId="77777777" w:rsidR="006F482A" w:rsidRPr="006F482A" w:rsidRDefault="006F482A" w:rsidP="006F482A">
      <w:pPr>
        <w:pStyle w:val="Bibliography"/>
      </w:pPr>
      <w:r w:rsidRPr="006F482A">
        <w:t xml:space="preserve">Nimmo, M. A., &amp; Ekblom, B. (2007). Fatigue and illness in athletes. </w:t>
      </w:r>
      <w:r w:rsidRPr="006F482A">
        <w:rPr>
          <w:i/>
          <w:iCs/>
        </w:rPr>
        <w:t>Journal of Sports Sciences</w:t>
      </w:r>
      <w:r w:rsidRPr="006F482A">
        <w:t xml:space="preserve">, </w:t>
      </w:r>
      <w:r w:rsidRPr="006F482A">
        <w:rPr>
          <w:i/>
          <w:iCs/>
        </w:rPr>
        <w:t>25</w:t>
      </w:r>
      <w:r w:rsidRPr="006F482A">
        <w:t>(S1), S93–S102. https://doi.org/10.1080/02640410701607379</w:t>
      </w:r>
    </w:p>
    <w:p w14:paraId="2F52657B" w14:textId="77777777" w:rsidR="006F482A" w:rsidRPr="006F482A" w:rsidRDefault="006F482A" w:rsidP="006F482A">
      <w:pPr>
        <w:pStyle w:val="Bibliography"/>
      </w:pPr>
      <w:r w:rsidRPr="006F482A">
        <w:t xml:space="preserve">Noakes, T. D. (2000). Physiological models to understand exercise fatigue and the adaptations that predict or enhance athletic performance: Physiological models to study exercise. </w:t>
      </w:r>
      <w:r w:rsidRPr="006F482A">
        <w:rPr>
          <w:i/>
          <w:iCs/>
        </w:rPr>
        <w:t>Scandinavian Journal of Medicine &amp; Science in Sports</w:t>
      </w:r>
      <w:r w:rsidRPr="006F482A">
        <w:t xml:space="preserve">, </w:t>
      </w:r>
      <w:r w:rsidRPr="006F482A">
        <w:rPr>
          <w:i/>
          <w:iCs/>
        </w:rPr>
        <w:t>10</w:t>
      </w:r>
      <w:r w:rsidRPr="006F482A">
        <w:t>(3), 123–145. https://doi.org/10.1034/j.1600-0838.2000.010003123.x</w:t>
      </w:r>
    </w:p>
    <w:p w14:paraId="070BDDA7" w14:textId="77777777" w:rsidR="006F482A" w:rsidRPr="006F482A" w:rsidRDefault="006F482A" w:rsidP="006F482A">
      <w:pPr>
        <w:pStyle w:val="Bibliography"/>
      </w:pPr>
      <w:r w:rsidRPr="006F482A">
        <w:t xml:space="preserve">O’Connor, P. J., &amp; Corrigan, D. L. (1987). Influence of short-term cycling on salivary cortisol levels. </w:t>
      </w:r>
      <w:r w:rsidRPr="006F482A">
        <w:rPr>
          <w:i/>
          <w:iCs/>
        </w:rPr>
        <w:t>Medicine &amp; Science in Sports &amp; Exercise</w:t>
      </w:r>
      <w:r w:rsidRPr="006F482A">
        <w:t xml:space="preserve">, </w:t>
      </w:r>
      <w:r w:rsidRPr="006F482A">
        <w:rPr>
          <w:i/>
          <w:iCs/>
        </w:rPr>
        <w:t>19</w:t>
      </w:r>
      <w:r w:rsidRPr="006F482A">
        <w:t>(3), 224–228.</w:t>
      </w:r>
    </w:p>
    <w:p w14:paraId="6D430B75" w14:textId="77777777" w:rsidR="006F482A" w:rsidRPr="006F482A" w:rsidRDefault="006F482A" w:rsidP="006F482A">
      <w:pPr>
        <w:pStyle w:val="Bibliography"/>
      </w:pPr>
      <w:r w:rsidRPr="006F482A">
        <w:t xml:space="preserve">Papacosta, E., &amp; Nassis, G. P. (2011). Saliva as a tool for monitoring steroid, peptide and immune markers in sport and exercise science. </w:t>
      </w:r>
      <w:r w:rsidRPr="006F482A">
        <w:rPr>
          <w:i/>
          <w:iCs/>
        </w:rPr>
        <w:t>Journal of Science and Medicine in Sport</w:t>
      </w:r>
      <w:r w:rsidRPr="006F482A">
        <w:t xml:space="preserve">, </w:t>
      </w:r>
      <w:r w:rsidRPr="006F482A">
        <w:rPr>
          <w:i/>
          <w:iCs/>
        </w:rPr>
        <w:t>14</w:t>
      </w:r>
      <w:r w:rsidRPr="006F482A">
        <w:t>(5), 424–434. https://doi.org/10.1016/j.jsams.2011.03.004</w:t>
      </w:r>
    </w:p>
    <w:p w14:paraId="401B85C2" w14:textId="77777777" w:rsidR="006F482A" w:rsidRPr="006F482A" w:rsidRDefault="006F482A" w:rsidP="006F482A">
      <w:pPr>
        <w:pStyle w:val="Bibliography"/>
      </w:pPr>
      <w:r w:rsidRPr="006F482A">
        <w:t xml:space="preserve">Pliauga, V., Kamandulis, S., Dargevičiūtė, G., Jaszczanin, J., Klizienė, I., Stanislovaitienė, J., &amp; Stanislovaitis, A. (2015). The effect of a simulated basketball game on players’ sprint and jump performance, temperature and muscle damage. </w:t>
      </w:r>
      <w:r w:rsidRPr="006F482A">
        <w:rPr>
          <w:i/>
          <w:iCs/>
        </w:rPr>
        <w:t>Journal of Human Kinetics</w:t>
      </w:r>
      <w:r w:rsidRPr="006F482A">
        <w:t xml:space="preserve">, </w:t>
      </w:r>
      <w:r w:rsidRPr="006F482A">
        <w:rPr>
          <w:i/>
          <w:iCs/>
        </w:rPr>
        <w:t>46</w:t>
      </w:r>
      <w:r w:rsidRPr="006F482A">
        <w:t>(1), 167–175. https://doi.org/10.1515/hukin-2015-0045</w:t>
      </w:r>
    </w:p>
    <w:p w14:paraId="7AE73FDC" w14:textId="77777777" w:rsidR="006F482A" w:rsidRPr="006F482A" w:rsidRDefault="006F482A" w:rsidP="006F482A">
      <w:pPr>
        <w:pStyle w:val="Bibliography"/>
      </w:pPr>
      <w:r w:rsidRPr="006F482A">
        <w:lastRenderedPageBreak/>
        <w:t xml:space="preserve">Polglaze, T., Dawson, B., Hiscock, D. J., &amp; Peeling, P. (2015). A comparative analysis of accelerometer and time–motion data in elite men’s hockey training and competition. </w:t>
      </w:r>
      <w:r w:rsidRPr="006F482A">
        <w:rPr>
          <w:i/>
          <w:iCs/>
        </w:rPr>
        <w:t>International Journal of Sports Physiology and Performance</w:t>
      </w:r>
      <w:r w:rsidRPr="006F482A">
        <w:t xml:space="preserve">, </w:t>
      </w:r>
      <w:r w:rsidRPr="006F482A">
        <w:rPr>
          <w:i/>
          <w:iCs/>
        </w:rPr>
        <w:t>10</w:t>
      </w:r>
      <w:r w:rsidRPr="006F482A">
        <w:t>(4), 446–451. https://doi.org/10.1123/ijspp.2014-0233</w:t>
      </w:r>
    </w:p>
    <w:p w14:paraId="1489D9B4" w14:textId="77777777" w:rsidR="006F482A" w:rsidRPr="006F482A" w:rsidRDefault="006F482A" w:rsidP="006F482A">
      <w:pPr>
        <w:pStyle w:val="Bibliography"/>
      </w:pPr>
      <w:r w:rsidRPr="006F482A">
        <w:t xml:space="preserve">Rantonen, P. J. F., Penttilä, I., Meurman, J. H., Savolainen, K., Närvänen, S., &amp; Helenius, T. (2000). Growth hormone and cortisol in serum and saliva. </w:t>
      </w:r>
      <w:r w:rsidRPr="006F482A">
        <w:rPr>
          <w:i/>
          <w:iCs/>
        </w:rPr>
        <w:t>Acta Odontologica Scandinavica</w:t>
      </w:r>
      <w:r w:rsidRPr="006F482A">
        <w:t xml:space="preserve">, </w:t>
      </w:r>
      <w:r w:rsidRPr="006F482A">
        <w:rPr>
          <w:i/>
          <w:iCs/>
        </w:rPr>
        <w:t>58</w:t>
      </w:r>
      <w:r w:rsidRPr="006F482A">
        <w:t>(6), 299–303. https://doi.org/10.1080/00016350050217163</w:t>
      </w:r>
    </w:p>
    <w:p w14:paraId="07718EC2" w14:textId="77777777" w:rsidR="006F482A" w:rsidRPr="006F482A" w:rsidRDefault="006F482A" w:rsidP="006F482A">
      <w:pPr>
        <w:pStyle w:val="Bibliography"/>
      </w:pPr>
      <w:r w:rsidRPr="006F482A">
        <w:t xml:space="preserve">Romagnoli, M., Sanchis-Gomar, F., Alis, R., Risso-Ballester, J., Bosio, A., Graziani, R., &amp; Rampinini, E. (2006). Changes in muscle damage, inflammation, and fatigue-related parameters in young elite soccer players after a match. </w:t>
      </w:r>
      <w:r w:rsidRPr="006F482A">
        <w:rPr>
          <w:i/>
          <w:iCs/>
        </w:rPr>
        <w:t>The Journal of Sports Medicine and Physical Fitness</w:t>
      </w:r>
      <w:r w:rsidRPr="006F482A">
        <w:t xml:space="preserve">, </w:t>
      </w:r>
      <w:r w:rsidRPr="006F482A">
        <w:rPr>
          <w:i/>
          <w:iCs/>
        </w:rPr>
        <w:t>56</w:t>
      </w:r>
      <w:r w:rsidRPr="006F482A">
        <w:t>(10), 1198–1205.</w:t>
      </w:r>
    </w:p>
    <w:p w14:paraId="2A7E5D14" w14:textId="77777777" w:rsidR="006F482A" w:rsidRPr="006F482A" w:rsidRDefault="006F482A" w:rsidP="006F482A">
      <w:pPr>
        <w:pStyle w:val="Bibliography"/>
      </w:pPr>
      <w:r w:rsidRPr="006F482A">
        <w:t xml:space="preserve">Rowell, A. E., Aughey, R. J., Hopkins, W. G., Esmaeili, A., Lazarus, B. H., &amp; Cormack, S. J. (2018). Effects of training and competition load on neuromuscular recovery, testosterone, cortisol, and match performance during a season of professional football. </w:t>
      </w:r>
      <w:r w:rsidRPr="006F482A">
        <w:rPr>
          <w:i/>
          <w:iCs/>
        </w:rPr>
        <w:t>Frontiers in Physiology</w:t>
      </w:r>
      <w:r w:rsidRPr="006F482A">
        <w:t xml:space="preserve">, </w:t>
      </w:r>
      <w:r w:rsidRPr="006F482A">
        <w:rPr>
          <w:i/>
          <w:iCs/>
        </w:rPr>
        <w:t>9</w:t>
      </w:r>
      <w:r w:rsidRPr="006F482A">
        <w:t>, 668. https://doi.org/10.3389/fphys.2018.00668</w:t>
      </w:r>
    </w:p>
    <w:p w14:paraId="4CC58F5F" w14:textId="77777777" w:rsidR="006F482A" w:rsidRPr="006F482A" w:rsidRDefault="006F482A" w:rsidP="006F482A">
      <w:pPr>
        <w:pStyle w:val="Bibliography"/>
      </w:pPr>
      <w:r w:rsidRPr="006F482A">
        <w:t xml:space="preserve">Rowell, A. E., Aughey, R. J., Hopkins, W. G., Stewart, A. M., &amp; Cormack, S. J. (2017). Identification of Sensitive Measures of Recovery After External Load From Football Match Play. </w:t>
      </w:r>
      <w:r w:rsidRPr="006F482A">
        <w:rPr>
          <w:i/>
          <w:iCs/>
        </w:rPr>
        <w:t>International Journal of Sports Physiology and Performance</w:t>
      </w:r>
      <w:r w:rsidRPr="006F482A">
        <w:t xml:space="preserve">, </w:t>
      </w:r>
      <w:r w:rsidRPr="006F482A">
        <w:rPr>
          <w:i/>
          <w:iCs/>
        </w:rPr>
        <w:t>12</w:t>
      </w:r>
      <w:r w:rsidRPr="006F482A">
        <w:t>(7), 969–976. https://doi.org/10.1123/ijspp.2016-0522</w:t>
      </w:r>
    </w:p>
    <w:p w14:paraId="521A17D0" w14:textId="77777777" w:rsidR="006F482A" w:rsidRPr="006F482A" w:rsidRDefault="006F482A" w:rsidP="006F482A">
      <w:pPr>
        <w:pStyle w:val="Bibliography"/>
      </w:pPr>
      <w:r w:rsidRPr="006F482A">
        <w:t xml:space="preserve">Scanlan, A. T., Wen, N., Tucker, P. S., &amp; Dalbo, V. J. (2014). The relationships between internal and external training load models during basketball training. </w:t>
      </w:r>
      <w:r w:rsidRPr="006F482A">
        <w:rPr>
          <w:i/>
          <w:iCs/>
        </w:rPr>
        <w:t xml:space="preserve">Journal of Strength and </w:t>
      </w:r>
      <w:r w:rsidRPr="006F482A">
        <w:rPr>
          <w:i/>
          <w:iCs/>
        </w:rPr>
        <w:lastRenderedPageBreak/>
        <w:t>Conditioning Research</w:t>
      </w:r>
      <w:r w:rsidRPr="006F482A">
        <w:t xml:space="preserve">, </w:t>
      </w:r>
      <w:r w:rsidRPr="006F482A">
        <w:rPr>
          <w:i/>
          <w:iCs/>
        </w:rPr>
        <w:t>28</w:t>
      </w:r>
      <w:r w:rsidRPr="006F482A">
        <w:t>(9), 2397–2405. https://doi.org/10.1519/JSC.0000000000000458</w:t>
      </w:r>
    </w:p>
    <w:p w14:paraId="4E105A68" w14:textId="77777777" w:rsidR="006F482A" w:rsidRPr="006F482A" w:rsidRDefault="006F482A" w:rsidP="006F482A">
      <w:pPr>
        <w:pStyle w:val="Bibliography"/>
      </w:pPr>
      <w:r w:rsidRPr="006F482A">
        <w:t xml:space="preserve">Schelling, X., Lez, J. C.-G., Torres-Ronda, L., &amp; Terrados, N. S. (2015). Using testosterone and cortisol as biomarker for training individualization in eleite basketball: A 4-year follow-up study. </w:t>
      </w:r>
      <w:r w:rsidRPr="006F482A">
        <w:rPr>
          <w:i/>
          <w:iCs/>
        </w:rPr>
        <w:t>Journal of Strength and Conditioning Research</w:t>
      </w:r>
      <w:r w:rsidRPr="006F482A">
        <w:t xml:space="preserve">, </w:t>
      </w:r>
      <w:r w:rsidRPr="006F482A">
        <w:rPr>
          <w:i/>
          <w:iCs/>
        </w:rPr>
        <w:t>29</w:t>
      </w:r>
      <w:r w:rsidRPr="006F482A">
        <w:t>(2), 368–378.</w:t>
      </w:r>
    </w:p>
    <w:p w14:paraId="64692B6F" w14:textId="77777777" w:rsidR="006F482A" w:rsidRPr="006F482A" w:rsidRDefault="006F482A" w:rsidP="006F482A">
      <w:pPr>
        <w:pStyle w:val="Bibliography"/>
      </w:pPr>
      <w:r w:rsidRPr="006F482A">
        <w:t xml:space="preserve">Schelling, X., &amp; Torres, L. (2016). Accelerometer load profiles for basketball-specific drills in elite players. </w:t>
      </w:r>
      <w:r w:rsidRPr="006F482A">
        <w:rPr>
          <w:i/>
          <w:iCs/>
        </w:rPr>
        <w:t>Journal of Sports Science and Medicine</w:t>
      </w:r>
      <w:r w:rsidRPr="006F482A">
        <w:t xml:space="preserve">, </w:t>
      </w:r>
      <w:r w:rsidRPr="006F482A">
        <w:rPr>
          <w:i/>
          <w:iCs/>
        </w:rPr>
        <w:t>15</w:t>
      </w:r>
      <w:r w:rsidRPr="006F482A">
        <w:t>, 585–591.</w:t>
      </w:r>
    </w:p>
    <w:p w14:paraId="31B4317E" w14:textId="77777777" w:rsidR="006F482A" w:rsidRPr="006F482A" w:rsidRDefault="006F482A" w:rsidP="006F482A">
      <w:pPr>
        <w:pStyle w:val="Bibliography"/>
      </w:pPr>
      <w:r w:rsidRPr="006F482A">
        <w:t xml:space="preserve">Selye, H. (1936). A syndrome produced by diverse nocuous agents. </w:t>
      </w:r>
      <w:r w:rsidRPr="006F482A">
        <w:rPr>
          <w:i/>
          <w:iCs/>
        </w:rPr>
        <w:t>Nature</w:t>
      </w:r>
      <w:r w:rsidRPr="006F482A">
        <w:t xml:space="preserve">, </w:t>
      </w:r>
      <w:r w:rsidRPr="006F482A">
        <w:rPr>
          <w:i/>
          <w:iCs/>
        </w:rPr>
        <w:t>138</w:t>
      </w:r>
      <w:r w:rsidRPr="006F482A">
        <w:t>(3479), 32–32. https://doi.org/10.1038/138032a0</w:t>
      </w:r>
    </w:p>
    <w:p w14:paraId="68DB8563" w14:textId="77777777" w:rsidR="006F482A" w:rsidRPr="006F482A" w:rsidRDefault="006F482A" w:rsidP="006F482A">
      <w:pPr>
        <w:pStyle w:val="Bibliography"/>
      </w:pPr>
      <w:r w:rsidRPr="006F482A">
        <w:t xml:space="preserve">Selye, H. (1937). Studies on adaptation. </w:t>
      </w:r>
      <w:r w:rsidRPr="006F482A">
        <w:rPr>
          <w:i/>
          <w:iCs/>
        </w:rPr>
        <w:t>Endocrinology</w:t>
      </w:r>
      <w:r w:rsidRPr="006F482A">
        <w:t xml:space="preserve">, </w:t>
      </w:r>
      <w:r w:rsidRPr="006F482A">
        <w:rPr>
          <w:i/>
          <w:iCs/>
        </w:rPr>
        <w:t>21</w:t>
      </w:r>
      <w:r w:rsidRPr="006F482A">
        <w:t>(2), 169–188. https://doi.org/10.1210/endo-21-2-169</w:t>
      </w:r>
    </w:p>
    <w:p w14:paraId="48992645" w14:textId="77777777" w:rsidR="006F482A" w:rsidRPr="006F482A" w:rsidRDefault="006F482A" w:rsidP="006F482A">
      <w:pPr>
        <w:pStyle w:val="Bibliography"/>
      </w:pPr>
      <w:r w:rsidRPr="006F482A">
        <w:t xml:space="preserve">Selye, H. (1950). Stress and the general adaptation syndrome. </w:t>
      </w:r>
      <w:r w:rsidRPr="006F482A">
        <w:rPr>
          <w:i/>
          <w:iCs/>
        </w:rPr>
        <w:t>British Medical Journal</w:t>
      </w:r>
      <w:r w:rsidRPr="006F482A">
        <w:t>, 1383–1392.</w:t>
      </w:r>
    </w:p>
    <w:p w14:paraId="365DEFD9" w14:textId="77777777" w:rsidR="006F482A" w:rsidRPr="006F482A" w:rsidRDefault="006F482A" w:rsidP="006F482A">
      <w:pPr>
        <w:pStyle w:val="Bibliography"/>
      </w:pPr>
      <w:r w:rsidRPr="006F482A">
        <w:t xml:space="preserve">Shahidi, N. (2001). A review of the chemistry, biological action, and clinical applications of anabolic-androgenic steroids. </w:t>
      </w:r>
      <w:r w:rsidRPr="006F482A">
        <w:rPr>
          <w:i/>
          <w:iCs/>
        </w:rPr>
        <w:t>Clinical Therapeutics</w:t>
      </w:r>
      <w:r w:rsidRPr="006F482A">
        <w:t xml:space="preserve">, </w:t>
      </w:r>
      <w:r w:rsidRPr="006F482A">
        <w:rPr>
          <w:i/>
          <w:iCs/>
        </w:rPr>
        <w:t>23</w:t>
      </w:r>
      <w:r w:rsidRPr="006F482A">
        <w:t>(9), 1355–1390. https://doi.org/10.1016/S0149-2918(01)80114-4</w:t>
      </w:r>
    </w:p>
    <w:p w14:paraId="4CC715F2" w14:textId="77777777" w:rsidR="006F482A" w:rsidRPr="006F482A" w:rsidRDefault="006F482A" w:rsidP="006F482A">
      <w:pPr>
        <w:pStyle w:val="Bibliography"/>
      </w:pPr>
      <w:r w:rsidRPr="006F482A">
        <w:t xml:space="preserve">Silva, J. R., Ascensão, A., Marques, F., Seabra, A., Rebelo, A., &amp; Magalhães, J. (2013). Neuromuscular function, hormonal and redox status and muscle damage of professional soccer players after a high-level competitive match. </w:t>
      </w:r>
      <w:r w:rsidRPr="006F482A">
        <w:rPr>
          <w:i/>
          <w:iCs/>
        </w:rPr>
        <w:t>European Journal of Applied Physiology</w:t>
      </w:r>
      <w:r w:rsidRPr="006F482A">
        <w:t xml:space="preserve">, </w:t>
      </w:r>
      <w:r w:rsidRPr="006F482A">
        <w:rPr>
          <w:i/>
          <w:iCs/>
        </w:rPr>
        <w:t>113</w:t>
      </w:r>
      <w:r w:rsidRPr="006F482A">
        <w:t>(9), 2193–2201. https://doi.org/10.1007/s00421-013-2633-8</w:t>
      </w:r>
    </w:p>
    <w:p w14:paraId="0CA1D503" w14:textId="77777777" w:rsidR="006F482A" w:rsidRPr="006F482A" w:rsidRDefault="006F482A" w:rsidP="006F482A">
      <w:pPr>
        <w:pStyle w:val="Bibliography"/>
      </w:pPr>
      <w:r w:rsidRPr="006F482A">
        <w:lastRenderedPageBreak/>
        <w:t xml:space="preserve">Smith, D. J. (2003). A framework for understanding the training process leading to elite performance. </w:t>
      </w:r>
      <w:r w:rsidRPr="006F482A">
        <w:rPr>
          <w:i/>
          <w:iCs/>
        </w:rPr>
        <w:t>Sports Medicine</w:t>
      </w:r>
      <w:r w:rsidRPr="006F482A">
        <w:t xml:space="preserve">, </w:t>
      </w:r>
      <w:r w:rsidRPr="006F482A">
        <w:rPr>
          <w:i/>
          <w:iCs/>
        </w:rPr>
        <w:t>33</w:t>
      </w:r>
      <w:r w:rsidRPr="006F482A">
        <w:t>(15), 1103–1126. https://doi.org/10.2165/00007256-200333150-00003</w:t>
      </w:r>
    </w:p>
    <w:p w14:paraId="37757D60" w14:textId="77777777" w:rsidR="006F482A" w:rsidRPr="006F482A" w:rsidRDefault="006F482A" w:rsidP="006F482A">
      <w:pPr>
        <w:pStyle w:val="Bibliography"/>
      </w:pPr>
      <w:r w:rsidRPr="006F482A">
        <w:t xml:space="preserve">Sparkes, W., Turner, A., Weston, M., Russell, M., Johnston, M., &amp; Kilduff, L. (2018). Neuromuscular, Biochemical, Endocrine, and Mood Responses to Small-Sided Games’ Training in Professional Soccer. </w:t>
      </w:r>
      <w:r w:rsidRPr="006F482A">
        <w:rPr>
          <w:i/>
          <w:iCs/>
        </w:rPr>
        <w:t>Journal of Strength and Conditioning Research</w:t>
      </w:r>
      <w:r w:rsidRPr="006F482A">
        <w:t xml:space="preserve">, </w:t>
      </w:r>
      <w:r w:rsidRPr="006F482A">
        <w:rPr>
          <w:i/>
          <w:iCs/>
        </w:rPr>
        <w:t>32</w:t>
      </w:r>
      <w:r w:rsidRPr="006F482A">
        <w:t>(9), 2569–2576. https://doi.org/10.1519/JSC.0000000000002424</w:t>
      </w:r>
    </w:p>
    <w:p w14:paraId="3157A8F0" w14:textId="77777777" w:rsidR="006F482A" w:rsidRPr="006F482A" w:rsidRDefault="006F482A" w:rsidP="006F482A">
      <w:pPr>
        <w:pStyle w:val="Bibliography"/>
      </w:pPr>
      <w:r w:rsidRPr="006F482A">
        <w:t xml:space="preserve">Stojanović, E., Stojiljković, N., Scanlan, A. T., Dalbo, V. J., Berkelmans, D. M., &amp; Milanović, Z. (2018). The activity demands and physiological responses encountered during basketball match-play: A systematic review. </w:t>
      </w:r>
      <w:r w:rsidRPr="006F482A">
        <w:rPr>
          <w:i/>
          <w:iCs/>
        </w:rPr>
        <w:t>Sports Medicine</w:t>
      </w:r>
      <w:r w:rsidRPr="006F482A">
        <w:t xml:space="preserve">, </w:t>
      </w:r>
      <w:r w:rsidRPr="006F482A">
        <w:rPr>
          <w:i/>
          <w:iCs/>
        </w:rPr>
        <w:t>48</w:t>
      </w:r>
      <w:r w:rsidRPr="006F482A">
        <w:t>(1), 111–135. https://doi.org/10.1007/s40279-017-0794-z</w:t>
      </w:r>
    </w:p>
    <w:p w14:paraId="0AF8C998" w14:textId="77777777" w:rsidR="006F482A" w:rsidRPr="006F482A" w:rsidRDefault="006F482A" w:rsidP="006F482A">
      <w:pPr>
        <w:pStyle w:val="Bibliography"/>
      </w:pPr>
      <w:r w:rsidRPr="006F482A">
        <w:t xml:space="preserve">Svilar, L., Castellano, J., &amp; Jukić, I. (2018). Load monitoring system in top-level basketball team: Relationship between external and internal training load. </w:t>
      </w:r>
      <w:r w:rsidRPr="006F482A">
        <w:rPr>
          <w:i/>
          <w:iCs/>
        </w:rPr>
        <w:t>Kinesiology</w:t>
      </w:r>
      <w:r w:rsidRPr="006F482A">
        <w:t xml:space="preserve">, </w:t>
      </w:r>
      <w:r w:rsidRPr="006F482A">
        <w:rPr>
          <w:i/>
          <w:iCs/>
        </w:rPr>
        <w:t>50</w:t>
      </w:r>
      <w:r w:rsidRPr="006F482A">
        <w:t>(1), 25–33. https://doi.org/10.26582/k.50.1.4</w:t>
      </w:r>
    </w:p>
    <w:p w14:paraId="055A8DDC" w14:textId="77777777" w:rsidR="006F482A" w:rsidRPr="006F482A" w:rsidRDefault="006F482A" w:rsidP="006F482A">
      <w:pPr>
        <w:pStyle w:val="Bibliography"/>
      </w:pPr>
      <w:r w:rsidRPr="006F482A">
        <w:t xml:space="preserve">Urhausen, A., Gabriel, H., &amp; Kindermann, W. (1995). Blood hormones as markers of training stress and overtraining. </w:t>
      </w:r>
      <w:r w:rsidRPr="006F482A">
        <w:rPr>
          <w:i/>
          <w:iCs/>
        </w:rPr>
        <w:t>Sports Medicine</w:t>
      </w:r>
      <w:r w:rsidRPr="006F482A">
        <w:t xml:space="preserve">, </w:t>
      </w:r>
      <w:r w:rsidRPr="006F482A">
        <w:rPr>
          <w:i/>
          <w:iCs/>
        </w:rPr>
        <w:t>20</w:t>
      </w:r>
      <w:r w:rsidRPr="006F482A">
        <w:t>(4), 251–276. https://doi.org/10.2165/00007256-199520040-00004</w:t>
      </w:r>
    </w:p>
    <w:p w14:paraId="7E00E8E4" w14:textId="77777777" w:rsidR="006F482A" w:rsidRPr="006F482A" w:rsidRDefault="006F482A" w:rsidP="006F482A">
      <w:pPr>
        <w:pStyle w:val="Bibliography"/>
      </w:pPr>
      <w:r w:rsidRPr="006F482A">
        <w:t xml:space="preserve">Vining, R. F., &amp; McGinley, R. A. (1987). The measurement of hormones in saliva: Possibilities and pitfalls. </w:t>
      </w:r>
      <w:r w:rsidRPr="006F482A">
        <w:rPr>
          <w:i/>
          <w:iCs/>
        </w:rPr>
        <w:t>Journal of Steroid Biochemistry</w:t>
      </w:r>
      <w:r w:rsidRPr="006F482A">
        <w:t xml:space="preserve">, </w:t>
      </w:r>
      <w:r w:rsidRPr="006F482A">
        <w:rPr>
          <w:i/>
          <w:iCs/>
        </w:rPr>
        <w:t>27</w:t>
      </w:r>
      <w:r w:rsidRPr="006F482A">
        <w:t>(1–3), 81–94. https://doi.org/10.1016/0022-4731(87)90297-4</w:t>
      </w:r>
    </w:p>
    <w:p w14:paraId="03F366F9" w14:textId="77777777" w:rsidR="006F482A" w:rsidRPr="006F482A" w:rsidRDefault="006F482A" w:rsidP="006F482A">
      <w:pPr>
        <w:pStyle w:val="Bibliography"/>
      </w:pPr>
      <w:r w:rsidRPr="006F482A">
        <w:t xml:space="preserve">Viru, A., Karelson, K., &amp; Smirnova, T. (1992). Stability and variability in hormonal responses to prolonged exercise. </w:t>
      </w:r>
      <w:r w:rsidRPr="006F482A">
        <w:rPr>
          <w:i/>
          <w:iCs/>
        </w:rPr>
        <w:t>International Journal of Sports Medicine</w:t>
      </w:r>
      <w:r w:rsidRPr="006F482A">
        <w:t xml:space="preserve">, </w:t>
      </w:r>
      <w:r w:rsidRPr="006F482A">
        <w:rPr>
          <w:i/>
          <w:iCs/>
        </w:rPr>
        <w:t>13</w:t>
      </w:r>
      <w:r w:rsidRPr="006F482A">
        <w:t>, 230–235.</w:t>
      </w:r>
    </w:p>
    <w:p w14:paraId="2BC2008D" w14:textId="77777777" w:rsidR="006F482A" w:rsidRPr="006F482A" w:rsidRDefault="006F482A" w:rsidP="006F482A">
      <w:pPr>
        <w:pStyle w:val="Bibliography"/>
      </w:pPr>
      <w:r w:rsidRPr="006F482A">
        <w:lastRenderedPageBreak/>
        <w:t xml:space="preserve">Viru, A., &amp; Viru, M. (2004). Cortisol—Essential adaptation hormone in exercise. </w:t>
      </w:r>
      <w:r w:rsidRPr="006F482A">
        <w:rPr>
          <w:i/>
          <w:iCs/>
        </w:rPr>
        <w:t>International Journal of Sports Medicine</w:t>
      </w:r>
      <w:r w:rsidRPr="006F482A">
        <w:t xml:space="preserve">, </w:t>
      </w:r>
      <w:r w:rsidRPr="006F482A">
        <w:rPr>
          <w:i/>
          <w:iCs/>
        </w:rPr>
        <w:t>25</w:t>
      </w:r>
      <w:r w:rsidRPr="006F482A">
        <w:t>(6), 461–464. https://doi.org/10.1055/s-2004-821068</w:t>
      </w:r>
    </w:p>
    <w:p w14:paraId="4C9BED80" w14:textId="77777777" w:rsidR="006F482A" w:rsidRPr="006F482A" w:rsidRDefault="006F482A" w:rsidP="006F482A">
      <w:pPr>
        <w:pStyle w:val="Bibliography"/>
      </w:pPr>
      <w:r w:rsidRPr="006F482A">
        <w:t xml:space="preserve">Wahl, P., Mathes, S., Köhler, K., Achtzehn, S., Bloch, W., &amp; Mester, J. (2013). Acute metabolic, hormonal, and psychological responses to different endurance training protocols. </w:t>
      </w:r>
      <w:r w:rsidRPr="006F482A">
        <w:rPr>
          <w:i/>
          <w:iCs/>
        </w:rPr>
        <w:t>Hormone and Metabolic Research</w:t>
      </w:r>
      <w:r w:rsidRPr="006F482A">
        <w:t xml:space="preserve">, </w:t>
      </w:r>
      <w:r w:rsidRPr="006F482A">
        <w:rPr>
          <w:i/>
          <w:iCs/>
        </w:rPr>
        <w:t>45</w:t>
      </w:r>
      <w:r w:rsidRPr="006F482A">
        <w:t>(11), 827–833. https://doi.org/10.1055/s-0033-1347242</w:t>
      </w:r>
    </w:p>
    <w:p w14:paraId="14F31DE5" w14:textId="77777777" w:rsidR="006F482A" w:rsidRPr="006F482A" w:rsidRDefault="006F482A" w:rsidP="006F482A">
      <w:pPr>
        <w:pStyle w:val="Bibliography"/>
      </w:pPr>
      <w:r w:rsidRPr="006F482A">
        <w:t xml:space="preserve">West, D. J., Finn, C. V., Cunningham, D. J., Shearer, D. A., Jones, M. R., Harrington, B. J., Crewther, B. T., Cook, C. J., &amp; Kilduff, L. P. (2014). Neuromuscular Function, Hormonal, and Mood Responses to a Professional Rugby Union Match. </w:t>
      </w:r>
      <w:r w:rsidRPr="006F482A">
        <w:rPr>
          <w:i/>
          <w:iCs/>
        </w:rPr>
        <w:t>Journal of Strength and Conditioning Research</w:t>
      </w:r>
      <w:r w:rsidRPr="006F482A">
        <w:t xml:space="preserve">, </w:t>
      </w:r>
      <w:r w:rsidRPr="006F482A">
        <w:rPr>
          <w:i/>
          <w:iCs/>
        </w:rPr>
        <w:t>28</w:t>
      </w:r>
      <w:r w:rsidRPr="006F482A">
        <w:t>(1), 194–200. https://doi.org/10.1519/JSC.0b013e318291b726</w:t>
      </w:r>
    </w:p>
    <w:p w14:paraId="4DCE9E3A" w14:textId="77777777" w:rsidR="006F482A" w:rsidRPr="006F482A" w:rsidRDefault="006F482A" w:rsidP="006F482A">
      <w:pPr>
        <w:pStyle w:val="Bibliography"/>
      </w:pPr>
      <w:r w:rsidRPr="006F482A">
        <w:t xml:space="preserve">Yang, C.-C., &amp; Hsu, Y.-L. (2010). A review of accelerometry-based wearable motion detectors for physical activity monitoring. </w:t>
      </w:r>
      <w:r w:rsidRPr="006F482A">
        <w:rPr>
          <w:i/>
          <w:iCs/>
        </w:rPr>
        <w:t>Sensors</w:t>
      </w:r>
      <w:r w:rsidRPr="006F482A">
        <w:t xml:space="preserve">, </w:t>
      </w:r>
      <w:r w:rsidRPr="006F482A">
        <w:rPr>
          <w:i/>
          <w:iCs/>
        </w:rPr>
        <w:t>10</w:t>
      </w:r>
      <w:r w:rsidRPr="006F482A">
        <w:t>(8), 7772–7788. https://doi.org/10.3390/s100807772</w:t>
      </w:r>
    </w:p>
    <w:p w14:paraId="0A98EE37" w14:textId="77777777" w:rsidR="006F482A" w:rsidRPr="006F482A" w:rsidRDefault="006F482A" w:rsidP="006F482A">
      <w:pPr>
        <w:pStyle w:val="Bibliography"/>
      </w:pPr>
      <w:r w:rsidRPr="006F482A">
        <w:t xml:space="preserve">Young, W. B., Pryor, J. F., &amp; Wilson, G. J. (1995). Effect of instructions on characteristics of countermovement and drop jump performance. </w:t>
      </w:r>
      <w:r w:rsidRPr="006F482A">
        <w:rPr>
          <w:i/>
          <w:iCs/>
        </w:rPr>
        <w:t>The Journal of Strength &amp; Conditioning Research</w:t>
      </w:r>
      <w:r w:rsidRPr="006F482A">
        <w:t xml:space="preserve">, </w:t>
      </w:r>
      <w:r w:rsidRPr="006F482A">
        <w:rPr>
          <w:i/>
          <w:iCs/>
        </w:rPr>
        <w:t>9</w:t>
      </w:r>
      <w:r w:rsidRPr="006F482A">
        <w:t>(4), 232–236.</w:t>
      </w:r>
    </w:p>
    <w:p w14:paraId="10DD0DE9" w14:textId="7EA1D96F" w:rsidR="00CE1556" w:rsidRDefault="008F3118" w:rsidP="00CE1556">
      <w:pPr>
        <w:spacing w:line="480" w:lineRule="auto"/>
        <w:rPr>
          <w:rFonts w:ascii="Times New Roman" w:hAnsi="Times New Roman" w:cs="Times New Roman"/>
          <w:b/>
          <w:bCs/>
        </w:rPr>
      </w:pPr>
      <w:r w:rsidRPr="00825EAA">
        <w:rPr>
          <w:rFonts w:ascii="Times New Roman" w:hAnsi="Times New Roman" w:cs="Times New Roman"/>
          <w:b/>
          <w:bCs/>
        </w:rPr>
        <w:fldChar w:fldCharType="end"/>
      </w:r>
    </w:p>
    <w:p w14:paraId="6944519A" w14:textId="77777777" w:rsidR="00CE1556" w:rsidRDefault="00CE1556">
      <w:pPr>
        <w:rPr>
          <w:rFonts w:ascii="Times New Roman" w:hAnsi="Times New Roman" w:cs="Times New Roman"/>
          <w:b/>
          <w:bCs/>
        </w:rPr>
      </w:pPr>
      <w:r>
        <w:rPr>
          <w:rFonts w:ascii="Times New Roman" w:hAnsi="Times New Roman" w:cs="Times New Roman"/>
          <w:b/>
          <w:bCs/>
        </w:rPr>
        <w:br w:type="page"/>
      </w:r>
    </w:p>
    <w:p w14:paraId="3FCBA039" w14:textId="512CF4F0" w:rsidR="001D5388" w:rsidRPr="00D871C6" w:rsidRDefault="00CE1556" w:rsidP="00D871C6">
      <w:pPr>
        <w:pStyle w:val="Heading1"/>
        <w:spacing w:line="480" w:lineRule="auto"/>
        <w:jc w:val="center"/>
        <w:rPr>
          <w:rFonts w:ascii="Times New Roman" w:hAnsi="Times New Roman" w:cs="Times New Roman"/>
          <w:b/>
          <w:bCs/>
          <w:color w:val="000000" w:themeColor="text1"/>
          <w:sz w:val="24"/>
          <w:szCs w:val="24"/>
        </w:rPr>
      </w:pPr>
      <w:bookmarkStart w:id="110" w:name="_Toc99267667"/>
      <w:r w:rsidRPr="00D871C6">
        <w:rPr>
          <w:rFonts w:ascii="Times New Roman" w:hAnsi="Times New Roman" w:cs="Times New Roman"/>
          <w:b/>
          <w:bCs/>
          <w:color w:val="000000" w:themeColor="text1"/>
          <w:sz w:val="24"/>
          <w:szCs w:val="24"/>
        </w:rPr>
        <w:lastRenderedPageBreak/>
        <w:t>Appendices</w:t>
      </w:r>
      <w:bookmarkEnd w:id="110"/>
    </w:p>
    <w:p w14:paraId="44BD76C0" w14:textId="513AA640" w:rsidR="003B11B7" w:rsidRDefault="003B11B7" w:rsidP="00D871C6">
      <w:pPr>
        <w:pStyle w:val="Heading2"/>
      </w:pPr>
      <w:bookmarkStart w:id="111" w:name="_Toc99267668"/>
      <w:r>
        <w:t xml:space="preserve">Appendix A: </w:t>
      </w:r>
      <w:r w:rsidR="005929FB">
        <w:t>IRB Approval Letter</w:t>
      </w:r>
      <w:bookmarkEnd w:id="111"/>
    </w:p>
    <w:p w14:paraId="5208B918" w14:textId="227743F5" w:rsidR="00901254" w:rsidRDefault="00901254" w:rsidP="00901254">
      <w:pPr>
        <w:spacing w:line="480" w:lineRule="auto"/>
        <w:rPr>
          <w:rFonts w:ascii="Times New Roman" w:hAnsi="Times New Roman" w:cs="Times New Roman"/>
          <w:b/>
          <w:bCs/>
        </w:rPr>
      </w:pPr>
      <w:r>
        <w:rPr>
          <w:rFonts w:ascii="Times New Roman" w:hAnsi="Times New Roman" w:cs="Times New Roman"/>
          <w:b/>
          <w:bCs/>
          <w:noProof/>
        </w:rPr>
        <w:drawing>
          <wp:inline distT="0" distB="0" distL="0" distR="0" wp14:anchorId="5476D8C8" wp14:editId="0A68A5D8">
            <wp:extent cx="5881755" cy="7461115"/>
            <wp:effectExtent l="0" t="0" r="0" b="0"/>
            <wp:docPr id="52" name="Picture 5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Text, letter&#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923944" cy="7514633"/>
                    </a:xfrm>
                    <a:prstGeom prst="rect">
                      <a:avLst/>
                    </a:prstGeom>
                  </pic:spPr>
                </pic:pic>
              </a:graphicData>
            </a:graphic>
          </wp:inline>
        </w:drawing>
      </w:r>
    </w:p>
    <w:p w14:paraId="5FF82A14" w14:textId="73ADFA33" w:rsidR="00901254" w:rsidRDefault="005929FB" w:rsidP="00901254">
      <w:pPr>
        <w:spacing w:line="480" w:lineRule="auto"/>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581063D0" wp14:editId="22885B1B">
            <wp:extent cx="6118668" cy="79183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41">
                      <a:extLst>
                        <a:ext uri="{28A0092B-C50C-407E-A947-70E740481C1C}">
                          <a14:useLocalDpi xmlns:a14="http://schemas.microsoft.com/office/drawing/2010/main" val="0"/>
                        </a:ext>
                      </a:extLst>
                    </a:blip>
                    <a:stretch>
                      <a:fillRect/>
                    </a:stretch>
                  </pic:blipFill>
                  <pic:spPr>
                    <a:xfrm>
                      <a:off x="0" y="0"/>
                      <a:ext cx="6187852" cy="8007848"/>
                    </a:xfrm>
                    <a:prstGeom prst="rect">
                      <a:avLst/>
                    </a:prstGeom>
                  </pic:spPr>
                </pic:pic>
              </a:graphicData>
            </a:graphic>
          </wp:inline>
        </w:drawing>
      </w:r>
    </w:p>
    <w:p w14:paraId="74647EAB" w14:textId="78850DDF" w:rsidR="00940C1A" w:rsidRDefault="00940C1A" w:rsidP="00D871C6">
      <w:pPr>
        <w:pStyle w:val="Heading2"/>
      </w:pPr>
      <w:bookmarkStart w:id="112" w:name="_Toc99267669"/>
      <w:r>
        <w:lastRenderedPageBreak/>
        <w:t>Appendix B: Informed Consent</w:t>
      </w:r>
      <w:bookmarkEnd w:id="112"/>
    </w:p>
    <w:p w14:paraId="23722E08" w14:textId="21366E4C" w:rsidR="00940C1A" w:rsidRDefault="00940C1A" w:rsidP="00901254">
      <w:pPr>
        <w:spacing w:line="480" w:lineRule="auto"/>
        <w:jc w:val="center"/>
        <w:rPr>
          <w:rFonts w:ascii="Times New Roman" w:hAnsi="Times New Roman" w:cs="Times New Roman"/>
          <w:b/>
          <w:bCs/>
        </w:rPr>
      </w:pPr>
      <w:r>
        <w:rPr>
          <w:rFonts w:ascii="Times New Roman" w:hAnsi="Times New Roman" w:cs="Times New Roman"/>
          <w:b/>
          <w:bCs/>
          <w:noProof/>
        </w:rPr>
        <w:drawing>
          <wp:inline distT="0" distB="0" distL="0" distR="0" wp14:anchorId="0B277F0F" wp14:editId="756AE740">
            <wp:extent cx="5827119" cy="7830766"/>
            <wp:effectExtent l="0" t="0" r="2540" b="5715"/>
            <wp:docPr id="53" name="Picture 5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ext, letter&#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5852056" cy="7864277"/>
                    </a:xfrm>
                    <a:prstGeom prst="rect">
                      <a:avLst/>
                    </a:prstGeom>
                  </pic:spPr>
                </pic:pic>
              </a:graphicData>
            </a:graphic>
          </wp:inline>
        </w:drawing>
      </w:r>
    </w:p>
    <w:p w14:paraId="403230C0" w14:textId="53F93644" w:rsidR="00940C1A" w:rsidRDefault="00940C1A" w:rsidP="00901254">
      <w:pPr>
        <w:spacing w:line="480" w:lineRule="auto"/>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0BF0D708" wp14:editId="27CBE411">
            <wp:extent cx="5904689" cy="7742942"/>
            <wp:effectExtent l="0" t="0" r="1270" b="4445"/>
            <wp:docPr id="54" name="Picture 5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Text&#10;&#10;Description automatically generated with medium confidence"/>
                    <pic:cNvPicPr/>
                  </pic:nvPicPr>
                  <pic:blipFill>
                    <a:blip r:embed="rId43">
                      <a:extLst>
                        <a:ext uri="{28A0092B-C50C-407E-A947-70E740481C1C}">
                          <a14:useLocalDpi xmlns:a14="http://schemas.microsoft.com/office/drawing/2010/main" val="0"/>
                        </a:ext>
                      </a:extLst>
                    </a:blip>
                    <a:stretch>
                      <a:fillRect/>
                    </a:stretch>
                  </pic:blipFill>
                  <pic:spPr>
                    <a:xfrm>
                      <a:off x="0" y="0"/>
                      <a:ext cx="5958720" cy="7813794"/>
                    </a:xfrm>
                    <a:prstGeom prst="rect">
                      <a:avLst/>
                    </a:prstGeom>
                  </pic:spPr>
                </pic:pic>
              </a:graphicData>
            </a:graphic>
          </wp:inline>
        </w:drawing>
      </w:r>
    </w:p>
    <w:p w14:paraId="1AA3C398" w14:textId="70708962" w:rsidR="00940C1A" w:rsidRDefault="00940C1A" w:rsidP="00901254">
      <w:pPr>
        <w:spacing w:line="480" w:lineRule="auto"/>
        <w:jc w:val="center"/>
        <w:rPr>
          <w:rFonts w:ascii="Times New Roman" w:hAnsi="Times New Roman" w:cs="Times New Roman"/>
          <w:b/>
          <w:bCs/>
        </w:rPr>
      </w:pPr>
    </w:p>
    <w:p w14:paraId="28536AEA" w14:textId="3516D34B" w:rsidR="00940C1A" w:rsidRDefault="00940C1A" w:rsidP="00D871C6">
      <w:pPr>
        <w:pStyle w:val="Heading2"/>
      </w:pPr>
      <w:bookmarkStart w:id="113" w:name="_Toc99267670"/>
      <w:r>
        <w:lastRenderedPageBreak/>
        <w:t>Appendix C: HIPAA</w:t>
      </w:r>
      <w:bookmarkEnd w:id="113"/>
    </w:p>
    <w:p w14:paraId="2E801097" w14:textId="30D95E6E" w:rsidR="00940C1A" w:rsidRDefault="0057004D" w:rsidP="00901254">
      <w:pPr>
        <w:spacing w:line="480" w:lineRule="auto"/>
        <w:jc w:val="center"/>
        <w:rPr>
          <w:rFonts w:ascii="Times New Roman" w:hAnsi="Times New Roman" w:cs="Times New Roman"/>
          <w:b/>
          <w:bCs/>
        </w:rPr>
      </w:pPr>
      <w:r>
        <w:rPr>
          <w:rFonts w:ascii="Times New Roman" w:hAnsi="Times New Roman" w:cs="Times New Roman"/>
          <w:b/>
          <w:bCs/>
          <w:noProof/>
        </w:rPr>
        <w:drawing>
          <wp:inline distT="0" distB="0" distL="0" distR="0" wp14:anchorId="1461FA9A" wp14:editId="0D848B1C">
            <wp:extent cx="5703866" cy="7840493"/>
            <wp:effectExtent l="0" t="0" r="0" b="0"/>
            <wp:docPr id="55" name="Picture 5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Text, letter&#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729173" cy="7875280"/>
                    </a:xfrm>
                    <a:prstGeom prst="rect">
                      <a:avLst/>
                    </a:prstGeom>
                  </pic:spPr>
                </pic:pic>
              </a:graphicData>
            </a:graphic>
          </wp:inline>
        </w:drawing>
      </w:r>
    </w:p>
    <w:p w14:paraId="1E0870B7" w14:textId="24729141" w:rsidR="0057004D" w:rsidRDefault="00442A8E" w:rsidP="00901254">
      <w:pPr>
        <w:spacing w:line="480" w:lineRule="auto"/>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724DD581" wp14:editId="5B8ADC1F">
            <wp:extent cx="5709584" cy="7772400"/>
            <wp:effectExtent l="0" t="0" r="5715" b="0"/>
            <wp:docPr id="56" name="Picture 5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Text, letter&#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5747318" cy="7823767"/>
                    </a:xfrm>
                    <a:prstGeom prst="rect">
                      <a:avLst/>
                    </a:prstGeom>
                  </pic:spPr>
                </pic:pic>
              </a:graphicData>
            </a:graphic>
          </wp:inline>
        </w:drawing>
      </w:r>
    </w:p>
    <w:p w14:paraId="5A3B3E02" w14:textId="792B78A9" w:rsidR="00442A8E" w:rsidRDefault="00442A8E" w:rsidP="00901254">
      <w:pPr>
        <w:spacing w:line="480" w:lineRule="auto"/>
        <w:jc w:val="center"/>
        <w:rPr>
          <w:rFonts w:ascii="Times New Roman" w:hAnsi="Times New Roman" w:cs="Times New Roman"/>
          <w:b/>
          <w:bCs/>
        </w:rPr>
      </w:pPr>
    </w:p>
    <w:p w14:paraId="13C0DEB6" w14:textId="7470459F" w:rsidR="00442A8E" w:rsidRDefault="002679C2" w:rsidP="00901254">
      <w:pPr>
        <w:spacing w:line="480" w:lineRule="auto"/>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673EEB2C" wp14:editId="07DAEAD9">
            <wp:extent cx="5540176" cy="7723762"/>
            <wp:effectExtent l="0" t="0" r="0" b="0"/>
            <wp:docPr id="57" name="Picture 5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text, application, email&#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569005" cy="7763954"/>
                    </a:xfrm>
                    <a:prstGeom prst="rect">
                      <a:avLst/>
                    </a:prstGeom>
                  </pic:spPr>
                </pic:pic>
              </a:graphicData>
            </a:graphic>
          </wp:inline>
        </w:drawing>
      </w:r>
    </w:p>
    <w:p w14:paraId="122BD259" w14:textId="30E4E8B8" w:rsidR="002679C2" w:rsidRDefault="002679C2" w:rsidP="00901254">
      <w:pPr>
        <w:spacing w:line="480" w:lineRule="auto"/>
        <w:jc w:val="center"/>
        <w:rPr>
          <w:rFonts w:ascii="Times New Roman" w:hAnsi="Times New Roman" w:cs="Times New Roman"/>
          <w:b/>
          <w:bCs/>
        </w:rPr>
      </w:pPr>
    </w:p>
    <w:p w14:paraId="58C09AAE" w14:textId="6F4B5EF8" w:rsidR="00814260" w:rsidRDefault="00814260" w:rsidP="00D871C6">
      <w:pPr>
        <w:pStyle w:val="Heading2"/>
      </w:pPr>
      <w:bookmarkStart w:id="114" w:name="_Toc99267671"/>
      <w:r>
        <w:lastRenderedPageBreak/>
        <w:t>Appendix D: Oklahoma Men’s Basketball Letter of Support</w:t>
      </w:r>
      <w:bookmarkEnd w:id="114"/>
    </w:p>
    <w:p w14:paraId="39873AA4" w14:textId="1D0BE995" w:rsidR="00814260" w:rsidRDefault="003E3C62" w:rsidP="00901254">
      <w:pPr>
        <w:spacing w:line="480" w:lineRule="auto"/>
        <w:jc w:val="center"/>
        <w:rPr>
          <w:rFonts w:ascii="Times New Roman" w:hAnsi="Times New Roman" w:cs="Times New Roman"/>
          <w:b/>
          <w:bCs/>
        </w:rPr>
      </w:pPr>
      <w:r>
        <w:rPr>
          <w:rFonts w:ascii="Times New Roman" w:hAnsi="Times New Roman" w:cs="Times New Roman"/>
          <w:b/>
          <w:bCs/>
          <w:noProof/>
        </w:rPr>
        <w:drawing>
          <wp:inline distT="0" distB="0" distL="0" distR="0" wp14:anchorId="6D0CC87A" wp14:editId="47048744">
            <wp:extent cx="6068854" cy="7859949"/>
            <wp:effectExtent l="0" t="0" r="1905" b="1905"/>
            <wp:docPr id="58" name="Picture 5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Text, letter&#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6103962" cy="7905418"/>
                    </a:xfrm>
                    <a:prstGeom prst="rect">
                      <a:avLst/>
                    </a:prstGeom>
                  </pic:spPr>
                </pic:pic>
              </a:graphicData>
            </a:graphic>
          </wp:inline>
        </w:drawing>
      </w:r>
    </w:p>
    <w:p w14:paraId="39A0953C" w14:textId="45A24715" w:rsidR="00AE69FB" w:rsidRDefault="00AE69FB" w:rsidP="00D871C6">
      <w:pPr>
        <w:pStyle w:val="Heading2"/>
      </w:pPr>
      <w:bookmarkStart w:id="115" w:name="_Toc99267672"/>
      <w:r>
        <w:lastRenderedPageBreak/>
        <w:t xml:space="preserve">Appendix </w:t>
      </w:r>
      <w:r w:rsidR="00DE1013">
        <w:t>E</w:t>
      </w:r>
      <w:r>
        <w:t>: Rating of Perceived Exertion Chart</w:t>
      </w:r>
      <w:bookmarkEnd w:id="115"/>
    </w:p>
    <w:p w14:paraId="3BBF1A02" w14:textId="77777777" w:rsidR="00AE69FB" w:rsidRDefault="00AE69FB" w:rsidP="00CE1556">
      <w:pPr>
        <w:spacing w:line="480" w:lineRule="auto"/>
        <w:jc w:val="center"/>
        <w:rPr>
          <w:rFonts w:ascii="Times New Roman" w:hAnsi="Times New Roman" w:cs="Times New Roman"/>
          <w:b/>
          <w:bCs/>
        </w:rPr>
      </w:pPr>
    </w:p>
    <w:p w14:paraId="4920D4F5" w14:textId="77777777" w:rsidR="00AE69FB" w:rsidRDefault="00AE69FB" w:rsidP="00CE1556">
      <w:pPr>
        <w:spacing w:line="480" w:lineRule="auto"/>
        <w:jc w:val="center"/>
        <w:rPr>
          <w:rFonts w:ascii="Times New Roman" w:hAnsi="Times New Roman" w:cs="Times New Roman"/>
          <w:b/>
          <w:bCs/>
        </w:rPr>
      </w:pPr>
    </w:p>
    <w:p w14:paraId="2C06C690" w14:textId="77777777" w:rsidR="00AE69FB" w:rsidRDefault="00AE69FB" w:rsidP="00CE1556">
      <w:pPr>
        <w:spacing w:line="480" w:lineRule="auto"/>
        <w:jc w:val="center"/>
        <w:rPr>
          <w:rFonts w:ascii="Times New Roman" w:hAnsi="Times New Roman" w:cs="Times New Roman"/>
          <w:b/>
          <w:bCs/>
        </w:rPr>
      </w:pPr>
    </w:p>
    <w:p w14:paraId="4C217231" w14:textId="0B969CB7" w:rsidR="00AE69FB" w:rsidRDefault="00AE69FB" w:rsidP="00CE1556">
      <w:pPr>
        <w:spacing w:line="480" w:lineRule="auto"/>
        <w:jc w:val="center"/>
        <w:rPr>
          <w:rFonts w:ascii="Times New Roman" w:hAnsi="Times New Roman" w:cs="Times New Roman"/>
          <w:b/>
          <w:bCs/>
        </w:rPr>
      </w:pPr>
      <w:r>
        <w:rPr>
          <w:noProof/>
        </w:rPr>
        <w:drawing>
          <wp:anchor distT="0" distB="0" distL="114300" distR="114300" simplePos="0" relativeHeight="251698176" behindDoc="0" locked="1" layoutInCell="1" allowOverlap="1" wp14:anchorId="1D025357" wp14:editId="1AFC50FD">
            <wp:simplePos x="0" y="0"/>
            <wp:positionH relativeFrom="margin">
              <wp:align>center</wp:align>
            </wp:positionH>
            <wp:positionV relativeFrom="paragraph">
              <wp:posOffset>349250</wp:posOffset>
            </wp:positionV>
            <wp:extent cx="5405372" cy="1252728"/>
            <wp:effectExtent l="0" t="0" r="0" b="5080"/>
            <wp:wrapTopAndBottom/>
            <wp:docPr id="51" name="Picture 51" descr="Graphical user interface, diagram,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 diagram, application&#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5405372" cy="1252728"/>
                    </a:xfrm>
                    <a:prstGeom prst="rect">
                      <a:avLst/>
                    </a:prstGeom>
                  </pic:spPr>
                </pic:pic>
              </a:graphicData>
            </a:graphic>
            <wp14:sizeRelH relativeFrom="page">
              <wp14:pctWidth>0</wp14:pctWidth>
            </wp14:sizeRelH>
            <wp14:sizeRelV relativeFrom="page">
              <wp14:pctHeight>0</wp14:pctHeight>
            </wp14:sizeRelV>
          </wp:anchor>
        </w:drawing>
      </w:r>
    </w:p>
    <w:p w14:paraId="2B1F10CA" w14:textId="77777777" w:rsidR="00AE69FB" w:rsidRDefault="00AE69FB" w:rsidP="0077521D">
      <w:pPr>
        <w:spacing w:line="480" w:lineRule="auto"/>
        <w:jc w:val="center"/>
        <w:rPr>
          <w:rFonts w:ascii="Times New Roman" w:hAnsi="Times New Roman" w:cs="Times New Roman"/>
          <w:b/>
          <w:bCs/>
        </w:rPr>
      </w:pPr>
    </w:p>
    <w:p w14:paraId="1631E18F" w14:textId="77777777" w:rsidR="00AE69FB" w:rsidRDefault="00AE69FB" w:rsidP="0077521D">
      <w:pPr>
        <w:spacing w:line="480" w:lineRule="auto"/>
        <w:jc w:val="center"/>
        <w:rPr>
          <w:rFonts w:ascii="Times New Roman" w:hAnsi="Times New Roman" w:cs="Times New Roman"/>
          <w:b/>
          <w:bCs/>
        </w:rPr>
      </w:pPr>
    </w:p>
    <w:p w14:paraId="2A86E10B" w14:textId="77777777" w:rsidR="00AE69FB" w:rsidRDefault="00AE69FB" w:rsidP="0077521D">
      <w:pPr>
        <w:spacing w:line="480" w:lineRule="auto"/>
        <w:jc w:val="center"/>
        <w:rPr>
          <w:rFonts w:ascii="Times New Roman" w:hAnsi="Times New Roman" w:cs="Times New Roman"/>
          <w:b/>
          <w:bCs/>
        </w:rPr>
      </w:pPr>
    </w:p>
    <w:p w14:paraId="68FEE113" w14:textId="77777777" w:rsidR="00AE69FB" w:rsidRDefault="00AE69FB" w:rsidP="0077521D">
      <w:pPr>
        <w:spacing w:line="480" w:lineRule="auto"/>
        <w:jc w:val="center"/>
        <w:rPr>
          <w:rFonts w:ascii="Times New Roman" w:hAnsi="Times New Roman" w:cs="Times New Roman"/>
          <w:b/>
          <w:bCs/>
        </w:rPr>
      </w:pPr>
    </w:p>
    <w:p w14:paraId="40E34DEB" w14:textId="77777777" w:rsidR="00AE69FB" w:rsidRDefault="00AE69FB" w:rsidP="0077521D">
      <w:pPr>
        <w:spacing w:line="480" w:lineRule="auto"/>
        <w:jc w:val="center"/>
        <w:rPr>
          <w:rFonts w:ascii="Times New Roman" w:hAnsi="Times New Roman" w:cs="Times New Roman"/>
          <w:b/>
          <w:bCs/>
        </w:rPr>
      </w:pPr>
    </w:p>
    <w:p w14:paraId="52B5130C" w14:textId="77777777" w:rsidR="00AE69FB" w:rsidRDefault="00AE69FB" w:rsidP="0077521D">
      <w:pPr>
        <w:spacing w:line="480" w:lineRule="auto"/>
        <w:jc w:val="center"/>
        <w:rPr>
          <w:rFonts w:ascii="Times New Roman" w:hAnsi="Times New Roman" w:cs="Times New Roman"/>
          <w:b/>
          <w:bCs/>
        </w:rPr>
      </w:pPr>
    </w:p>
    <w:p w14:paraId="6AC1923A" w14:textId="77777777" w:rsidR="00AE69FB" w:rsidRDefault="00AE69FB" w:rsidP="0077521D">
      <w:pPr>
        <w:spacing w:line="480" w:lineRule="auto"/>
        <w:jc w:val="center"/>
        <w:rPr>
          <w:rFonts w:ascii="Times New Roman" w:hAnsi="Times New Roman" w:cs="Times New Roman"/>
          <w:b/>
          <w:bCs/>
        </w:rPr>
      </w:pPr>
    </w:p>
    <w:p w14:paraId="52970304" w14:textId="77777777" w:rsidR="00AE69FB" w:rsidRDefault="00AE69FB" w:rsidP="0077521D">
      <w:pPr>
        <w:spacing w:line="480" w:lineRule="auto"/>
        <w:jc w:val="center"/>
        <w:rPr>
          <w:rFonts w:ascii="Times New Roman" w:hAnsi="Times New Roman" w:cs="Times New Roman"/>
          <w:b/>
          <w:bCs/>
        </w:rPr>
      </w:pPr>
    </w:p>
    <w:p w14:paraId="013CAC44" w14:textId="77777777" w:rsidR="00AE69FB" w:rsidRDefault="00AE69FB" w:rsidP="0077521D">
      <w:pPr>
        <w:spacing w:line="480" w:lineRule="auto"/>
        <w:jc w:val="center"/>
        <w:rPr>
          <w:rFonts w:ascii="Times New Roman" w:hAnsi="Times New Roman" w:cs="Times New Roman"/>
          <w:b/>
          <w:bCs/>
        </w:rPr>
      </w:pPr>
    </w:p>
    <w:p w14:paraId="708DCE5D" w14:textId="77777777" w:rsidR="00AE69FB" w:rsidRDefault="00AE69FB" w:rsidP="0077521D">
      <w:pPr>
        <w:spacing w:line="480" w:lineRule="auto"/>
        <w:jc w:val="center"/>
        <w:rPr>
          <w:rFonts w:ascii="Times New Roman" w:hAnsi="Times New Roman" w:cs="Times New Roman"/>
          <w:b/>
          <w:bCs/>
        </w:rPr>
      </w:pPr>
    </w:p>
    <w:p w14:paraId="33BEB555" w14:textId="77777777" w:rsidR="00AE69FB" w:rsidRDefault="00AE69FB" w:rsidP="0077521D">
      <w:pPr>
        <w:spacing w:line="480" w:lineRule="auto"/>
        <w:jc w:val="center"/>
        <w:rPr>
          <w:rFonts w:ascii="Times New Roman" w:hAnsi="Times New Roman" w:cs="Times New Roman"/>
          <w:b/>
          <w:bCs/>
        </w:rPr>
      </w:pPr>
    </w:p>
    <w:p w14:paraId="357FB1C0" w14:textId="77777777" w:rsidR="00AE69FB" w:rsidRDefault="00AE69FB" w:rsidP="0077521D">
      <w:pPr>
        <w:spacing w:line="480" w:lineRule="auto"/>
        <w:jc w:val="center"/>
        <w:rPr>
          <w:rFonts w:ascii="Times New Roman" w:hAnsi="Times New Roman" w:cs="Times New Roman"/>
          <w:b/>
          <w:bCs/>
        </w:rPr>
      </w:pPr>
    </w:p>
    <w:p w14:paraId="7D91859A" w14:textId="77777777" w:rsidR="00AE69FB" w:rsidRDefault="00AE69FB" w:rsidP="0077521D">
      <w:pPr>
        <w:spacing w:line="480" w:lineRule="auto"/>
        <w:jc w:val="center"/>
        <w:rPr>
          <w:rFonts w:ascii="Times New Roman" w:hAnsi="Times New Roman" w:cs="Times New Roman"/>
          <w:b/>
          <w:bCs/>
        </w:rPr>
      </w:pPr>
    </w:p>
    <w:p w14:paraId="112B507D" w14:textId="77777777" w:rsidR="00AE69FB" w:rsidRDefault="00AE69FB" w:rsidP="0077521D">
      <w:pPr>
        <w:spacing w:line="480" w:lineRule="auto"/>
        <w:jc w:val="center"/>
        <w:rPr>
          <w:rFonts w:ascii="Times New Roman" w:hAnsi="Times New Roman" w:cs="Times New Roman"/>
          <w:b/>
          <w:bCs/>
        </w:rPr>
      </w:pPr>
    </w:p>
    <w:p w14:paraId="4724A36F" w14:textId="77777777" w:rsidR="00AE69FB" w:rsidRDefault="00AE69FB" w:rsidP="0077521D">
      <w:pPr>
        <w:spacing w:line="480" w:lineRule="auto"/>
        <w:jc w:val="center"/>
        <w:rPr>
          <w:rFonts w:ascii="Times New Roman" w:hAnsi="Times New Roman" w:cs="Times New Roman"/>
          <w:b/>
          <w:bCs/>
        </w:rPr>
      </w:pPr>
    </w:p>
    <w:p w14:paraId="3BCB3891" w14:textId="558FBBB8" w:rsidR="0077521D" w:rsidRDefault="005929FB" w:rsidP="00D871C6">
      <w:pPr>
        <w:pStyle w:val="Heading2"/>
      </w:pPr>
      <w:bookmarkStart w:id="116" w:name="_Toc99267673"/>
      <w:r>
        <w:lastRenderedPageBreak/>
        <w:t xml:space="preserve">Appendix </w:t>
      </w:r>
      <w:r w:rsidR="00B37E52">
        <w:t>F</w:t>
      </w:r>
      <w:r>
        <w:t xml:space="preserve">: </w:t>
      </w:r>
      <w:r w:rsidR="0077521D">
        <w:t>Salivary Collection</w:t>
      </w:r>
      <w:bookmarkEnd w:id="116"/>
    </w:p>
    <w:p w14:paraId="3CE189B0" w14:textId="22D7A2ED" w:rsidR="00BB7596" w:rsidRDefault="002A4A34" w:rsidP="00BB7596">
      <w:pPr>
        <w:spacing w:line="480" w:lineRule="auto"/>
        <w:jc w:val="center"/>
        <w:rPr>
          <w:rFonts w:ascii="Times New Roman" w:hAnsi="Times New Roman" w:cs="Times New Roman"/>
          <w:b/>
          <w:bCs/>
        </w:rPr>
      </w:pPr>
      <w:r>
        <w:rPr>
          <w:rFonts w:ascii="Times New Roman" w:hAnsi="Times New Roman" w:cs="Times New Roman"/>
          <w:b/>
          <w:bCs/>
          <w:noProof/>
        </w:rPr>
        <w:drawing>
          <wp:inline distT="0" distB="0" distL="0" distR="0" wp14:anchorId="6DBA80C6" wp14:editId="5CA1D9AF">
            <wp:extent cx="5943600" cy="769175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4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DE14B92" w14:textId="77777777" w:rsidR="00BB7596" w:rsidRDefault="00BB7596" w:rsidP="00BB7596">
      <w:pPr>
        <w:spacing w:line="480" w:lineRule="auto"/>
        <w:jc w:val="center"/>
        <w:rPr>
          <w:rFonts w:ascii="Times New Roman" w:hAnsi="Times New Roman" w:cs="Times New Roman"/>
          <w:b/>
          <w:bCs/>
        </w:rPr>
      </w:pPr>
    </w:p>
    <w:p w14:paraId="4D893169" w14:textId="7DB04202" w:rsidR="0077521D" w:rsidRPr="003B11B7" w:rsidRDefault="00BB7596" w:rsidP="00CE1556">
      <w:pPr>
        <w:spacing w:line="480" w:lineRule="auto"/>
        <w:jc w:val="center"/>
        <w:rPr>
          <w:rFonts w:ascii="Times New Roman" w:hAnsi="Times New Roman" w:cs="Times New Roman"/>
          <w:b/>
          <w:bCs/>
        </w:rPr>
      </w:pPr>
      <w:r>
        <w:rPr>
          <w:noProof/>
        </w:rPr>
        <w:drawing>
          <wp:anchor distT="0" distB="0" distL="114300" distR="114300" simplePos="0" relativeHeight="251696128" behindDoc="0" locked="1" layoutInCell="1" allowOverlap="1" wp14:anchorId="46A1CADE" wp14:editId="4C09A32D">
            <wp:simplePos x="0" y="0"/>
            <wp:positionH relativeFrom="margin">
              <wp:align>center</wp:align>
            </wp:positionH>
            <wp:positionV relativeFrom="margin">
              <wp:posOffset>167640</wp:posOffset>
            </wp:positionV>
            <wp:extent cx="5175250" cy="7031355"/>
            <wp:effectExtent l="0" t="0" r="6350" b="4445"/>
            <wp:wrapTopAndBottom/>
            <wp:docPr id="49" name="Picture 49" descr="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email&#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5175250" cy="7031355"/>
                    </a:xfrm>
                    <a:prstGeom prst="rect">
                      <a:avLst/>
                    </a:prstGeom>
                  </pic:spPr>
                </pic:pic>
              </a:graphicData>
            </a:graphic>
            <wp14:sizeRelH relativeFrom="margin">
              <wp14:pctWidth>0</wp14:pctWidth>
            </wp14:sizeRelH>
            <wp14:sizeRelV relativeFrom="margin">
              <wp14:pctHeight>0</wp14:pctHeight>
            </wp14:sizeRelV>
          </wp:anchor>
        </w:drawing>
      </w:r>
    </w:p>
    <w:sectPr w:rsidR="0077521D" w:rsidRPr="003B11B7" w:rsidSect="006001CC">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2CC3D" w14:textId="77777777" w:rsidR="00A84B98" w:rsidRDefault="00A84B98" w:rsidP="004300A9">
      <w:r>
        <w:separator/>
      </w:r>
    </w:p>
  </w:endnote>
  <w:endnote w:type="continuationSeparator" w:id="0">
    <w:p w14:paraId="51E29499" w14:textId="77777777" w:rsidR="00A84B98" w:rsidRDefault="00A84B98" w:rsidP="00430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0236763"/>
      <w:docPartObj>
        <w:docPartGallery w:val="Page Numbers (Bottom of Page)"/>
        <w:docPartUnique/>
      </w:docPartObj>
    </w:sdtPr>
    <w:sdtEndPr>
      <w:rPr>
        <w:rStyle w:val="PageNumber"/>
      </w:rPr>
    </w:sdtEndPr>
    <w:sdtContent>
      <w:p w14:paraId="190EC40C" w14:textId="67998A44" w:rsidR="007121D3" w:rsidRDefault="007121D3" w:rsidP="006001C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12685833"/>
      <w:docPartObj>
        <w:docPartGallery w:val="Page Numbers (Bottom of Page)"/>
        <w:docPartUnique/>
      </w:docPartObj>
    </w:sdtPr>
    <w:sdtEndPr>
      <w:rPr>
        <w:rStyle w:val="PageNumber"/>
      </w:rPr>
    </w:sdtEndPr>
    <w:sdtContent>
      <w:p w14:paraId="21616123" w14:textId="1499F0D6" w:rsidR="007121D3" w:rsidRDefault="007121D3" w:rsidP="006001C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CB755F" w14:textId="77777777" w:rsidR="007121D3" w:rsidRDefault="007121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C7294" w14:textId="77777777" w:rsidR="00D31600" w:rsidRDefault="00B515DA">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46398" w14:textId="77777777" w:rsidR="00D31600" w:rsidRDefault="00B515DA">
    <w:r>
      <w:c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2056692"/>
      <w:docPartObj>
        <w:docPartGallery w:val="Page Numbers (Bottom of Page)"/>
        <w:docPartUnique/>
      </w:docPartObj>
    </w:sdtPr>
    <w:sdtEndPr>
      <w:rPr>
        <w:rStyle w:val="PageNumber"/>
      </w:rPr>
    </w:sdtEndPr>
    <w:sdtContent>
      <w:p w14:paraId="25C42D54" w14:textId="77777777" w:rsidR="006001CC" w:rsidRDefault="006001CC" w:rsidP="00D76A4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720BBC8A" w14:textId="77777777" w:rsidR="006001CC" w:rsidRPr="00CF4F47" w:rsidRDefault="006001CC" w:rsidP="00C0747F">
    <w:pPr>
      <w:pStyle w:val="Footer"/>
      <w:tabs>
        <w:tab w:val="clear" w:pos="9360"/>
        <w:tab w:val="left" w:pos="5361"/>
      </w:tabs>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23E50" w14:textId="77777777" w:rsidR="00A84B98" w:rsidRDefault="00A84B98" w:rsidP="004300A9">
      <w:r>
        <w:separator/>
      </w:r>
    </w:p>
  </w:footnote>
  <w:footnote w:type="continuationSeparator" w:id="0">
    <w:p w14:paraId="7367EC32" w14:textId="77777777" w:rsidR="00A84B98" w:rsidRDefault="00A84B98" w:rsidP="004300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0026A"/>
    <w:multiLevelType w:val="hybridMultilevel"/>
    <w:tmpl w:val="A378DA3E"/>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A0233"/>
    <w:multiLevelType w:val="hybridMultilevel"/>
    <w:tmpl w:val="6F78CA3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E05C9"/>
    <w:multiLevelType w:val="hybridMultilevel"/>
    <w:tmpl w:val="96A47C48"/>
    <w:lvl w:ilvl="0" w:tplc="99503FB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6B31B7"/>
    <w:multiLevelType w:val="hybridMultilevel"/>
    <w:tmpl w:val="D8605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095324"/>
    <w:multiLevelType w:val="hybridMultilevel"/>
    <w:tmpl w:val="69AAFBEA"/>
    <w:lvl w:ilvl="0" w:tplc="65B081B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C0581"/>
    <w:multiLevelType w:val="hybridMultilevel"/>
    <w:tmpl w:val="6284DA88"/>
    <w:lvl w:ilvl="0" w:tplc="10A8440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157F9E"/>
    <w:multiLevelType w:val="hybridMultilevel"/>
    <w:tmpl w:val="2CD677A6"/>
    <w:lvl w:ilvl="0" w:tplc="75F0E606">
      <w:start w:val="3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226E1E"/>
    <w:multiLevelType w:val="hybridMultilevel"/>
    <w:tmpl w:val="C630A668"/>
    <w:lvl w:ilvl="0" w:tplc="4B1CCEA2">
      <w:start w:val="1"/>
      <w:numFmt w:val="decimal"/>
      <w:lvlText w:val="%1."/>
      <w:lvlJc w:val="left"/>
      <w:pPr>
        <w:ind w:left="720"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CF07F9"/>
    <w:multiLevelType w:val="hybridMultilevel"/>
    <w:tmpl w:val="118EBAC6"/>
    <w:lvl w:ilvl="0" w:tplc="BDCAA7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D16B4D"/>
    <w:multiLevelType w:val="hybridMultilevel"/>
    <w:tmpl w:val="7040A7C4"/>
    <w:lvl w:ilvl="0" w:tplc="B2E2F656">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6E25D9"/>
    <w:multiLevelType w:val="hybridMultilevel"/>
    <w:tmpl w:val="5372B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006C19"/>
    <w:multiLevelType w:val="hybridMultilevel"/>
    <w:tmpl w:val="D2B4E21A"/>
    <w:lvl w:ilvl="0" w:tplc="AFF6EC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791B7E"/>
    <w:multiLevelType w:val="hybridMultilevel"/>
    <w:tmpl w:val="4AC856E6"/>
    <w:lvl w:ilvl="0" w:tplc="ED9E69E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F0592F"/>
    <w:multiLevelType w:val="hybridMultilevel"/>
    <w:tmpl w:val="23D85F44"/>
    <w:lvl w:ilvl="0" w:tplc="20663DE2">
      <w:start w:val="1"/>
      <w:numFmt w:val="decimal"/>
      <w:lvlText w:val="%1."/>
      <w:lvlJc w:val="left"/>
      <w:pPr>
        <w:ind w:left="720" w:hanging="360"/>
      </w:pPr>
      <w:rPr>
        <w:rFonts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CE17A0"/>
    <w:multiLevelType w:val="hybridMultilevel"/>
    <w:tmpl w:val="6284DA88"/>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276050"/>
    <w:multiLevelType w:val="hybridMultilevel"/>
    <w:tmpl w:val="269CB338"/>
    <w:lvl w:ilvl="0" w:tplc="06728C72">
      <w:start w:val="1"/>
      <w:numFmt w:val="decimal"/>
      <w:lvlText w:val="%1."/>
      <w:lvlJc w:val="left"/>
      <w:pPr>
        <w:ind w:left="720" w:hanging="360"/>
      </w:pPr>
      <w:rPr>
        <w:rFonts w:ascii="Times New Roman" w:hAnsi="Times New Roman" w:cs="Times New Roman" w:hint="default"/>
        <w:b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9064D1"/>
    <w:multiLevelType w:val="hybridMultilevel"/>
    <w:tmpl w:val="350218F4"/>
    <w:lvl w:ilvl="0" w:tplc="2738079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145270"/>
    <w:multiLevelType w:val="hybridMultilevel"/>
    <w:tmpl w:val="538EF1F4"/>
    <w:lvl w:ilvl="0" w:tplc="00B46F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572B8E"/>
    <w:multiLevelType w:val="hybridMultilevel"/>
    <w:tmpl w:val="6284DA88"/>
    <w:lvl w:ilvl="0" w:tplc="10A8440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355550"/>
    <w:multiLevelType w:val="hybridMultilevel"/>
    <w:tmpl w:val="3398B258"/>
    <w:lvl w:ilvl="0" w:tplc="13DAE552">
      <w:start w:val="3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927B63"/>
    <w:multiLevelType w:val="hybridMultilevel"/>
    <w:tmpl w:val="9D983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761825"/>
    <w:multiLevelType w:val="hybridMultilevel"/>
    <w:tmpl w:val="6F3CD482"/>
    <w:lvl w:ilvl="0" w:tplc="ABF6AF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4B1E31"/>
    <w:multiLevelType w:val="hybridMultilevel"/>
    <w:tmpl w:val="F310702E"/>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5995AEC"/>
    <w:multiLevelType w:val="multilevel"/>
    <w:tmpl w:val="69AAFBEA"/>
    <w:styleLink w:val="CurrentList1"/>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DC61213"/>
    <w:multiLevelType w:val="hybridMultilevel"/>
    <w:tmpl w:val="4D647770"/>
    <w:lvl w:ilvl="0" w:tplc="B2E2F656">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43572E"/>
    <w:multiLevelType w:val="hybridMultilevel"/>
    <w:tmpl w:val="0E8C8C6E"/>
    <w:lvl w:ilvl="0" w:tplc="DDCC817C">
      <w:start w:val="35"/>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6" w15:restartNumberingAfterBreak="0">
    <w:nsid w:val="7E7C3447"/>
    <w:multiLevelType w:val="hybridMultilevel"/>
    <w:tmpl w:val="868AE098"/>
    <w:lvl w:ilvl="0" w:tplc="AFDC244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71681A"/>
    <w:multiLevelType w:val="hybridMultilevel"/>
    <w:tmpl w:val="F310702E"/>
    <w:lvl w:ilvl="0" w:tplc="10A8440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5182373">
    <w:abstractNumId w:val="15"/>
  </w:num>
  <w:num w:numId="2" w16cid:durableId="451097740">
    <w:abstractNumId w:val="13"/>
  </w:num>
  <w:num w:numId="3" w16cid:durableId="2122917859">
    <w:abstractNumId w:val="7"/>
  </w:num>
  <w:num w:numId="4" w16cid:durableId="1163857934">
    <w:abstractNumId w:val="20"/>
  </w:num>
  <w:num w:numId="5" w16cid:durableId="2135899582">
    <w:abstractNumId w:val="3"/>
  </w:num>
  <w:num w:numId="6" w16cid:durableId="1680427176">
    <w:abstractNumId w:val="27"/>
  </w:num>
  <w:num w:numId="7" w16cid:durableId="135614461">
    <w:abstractNumId w:val="18"/>
  </w:num>
  <w:num w:numId="8" w16cid:durableId="1609582743">
    <w:abstractNumId w:val="5"/>
  </w:num>
  <w:num w:numId="9" w16cid:durableId="136924605">
    <w:abstractNumId w:val="0"/>
  </w:num>
  <w:num w:numId="10" w16cid:durableId="706029233">
    <w:abstractNumId w:val="1"/>
  </w:num>
  <w:num w:numId="11" w16cid:durableId="615453804">
    <w:abstractNumId w:val="10"/>
  </w:num>
  <w:num w:numId="12" w16cid:durableId="1188057099">
    <w:abstractNumId w:val="9"/>
  </w:num>
  <w:num w:numId="13" w16cid:durableId="569777667">
    <w:abstractNumId w:val="24"/>
  </w:num>
  <w:num w:numId="14" w16cid:durableId="396126836">
    <w:abstractNumId w:val="8"/>
  </w:num>
  <w:num w:numId="15" w16cid:durableId="896747465">
    <w:abstractNumId w:val="21"/>
  </w:num>
  <w:num w:numId="16" w16cid:durableId="203716957">
    <w:abstractNumId w:val="12"/>
  </w:num>
  <w:num w:numId="17" w16cid:durableId="1611542855">
    <w:abstractNumId w:val="25"/>
  </w:num>
  <w:num w:numId="18" w16cid:durableId="49305794">
    <w:abstractNumId w:val="6"/>
  </w:num>
  <w:num w:numId="19" w16cid:durableId="815024810">
    <w:abstractNumId w:val="19"/>
  </w:num>
  <w:num w:numId="20" w16cid:durableId="1596354362">
    <w:abstractNumId w:val="17"/>
  </w:num>
  <w:num w:numId="21" w16cid:durableId="1031764014">
    <w:abstractNumId w:val="2"/>
  </w:num>
  <w:num w:numId="22" w16cid:durableId="160433049">
    <w:abstractNumId w:val="26"/>
  </w:num>
  <w:num w:numId="23" w16cid:durableId="1379358219">
    <w:abstractNumId w:val="4"/>
  </w:num>
  <w:num w:numId="24" w16cid:durableId="981808576">
    <w:abstractNumId w:val="23"/>
  </w:num>
  <w:num w:numId="25" w16cid:durableId="967513117">
    <w:abstractNumId w:val="11"/>
  </w:num>
  <w:num w:numId="26" w16cid:durableId="169762523">
    <w:abstractNumId w:val="16"/>
  </w:num>
  <w:num w:numId="27" w16cid:durableId="1078332954">
    <w:abstractNumId w:val="22"/>
  </w:num>
  <w:num w:numId="28" w16cid:durableId="17178969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E37"/>
    <w:rsid w:val="0000077F"/>
    <w:rsid w:val="00000C17"/>
    <w:rsid w:val="00000E6B"/>
    <w:rsid w:val="0000303D"/>
    <w:rsid w:val="0000397C"/>
    <w:rsid w:val="0000487D"/>
    <w:rsid w:val="000072D2"/>
    <w:rsid w:val="00007AAC"/>
    <w:rsid w:val="00007FD9"/>
    <w:rsid w:val="00011336"/>
    <w:rsid w:val="000120AF"/>
    <w:rsid w:val="00012A01"/>
    <w:rsid w:val="00013D15"/>
    <w:rsid w:val="0001448D"/>
    <w:rsid w:val="0001468C"/>
    <w:rsid w:val="0001566C"/>
    <w:rsid w:val="000157E5"/>
    <w:rsid w:val="00022560"/>
    <w:rsid w:val="00022E00"/>
    <w:rsid w:val="00025675"/>
    <w:rsid w:val="00027966"/>
    <w:rsid w:val="00027FD6"/>
    <w:rsid w:val="0003046F"/>
    <w:rsid w:val="00030F79"/>
    <w:rsid w:val="00032815"/>
    <w:rsid w:val="00033119"/>
    <w:rsid w:val="000348D2"/>
    <w:rsid w:val="00034968"/>
    <w:rsid w:val="000354DC"/>
    <w:rsid w:val="00044CD8"/>
    <w:rsid w:val="000461AA"/>
    <w:rsid w:val="00046FCD"/>
    <w:rsid w:val="00047201"/>
    <w:rsid w:val="000479B7"/>
    <w:rsid w:val="00053F98"/>
    <w:rsid w:val="00054E77"/>
    <w:rsid w:val="000554FF"/>
    <w:rsid w:val="00055A6E"/>
    <w:rsid w:val="00060CC9"/>
    <w:rsid w:val="000628B0"/>
    <w:rsid w:val="00065BB4"/>
    <w:rsid w:val="00066B07"/>
    <w:rsid w:val="0006759D"/>
    <w:rsid w:val="00075E42"/>
    <w:rsid w:val="00077F89"/>
    <w:rsid w:val="00081F4D"/>
    <w:rsid w:val="0008287E"/>
    <w:rsid w:val="00083D6D"/>
    <w:rsid w:val="00084CC7"/>
    <w:rsid w:val="00085376"/>
    <w:rsid w:val="00085819"/>
    <w:rsid w:val="0008684C"/>
    <w:rsid w:val="000876EC"/>
    <w:rsid w:val="00087C6B"/>
    <w:rsid w:val="00091C96"/>
    <w:rsid w:val="00093E2D"/>
    <w:rsid w:val="00094FFC"/>
    <w:rsid w:val="00096D2C"/>
    <w:rsid w:val="00097657"/>
    <w:rsid w:val="000A010B"/>
    <w:rsid w:val="000A2070"/>
    <w:rsid w:val="000A24F7"/>
    <w:rsid w:val="000A2BB6"/>
    <w:rsid w:val="000A2F75"/>
    <w:rsid w:val="000A6554"/>
    <w:rsid w:val="000B34E0"/>
    <w:rsid w:val="000B37E0"/>
    <w:rsid w:val="000B4613"/>
    <w:rsid w:val="000B4E6F"/>
    <w:rsid w:val="000B61D7"/>
    <w:rsid w:val="000C36C3"/>
    <w:rsid w:val="000C4B8A"/>
    <w:rsid w:val="000C7A7B"/>
    <w:rsid w:val="000D27A1"/>
    <w:rsid w:val="000D2A23"/>
    <w:rsid w:val="000D308B"/>
    <w:rsid w:val="000D387D"/>
    <w:rsid w:val="000D3E88"/>
    <w:rsid w:val="000D44A7"/>
    <w:rsid w:val="000D6DA0"/>
    <w:rsid w:val="000D6F3E"/>
    <w:rsid w:val="000E2856"/>
    <w:rsid w:val="000E3763"/>
    <w:rsid w:val="000E3F92"/>
    <w:rsid w:val="000E4FD8"/>
    <w:rsid w:val="000E5C4F"/>
    <w:rsid w:val="000E742A"/>
    <w:rsid w:val="000F1094"/>
    <w:rsid w:val="000F20EA"/>
    <w:rsid w:val="000F38A1"/>
    <w:rsid w:val="000F3BA2"/>
    <w:rsid w:val="000F3FB8"/>
    <w:rsid w:val="000F4020"/>
    <w:rsid w:val="000F4350"/>
    <w:rsid w:val="001003DA"/>
    <w:rsid w:val="001006AC"/>
    <w:rsid w:val="001020A8"/>
    <w:rsid w:val="00104D4B"/>
    <w:rsid w:val="001054F7"/>
    <w:rsid w:val="00105618"/>
    <w:rsid w:val="00105DA7"/>
    <w:rsid w:val="001163A2"/>
    <w:rsid w:val="001217A4"/>
    <w:rsid w:val="00122DBF"/>
    <w:rsid w:val="00125419"/>
    <w:rsid w:val="0012636E"/>
    <w:rsid w:val="00126CDD"/>
    <w:rsid w:val="00127AC2"/>
    <w:rsid w:val="001301AE"/>
    <w:rsid w:val="001307A2"/>
    <w:rsid w:val="00131321"/>
    <w:rsid w:val="00142F90"/>
    <w:rsid w:val="001431ED"/>
    <w:rsid w:val="00143E4D"/>
    <w:rsid w:val="00146B85"/>
    <w:rsid w:val="00147D64"/>
    <w:rsid w:val="0015172F"/>
    <w:rsid w:val="00152DD8"/>
    <w:rsid w:val="00153A14"/>
    <w:rsid w:val="00157447"/>
    <w:rsid w:val="00166F5A"/>
    <w:rsid w:val="00170E2D"/>
    <w:rsid w:val="00172639"/>
    <w:rsid w:val="0017476D"/>
    <w:rsid w:val="0017601F"/>
    <w:rsid w:val="00176291"/>
    <w:rsid w:val="00176F92"/>
    <w:rsid w:val="00181406"/>
    <w:rsid w:val="0018286C"/>
    <w:rsid w:val="00183D3D"/>
    <w:rsid w:val="001856CA"/>
    <w:rsid w:val="0018651C"/>
    <w:rsid w:val="001901DE"/>
    <w:rsid w:val="001918D2"/>
    <w:rsid w:val="00193307"/>
    <w:rsid w:val="001935D8"/>
    <w:rsid w:val="00193AF4"/>
    <w:rsid w:val="00193E66"/>
    <w:rsid w:val="00194824"/>
    <w:rsid w:val="001948DD"/>
    <w:rsid w:val="00194C02"/>
    <w:rsid w:val="001967CD"/>
    <w:rsid w:val="001A1514"/>
    <w:rsid w:val="001A1A06"/>
    <w:rsid w:val="001A37E8"/>
    <w:rsid w:val="001A56BB"/>
    <w:rsid w:val="001B0F6E"/>
    <w:rsid w:val="001B20A6"/>
    <w:rsid w:val="001B479D"/>
    <w:rsid w:val="001B5ACB"/>
    <w:rsid w:val="001B7041"/>
    <w:rsid w:val="001B784D"/>
    <w:rsid w:val="001C062C"/>
    <w:rsid w:val="001C24BD"/>
    <w:rsid w:val="001C474A"/>
    <w:rsid w:val="001C507F"/>
    <w:rsid w:val="001C6B36"/>
    <w:rsid w:val="001C7453"/>
    <w:rsid w:val="001D16DA"/>
    <w:rsid w:val="001D45EF"/>
    <w:rsid w:val="001D47AB"/>
    <w:rsid w:val="001D5388"/>
    <w:rsid w:val="001D6C34"/>
    <w:rsid w:val="001D7E3C"/>
    <w:rsid w:val="001E0C3D"/>
    <w:rsid w:val="001E254E"/>
    <w:rsid w:val="001E5725"/>
    <w:rsid w:val="001E75A4"/>
    <w:rsid w:val="001F1302"/>
    <w:rsid w:val="001F14BB"/>
    <w:rsid w:val="001F262D"/>
    <w:rsid w:val="001F580F"/>
    <w:rsid w:val="001F6CBB"/>
    <w:rsid w:val="001F7632"/>
    <w:rsid w:val="001F77BF"/>
    <w:rsid w:val="00201B54"/>
    <w:rsid w:val="0020711D"/>
    <w:rsid w:val="00207933"/>
    <w:rsid w:val="002100C9"/>
    <w:rsid w:val="002101E0"/>
    <w:rsid w:val="00210219"/>
    <w:rsid w:val="00210B2E"/>
    <w:rsid w:val="00212C3E"/>
    <w:rsid w:val="00220E0F"/>
    <w:rsid w:val="00221ECA"/>
    <w:rsid w:val="00222F75"/>
    <w:rsid w:val="00222FA3"/>
    <w:rsid w:val="002235AF"/>
    <w:rsid w:val="0022390D"/>
    <w:rsid w:val="00223FAA"/>
    <w:rsid w:val="00223FD5"/>
    <w:rsid w:val="002246C5"/>
    <w:rsid w:val="00230D04"/>
    <w:rsid w:val="00234801"/>
    <w:rsid w:val="00234CC2"/>
    <w:rsid w:val="00236575"/>
    <w:rsid w:val="002416F0"/>
    <w:rsid w:val="002422E1"/>
    <w:rsid w:val="00243959"/>
    <w:rsid w:val="0024635D"/>
    <w:rsid w:val="00246946"/>
    <w:rsid w:val="00250258"/>
    <w:rsid w:val="0025042B"/>
    <w:rsid w:val="00251D23"/>
    <w:rsid w:val="00253A86"/>
    <w:rsid w:val="002557B6"/>
    <w:rsid w:val="00256B6B"/>
    <w:rsid w:val="002601CE"/>
    <w:rsid w:val="00261470"/>
    <w:rsid w:val="002634C4"/>
    <w:rsid w:val="00267709"/>
    <w:rsid w:val="002679C2"/>
    <w:rsid w:val="00273E4B"/>
    <w:rsid w:val="0027771E"/>
    <w:rsid w:val="0028334D"/>
    <w:rsid w:val="00283592"/>
    <w:rsid w:val="00285BE6"/>
    <w:rsid w:val="00286484"/>
    <w:rsid w:val="002871A7"/>
    <w:rsid w:val="00297C45"/>
    <w:rsid w:val="002A05D2"/>
    <w:rsid w:val="002A07E6"/>
    <w:rsid w:val="002A0995"/>
    <w:rsid w:val="002A31B4"/>
    <w:rsid w:val="002A358F"/>
    <w:rsid w:val="002A4A34"/>
    <w:rsid w:val="002A4D90"/>
    <w:rsid w:val="002A5E27"/>
    <w:rsid w:val="002A68F0"/>
    <w:rsid w:val="002B2BC5"/>
    <w:rsid w:val="002B34EC"/>
    <w:rsid w:val="002B35BB"/>
    <w:rsid w:val="002B3F23"/>
    <w:rsid w:val="002B6B3E"/>
    <w:rsid w:val="002B6D87"/>
    <w:rsid w:val="002B78F6"/>
    <w:rsid w:val="002C143A"/>
    <w:rsid w:val="002C2BF4"/>
    <w:rsid w:val="002D0370"/>
    <w:rsid w:val="002D17BE"/>
    <w:rsid w:val="002D4B99"/>
    <w:rsid w:val="002D58AB"/>
    <w:rsid w:val="002D6D78"/>
    <w:rsid w:val="002D7417"/>
    <w:rsid w:val="002E259B"/>
    <w:rsid w:val="002E2661"/>
    <w:rsid w:val="002E2C5E"/>
    <w:rsid w:val="002E45A0"/>
    <w:rsid w:val="002E5042"/>
    <w:rsid w:val="002E62FE"/>
    <w:rsid w:val="002F21D9"/>
    <w:rsid w:val="002F601D"/>
    <w:rsid w:val="002F638E"/>
    <w:rsid w:val="00301453"/>
    <w:rsid w:val="00304644"/>
    <w:rsid w:val="00307AA0"/>
    <w:rsid w:val="003114A5"/>
    <w:rsid w:val="00311B05"/>
    <w:rsid w:val="00311F65"/>
    <w:rsid w:val="0031226A"/>
    <w:rsid w:val="00312E24"/>
    <w:rsid w:val="00313618"/>
    <w:rsid w:val="00315401"/>
    <w:rsid w:val="00316195"/>
    <w:rsid w:val="00316A2C"/>
    <w:rsid w:val="00316F04"/>
    <w:rsid w:val="003226B3"/>
    <w:rsid w:val="00323CCE"/>
    <w:rsid w:val="0032737D"/>
    <w:rsid w:val="00335BBA"/>
    <w:rsid w:val="00337EF8"/>
    <w:rsid w:val="00340FDC"/>
    <w:rsid w:val="00343183"/>
    <w:rsid w:val="003449D6"/>
    <w:rsid w:val="003449EA"/>
    <w:rsid w:val="00345844"/>
    <w:rsid w:val="0035331D"/>
    <w:rsid w:val="00357231"/>
    <w:rsid w:val="00357760"/>
    <w:rsid w:val="00357D17"/>
    <w:rsid w:val="00357F8B"/>
    <w:rsid w:val="00361624"/>
    <w:rsid w:val="00362C5F"/>
    <w:rsid w:val="00364347"/>
    <w:rsid w:val="00366219"/>
    <w:rsid w:val="0037061B"/>
    <w:rsid w:val="003718C2"/>
    <w:rsid w:val="00371B1E"/>
    <w:rsid w:val="00371FCA"/>
    <w:rsid w:val="00373244"/>
    <w:rsid w:val="00376A56"/>
    <w:rsid w:val="0038040D"/>
    <w:rsid w:val="0038167A"/>
    <w:rsid w:val="003832A2"/>
    <w:rsid w:val="00385CEF"/>
    <w:rsid w:val="003862DD"/>
    <w:rsid w:val="003868B1"/>
    <w:rsid w:val="00387CD4"/>
    <w:rsid w:val="00392380"/>
    <w:rsid w:val="00392CDB"/>
    <w:rsid w:val="00392E32"/>
    <w:rsid w:val="00393567"/>
    <w:rsid w:val="00394631"/>
    <w:rsid w:val="00394649"/>
    <w:rsid w:val="00395DEA"/>
    <w:rsid w:val="00397D10"/>
    <w:rsid w:val="00397D90"/>
    <w:rsid w:val="003A0F2A"/>
    <w:rsid w:val="003A3D15"/>
    <w:rsid w:val="003A4E33"/>
    <w:rsid w:val="003A5135"/>
    <w:rsid w:val="003A6453"/>
    <w:rsid w:val="003B084E"/>
    <w:rsid w:val="003B11B7"/>
    <w:rsid w:val="003B1907"/>
    <w:rsid w:val="003B1C0D"/>
    <w:rsid w:val="003B1FAA"/>
    <w:rsid w:val="003B2106"/>
    <w:rsid w:val="003B241A"/>
    <w:rsid w:val="003B3C9C"/>
    <w:rsid w:val="003B4A71"/>
    <w:rsid w:val="003B4F0A"/>
    <w:rsid w:val="003B552E"/>
    <w:rsid w:val="003B5A5B"/>
    <w:rsid w:val="003C1ED1"/>
    <w:rsid w:val="003C26A9"/>
    <w:rsid w:val="003C2F3F"/>
    <w:rsid w:val="003C38A1"/>
    <w:rsid w:val="003C3BC4"/>
    <w:rsid w:val="003C41AA"/>
    <w:rsid w:val="003C57E8"/>
    <w:rsid w:val="003D05BE"/>
    <w:rsid w:val="003D3224"/>
    <w:rsid w:val="003D40E1"/>
    <w:rsid w:val="003D5AD3"/>
    <w:rsid w:val="003D6188"/>
    <w:rsid w:val="003D6BDC"/>
    <w:rsid w:val="003E1254"/>
    <w:rsid w:val="003E184F"/>
    <w:rsid w:val="003E1C9A"/>
    <w:rsid w:val="003E2301"/>
    <w:rsid w:val="003E3C62"/>
    <w:rsid w:val="003E42D2"/>
    <w:rsid w:val="003E4BE4"/>
    <w:rsid w:val="003E732E"/>
    <w:rsid w:val="003F3D08"/>
    <w:rsid w:val="003F52F4"/>
    <w:rsid w:val="003F777A"/>
    <w:rsid w:val="004009E8"/>
    <w:rsid w:val="00400EF5"/>
    <w:rsid w:val="00406461"/>
    <w:rsid w:val="004065D2"/>
    <w:rsid w:val="004078C4"/>
    <w:rsid w:val="0041013C"/>
    <w:rsid w:val="0041107B"/>
    <w:rsid w:val="004135D0"/>
    <w:rsid w:val="00413F5E"/>
    <w:rsid w:val="0041439D"/>
    <w:rsid w:val="00414B7B"/>
    <w:rsid w:val="00415446"/>
    <w:rsid w:val="00415AD3"/>
    <w:rsid w:val="00415B1D"/>
    <w:rsid w:val="004238BC"/>
    <w:rsid w:val="0042392E"/>
    <w:rsid w:val="00427607"/>
    <w:rsid w:val="004300A9"/>
    <w:rsid w:val="00431C8D"/>
    <w:rsid w:val="0043224B"/>
    <w:rsid w:val="00435134"/>
    <w:rsid w:val="0043647D"/>
    <w:rsid w:val="004368C4"/>
    <w:rsid w:val="00437DAD"/>
    <w:rsid w:val="00437E7A"/>
    <w:rsid w:val="00440575"/>
    <w:rsid w:val="00441EFF"/>
    <w:rsid w:val="004429CD"/>
    <w:rsid w:val="00442A8E"/>
    <w:rsid w:val="0044314F"/>
    <w:rsid w:val="0044422E"/>
    <w:rsid w:val="00444E3C"/>
    <w:rsid w:val="00446A26"/>
    <w:rsid w:val="00447AFF"/>
    <w:rsid w:val="00450E02"/>
    <w:rsid w:val="004521DD"/>
    <w:rsid w:val="004556BF"/>
    <w:rsid w:val="00456195"/>
    <w:rsid w:val="004565DD"/>
    <w:rsid w:val="0045753C"/>
    <w:rsid w:val="00457AAA"/>
    <w:rsid w:val="00461B17"/>
    <w:rsid w:val="0046205E"/>
    <w:rsid w:val="00464263"/>
    <w:rsid w:val="004649E3"/>
    <w:rsid w:val="00464BAD"/>
    <w:rsid w:val="00464E1A"/>
    <w:rsid w:val="004650C6"/>
    <w:rsid w:val="00465157"/>
    <w:rsid w:val="004669F6"/>
    <w:rsid w:val="0047192F"/>
    <w:rsid w:val="0047242C"/>
    <w:rsid w:val="00476C40"/>
    <w:rsid w:val="004777CE"/>
    <w:rsid w:val="00482306"/>
    <w:rsid w:val="0048393E"/>
    <w:rsid w:val="004846B9"/>
    <w:rsid w:val="00485BD8"/>
    <w:rsid w:val="004876B7"/>
    <w:rsid w:val="00487DFE"/>
    <w:rsid w:val="00491C54"/>
    <w:rsid w:val="00493519"/>
    <w:rsid w:val="00494359"/>
    <w:rsid w:val="0049737F"/>
    <w:rsid w:val="00497690"/>
    <w:rsid w:val="004A1594"/>
    <w:rsid w:val="004A2931"/>
    <w:rsid w:val="004A4EC7"/>
    <w:rsid w:val="004A6E2A"/>
    <w:rsid w:val="004B0C76"/>
    <w:rsid w:val="004B36EA"/>
    <w:rsid w:val="004B4FE3"/>
    <w:rsid w:val="004B5FEA"/>
    <w:rsid w:val="004B6A60"/>
    <w:rsid w:val="004C19A0"/>
    <w:rsid w:val="004C1B6F"/>
    <w:rsid w:val="004C296E"/>
    <w:rsid w:val="004C6E75"/>
    <w:rsid w:val="004C70DB"/>
    <w:rsid w:val="004C7636"/>
    <w:rsid w:val="004D2DF6"/>
    <w:rsid w:val="004D3250"/>
    <w:rsid w:val="004D5576"/>
    <w:rsid w:val="004D642E"/>
    <w:rsid w:val="004E074C"/>
    <w:rsid w:val="004E0A04"/>
    <w:rsid w:val="004E1283"/>
    <w:rsid w:val="004E3626"/>
    <w:rsid w:val="004E48FC"/>
    <w:rsid w:val="004E52DB"/>
    <w:rsid w:val="004E5E85"/>
    <w:rsid w:val="004E73A3"/>
    <w:rsid w:val="004F0C66"/>
    <w:rsid w:val="004F1638"/>
    <w:rsid w:val="004F2B34"/>
    <w:rsid w:val="004F4928"/>
    <w:rsid w:val="004F4EE1"/>
    <w:rsid w:val="004F4F13"/>
    <w:rsid w:val="004F5238"/>
    <w:rsid w:val="004F525A"/>
    <w:rsid w:val="004F5C80"/>
    <w:rsid w:val="004F679A"/>
    <w:rsid w:val="004F68BC"/>
    <w:rsid w:val="004F74FD"/>
    <w:rsid w:val="005010D6"/>
    <w:rsid w:val="00501E0A"/>
    <w:rsid w:val="00503C85"/>
    <w:rsid w:val="00511B2C"/>
    <w:rsid w:val="00511F42"/>
    <w:rsid w:val="00512FCA"/>
    <w:rsid w:val="00514D79"/>
    <w:rsid w:val="00515A1C"/>
    <w:rsid w:val="0051641E"/>
    <w:rsid w:val="00516614"/>
    <w:rsid w:val="0052117A"/>
    <w:rsid w:val="0052190B"/>
    <w:rsid w:val="00522EC2"/>
    <w:rsid w:val="00523D3A"/>
    <w:rsid w:val="00525808"/>
    <w:rsid w:val="00526D0E"/>
    <w:rsid w:val="00526E94"/>
    <w:rsid w:val="0052796B"/>
    <w:rsid w:val="005302DA"/>
    <w:rsid w:val="00530F9A"/>
    <w:rsid w:val="00531C99"/>
    <w:rsid w:val="005326D2"/>
    <w:rsid w:val="00537744"/>
    <w:rsid w:val="00542106"/>
    <w:rsid w:val="005447C4"/>
    <w:rsid w:val="00546507"/>
    <w:rsid w:val="00547086"/>
    <w:rsid w:val="0055185D"/>
    <w:rsid w:val="005553EE"/>
    <w:rsid w:val="00555EA7"/>
    <w:rsid w:val="005560B4"/>
    <w:rsid w:val="005560FC"/>
    <w:rsid w:val="00556864"/>
    <w:rsid w:val="00557014"/>
    <w:rsid w:val="00562524"/>
    <w:rsid w:val="00562B4E"/>
    <w:rsid w:val="00562CE1"/>
    <w:rsid w:val="005631F9"/>
    <w:rsid w:val="00563EA8"/>
    <w:rsid w:val="00566F5E"/>
    <w:rsid w:val="0057004D"/>
    <w:rsid w:val="00572EC3"/>
    <w:rsid w:val="00573C56"/>
    <w:rsid w:val="00575E37"/>
    <w:rsid w:val="00576B6D"/>
    <w:rsid w:val="0057738D"/>
    <w:rsid w:val="00586763"/>
    <w:rsid w:val="00590756"/>
    <w:rsid w:val="005907DF"/>
    <w:rsid w:val="005929FB"/>
    <w:rsid w:val="0059389E"/>
    <w:rsid w:val="005A05F6"/>
    <w:rsid w:val="005A0A9A"/>
    <w:rsid w:val="005A17E6"/>
    <w:rsid w:val="005A2393"/>
    <w:rsid w:val="005A28EC"/>
    <w:rsid w:val="005A4AB8"/>
    <w:rsid w:val="005A4CBD"/>
    <w:rsid w:val="005B0CEB"/>
    <w:rsid w:val="005B1660"/>
    <w:rsid w:val="005B52C5"/>
    <w:rsid w:val="005B7C7D"/>
    <w:rsid w:val="005C0364"/>
    <w:rsid w:val="005C228B"/>
    <w:rsid w:val="005C4796"/>
    <w:rsid w:val="005C493A"/>
    <w:rsid w:val="005C5513"/>
    <w:rsid w:val="005C7F7C"/>
    <w:rsid w:val="005D0B61"/>
    <w:rsid w:val="005D27A0"/>
    <w:rsid w:val="005D70EE"/>
    <w:rsid w:val="005D7181"/>
    <w:rsid w:val="005D76DB"/>
    <w:rsid w:val="005E0F9A"/>
    <w:rsid w:val="005E1461"/>
    <w:rsid w:val="005E2A7D"/>
    <w:rsid w:val="005E2B7A"/>
    <w:rsid w:val="005E2D6C"/>
    <w:rsid w:val="005F11F7"/>
    <w:rsid w:val="005F3217"/>
    <w:rsid w:val="006001CC"/>
    <w:rsid w:val="006046C5"/>
    <w:rsid w:val="0060645A"/>
    <w:rsid w:val="00606FB1"/>
    <w:rsid w:val="00610482"/>
    <w:rsid w:val="00610BD3"/>
    <w:rsid w:val="006117A0"/>
    <w:rsid w:val="00620974"/>
    <w:rsid w:val="006225DB"/>
    <w:rsid w:val="00627105"/>
    <w:rsid w:val="00627759"/>
    <w:rsid w:val="00627FE5"/>
    <w:rsid w:val="00630855"/>
    <w:rsid w:val="00631E3C"/>
    <w:rsid w:val="006323AE"/>
    <w:rsid w:val="00633AC7"/>
    <w:rsid w:val="0063430E"/>
    <w:rsid w:val="00636B21"/>
    <w:rsid w:val="00636C2F"/>
    <w:rsid w:val="00640EFE"/>
    <w:rsid w:val="00641B98"/>
    <w:rsid w:val="0064247C"/>
    <w:rsid w:val="006439A6"/>
    <w:rsid w:val="00643B35"/>
    <w:rsid w:val="006467E6"/>
    <w:rsid w:val="00652C36"/>
    <w:rsid w:val="0065611C"/>
    <w:rsid w:val="006568CF"/>
    <w:rsid w:val="00656F52"/>
    <w:rsid w:val="00660441"/>
    <w:rsid w:val="00664289"/>
    <w:rsid w:val="00666A3C"/>
    <w:rsid w:val="00666D19"/>
    <w:rsid w:val="006676F2"/>
    <w:rsid w:val="00667BD3"/>
    <w:rsid w:val="00671779"/>
    <w:rsid w:val="00673B57"/>
    <w:rsid w:val="00676BF6"/>
    <w:rsid w:val="00681516"/>
    <w:rsid w:val="00683732"/>
    <w:rsid w:val="006855BF"/>
    <w:rsid w:val="00685B16"/>
    <w:rsid w:val="00686D76"/>
    <w:rsid w:val="00687A0B"/>
    <w:rsid w:val="0069091F"/>
    <w:rsid w:val="00691949"/>
    <w:rsid w:val="0069197D"/>
    <w:rsid w:val="006923E5"/>
    <w:rsid w:val="00694E65"/>
    <w:rsid w:val="006951F0"/>
    <w:rsid w:val="00695BFD"/>
    <w:rsid w:val="006A19C7"/>
    <w:rsid w:val="006A251F"/>
    <w:rsid w:val="006A634C"/>
    <w:rsid w:val="006A644B"/>
    <w:rsid w:val="006A7645"/>
    <w:rsid w:val="006A7D88"/>
    <w:rsid w:val="006B17CC"/>
    <w:rsid w:val="006B1ED6"/>
    <w:rsid w:val="006B591B"/>
    <w:rsid w:val="006B5CD2"/>
    <w:rsid w:val="006B63A6"/>
    <w:rsid w:val="006B671B"/>
    <w:rsid w:val="006B78FA"/>
    <w:rsid w:val="006C60B9"/>
    <w:rsid w:val="006C66C7"/>
    <w:rsid w:val="006C7F68"/>
    <w:rsid w:val="006D30A3"/>
    <w:rsid w:val="006D34FD"/>
    <w:rsid w:val="006D7DD3"/>
    <w:rsid w:val="006D7DF4"/>
    <w:rsid w:val="006E0B38"/>
    <w:rsid w:val="006E0BB5"/>
    <w:rsid w:val="006E4BBB"/>
    <w:rsid w:val="006E5503"/>
    <w:rsid w:val="006E711E"/>
    <w:rsid w:val="006E796A"/>
    <w:rsid w:val="006F39C8"/>
    <w:rsid w:val="006F44C3"/>
    <w:rsid w:val="006F482A"/>
    <w:rsid w:val="006F4A5E"/>
    <w:rsid w:val="006F551D"/>
    <w:rsid w:val="006F68F6"/>
    <w:rsid w:val="006F77C9"/>
    <w:rsid w:val="006F7BD6"/>
    <w:rsid w:val="00700C8F"/>
    <w:rsid w:val="007026CB"/>
    <w:rsid w:val="00702E7D"/>
    <w:rsid w:val="0070300F"/>
    <w:rsid w:val="00705C73"/>
    <w:rsid w:val="007067AD"/>
    <w:rsid w:val="00710072"/>
    <w:rsid w:val="0071196B"/>
    <w:rsid w:val="007121D3"/>
    <w:rsid w:val="007127AC"/>
    <w:rsid w:val="0071305D"/>
    <w:rsid w:val="0071518D"/>
    <w:rsid w:val="00716177"/>
    <w:rsid w:val="0071626B"/>
    <w:rsid w:val="0071710E"/>
    <w:rsid w:val="0071743B"/>
    <w:rsid w:val="0071788D"/>
    <w:rsid w:val="00717BDE"/>
    <w:rsid w:val="007210D7"/>
    <w:rsid w:val="00721861"/>
    <w:rsid w:val="007225CB"/>
    <w:rsid w:val="007249D0"/>
    <w:rsid w:val="00726813"/>
    <w:rsid w:val="00733C10"/>
    <w:rsid w:val="00733EF0"/>
    <w:rsid w:val="0073482D"/>
    <w:rsid w:val="00736BB8"/>
    <w:rsid w:val="00737F7C"/>
    <w:rsid w:val="007401A8"/>
    <w:rsid w:val="0074161A"/>
    <w:rsid w:val="00741F7A"/>
    <w:rsid w:val="007446DB"/>
    <w:rsid w:val="007452F1"/>
    <w:rsid w:val="007479B7"/>
    <w:rsid w:val="007510C3"/>
    <w:rsid w:val="0075447F"/>
    <w:rsid w:val="0075498B"/>
    <w:rsid w:val="00755CD7"/>
    <w:rsid w:val="0075794A"/>
    <w:rsid w:val="00760E79"/>
    <w:rsid w:val="007621CC"/>
    <w:rsid w:val="007636D0"/>
    <w:rsid w:val="00763733"/>
    <w:rsid w:val="007646A3"/>
    <w:rsid w:val="00764FE1"/>
    <w:rsid w:val="00770B1D"/>
    <w:rsid w:val="00774A2E"/>
    <w:rsid w:val="00774AFA"/>
    <w:rsid w:val="00774CE4"/>
    <w:rsid w:val="0077521D"/>
    <w:rsid w:val="007772FC"/>
    <w:rsid w:val="007774AE"/>
    <w:rsid w:val="00777826"/>
    <w:rsid w:val="00777C60"/>
    <w:rsid w:val="00782711"/>
    <w:rsid w:val="0078551B"/>
    <w:rsid w:val="00787230"/>
    <w:rsid w:val="00790C15"/>
    <w:rsid w:val="00790EE7"/>
    <w:rsid w:val="00791281"/>
    <w:rsid w:val="00795985"/>
    <w:rsid w:val="00796357"/>
    <w:rsid w:val="00797D25"/>
    <w:rsid w:val="007A0B8F"/>
    <w:rsid w:val="007A102C"/>
    <w:rsid w:val="007A217E"/>
    <w:rsid w:val="007A26F0"/>
    <w:rsid w:val="007A6DD8"/>
    <w:rsid w:val="007A7C41"/>
    <w:rsid w:val="007B0071"/>
    <w:rsid w:val="007B066E"/>
    <w:rsid w:val="007B71F0"/>
    <w:rsid w:val="007C0627"/>
    <w:rsid w:val="007C12E7"/>
    <w:rsid w:val="007C29A1"/>
    <w:rsid w:val="007C4CEE"/>
    <w:rsid w:val="007C5562"/>
    <w:rsid w:val="007C60B5"/>
    <w:rsid w:val="007C6DA0"/>
    <w:rsid w:val="007D210D"/>
    <w:rsid w:val="007D23E6"/>
    <w:rsid w:val="007D3388"/>
    <w:rsid w:val="007D3966"/>
    <w:rsid w:val="007D50DB"/>
    <w:rsid w:val="007E11F5"/>
    <w:rsid w:val="007E6D45"/>
    <w:rsid w:val="007F07DF"/>
    <w:rsid w:val="007F1DE0"/>
    <w:rsid w:val="007F4631"/>
    <w:rsid w:val="007F5D95"/>
    <w:rsid w:val="007F614E"/>
    <w:rsid w:val="007F68B1"/>
    <w:rsid w:val="007F70F5"/>
    <w:rsid w:val="00803AA3"/>
    <w:rsid w:val="0080561D"/>
    <w:rsid w:val="00805687"/>
    <w:rsid w:val="00805D19"/>
    <w:rsid w:val="008070AD"/>
    <w:rsid w:val="008112DA"/>
    <w:rsid w:val="00812DD2"/>
    <w:rsid w:val="00814260"/>
    <w:rsid w:val="00814E09"/>
    <w:rsid w:val="008155E7"/>
    <w:rsid w:val="00816CA7"/>
    <w:rsid w:val="008174A2"/>
    <w:rsid w:val="00821275"/>
    <w:rsid w:val="00823AAC"/>
    <w:rsid w:val="00824AD7"/>
    <w:rsid w:val="00825EAA"/>
    <w:rsid w:val="00827FBC"/>
    <w:rsid w:val="0083036F"/>
    <w:rsid w:val="00831965"/>
    <w:rsid w:val="008329E6"/>
    <w:rsid w:val="00833791"/>
    <w:rsid w:val="00833995"/>
    <w:rsid w:val="008339BC"/>
    <w:rsid w:val="008340B1"/>
    <w:rsid w:val="00834C78"/>
    <w:rsid w:val="008365C4"/>
    <w:rsid w:val="008366AB"/>
    <w:rsid w:val="0083670E"/>
    <w:rsid w:val="00842918"/>
    <w:rsid w:val="00842B64"/>
    <w:rsid w:val="00842F38"/>
    <w:rsid w:val="008465A6"/>
    <w:rsid w:val="008505C5"/>
    <w:rsid w:val="00851437"/>
    <w:rsid w:val="0085183F"/>
    <w:rsid w:val="00861B69"/>
    <w:rsid w:val="00863379"/>
    <w:rsid w:val="008640E2"/>
    <w:rsid w:val="00866A5C"/>
    <w:rsid w:val="00875172"/>
    <w:rsid w:val="00881508"/>
    <w:rsid w:val="00883998"/>
    <w:rsid w:val="00884989"/>
    <w:rsid w:val="008861D4"/>
    <w:rsid w:val="00892DA8"/>
    <w:rsid w:val="0089597E"/>
    <w:rsid w:val="008A23AA"/>
    <w:rsid w:val="008A3B6F"/>
    <w:rsid w:val="008A588F"/>
    <w:rsid w:val="008A68BF"/>
    <w:rsid w:val="008A6E44"/>
    <w:rsid w:val="008A7825"/>
    <w:rsid w:val="008B6EC6"/>
    <w:rsid w:val="008C1833"/>
    <w:rsid w:val="008C2026"/>
    <w:rsid w:val="008C2AC3"/>
    <w:rsid w:val="008C41F6"/>
    <w:rsid w:val="008C5017"/>
    <w:rsid w:val="008C747A"/>
    <w:rsid w:val="008D074F"/>
    <w:rsid w:val="008D5246"/>
    <w:rsid w:val="008D616F"/>
    <w:rsid w:val="008D7C02"/>
    <w:rsid w:val="008E26BC"/>
    <w:rsid w:val="008F1439"/>
    <w:rsid w:val="008F2755"/>
    <w:rsid w:val="008F2CC1"/>
    <w:rsid w:val="008F3118"/>
    <w:rsid w:val="008F429C"/>
    <w:rsid w:val="008F5D8D"/>
    <w:rsid w:val="008F68DF"/>
    <w:rsid w:val="008F7360"/>
    <w:rsid w:val="009006D5"/>
    <w:rsid w:val="00901209"/>
    <w:rsid w:val="00901254"/>
    <w:rsid w:val="00901CCB"/>
    <w:rsid w:val="0090550E"/>
    <w:rsid w:val="009059E1"/>
    <w:rsid w:val="009060D9"/>
    <w:rsid w:val="00906A98"/>
    <w:rsid w:val="009075B8"/>
    <w:rsid w:val="00911146"/>
    <w:rsid w:val="0091488D"/>
    <w:rsid w:val="00914A35"/>
    <w:rsid w:val="00915A50"/>
    <w:rsid w:val="00915EF6"/>
    <w:rsid w:val="009162C1"/>
    <w:rsid w:val="00916CDA"/>
    <w:rsid w:val="00917AD6"/>
    <w:rsid w:val="00917AEB"/>
    <w:rsid w:val="00917D83"/>
    <w:rsid w:val="0092526E"/>
    <w:rsid w:val="00925918"/>
    <w:rsid w:val="00926CE3"/>
    <w:rsid w:val="00931C70"/>
    <w:rsid w:val="009327C8"/>
    <w:rsid w:val="0093330B"/>
    <w:rsid w:val="0093536D"/>
    <w:rsid w:val="00935441"/>
    <w:rsid w:val="0093561F"/>
    <w:rsid w:val="00935BBC"/>
    <w:rsid w:val="00940C1A"/>
    <w:rsid w:val="0094124E"/>
    <w:rsid w:val="00941B16"/>
    <w:rsid w:val="00943BBF"/>
    <w:rsid w:val="009469A9"/>
    <w:rsid w:val="009471BC"/>
    <w:rsid w:val="009525B0"/>
    <w:rsid w:val="0095350F"/>
    <w:rsid w:val="009546B0"/>
    <w:rsid w:val="0095537C"/>
    <w:rsid w:val="009608C6"/>
    <w:rsid w:val="00960CDC"/>
    <w:rsid w:val="0096152B"/>
    <w:rsid w:val="00961C62"/>
    <w:rsid w:val="0096233C"/>
    <w:rsid w:val="00964536"/>
    <w:rsid w:val="00966EA7"/>
    <w:rsid w:val="00967DA3"/>
    <w:rsid w:val="00971EF5"/>
    <w:rsid w:val="00974E60"/>
    <w:rsid w:val="009750FE"/>
    <w:rsid w:val="00975A61"/>
    <w:rsid w:val="009812F3"/>
    <w:rsid w:val="0098140E"/>
    <w:rsid w:val="0098314C"/>
    <w:rsid w:val="009866D4"/>
    <w:rsid w:val="00992530"/>
    <w:rsid w:val="00992D66"/>
    <w:rsid w:val="00993A48"/>
    <w:rsid w:val="009967C9"/>
    <w:rsid w:val="00996DA9"/>
    <w:rsid w:val="009A0BFB"/>
    <w:rsid w:val="009A2D75"/>
    <w:rsid w:val="009A30F0"/>
    <w:rsid w:val="009A43C1"/>
    <w:rsid w:val="009A4D6E"/>
    <w:rsid w:val="009A4DBB"/>
    <w:rsid w:val="009A4F63"/>
    <w:rsid w:val="009A79D1"/>
    <w:rsid w:val="009A79FA"/>
    <w:rsid w:val="009B03BB"/>
    <w:rsid w:val="009B3595"/>
    <w:rsid w:val="009B3742"/>
    <w:rsid w:val="009B3EA7"/>
    <w:rsid w:val="009B5B91"/>
    <w:rsid w:val="009B5E29"/>
    <w:rsid w:val="009C1768"/>
    <w:rsid w:val="009C475B"/>
    <w:rsid w:val="009C4778"/>
    <w:rsid w:val="009C6B85"/>
    <w:rsid w:val="009C7E64"/>
    <w:rsid w:val="009D06E5"/>
    <w:rsid w:val="009D0F90"/>
    <w:rsid w:val="009D6055"/>
    <w:rsid w:val="009D6678"/>
    <w:rsid w:val="009D73F8"/>
    <w:rsid w:val="009E177D"/>
    <w:rsid w:val="009E3387"/>
    <w:rsid w:val="009E4C21"/>
    <w:rsid w:val="009F3329"/>
    <w:rsid w:val="009F3A2D"/>
    <w:rsid w:val="009F49FB"/>
    <w:rsid w:val="009F4AC6"/>
    <w:rsid w:val="009F4BC9"/>
    <w:rsid w:val="009F5AB8"/>
    <w:rsid w:val="009F5BDC"/>
    <w:rsid w:val="009F7278"/>
    <w:rsid w:val="009F7A08"/>
    <w:rsid w:val="00A0029C"/>
    <w:rsid w:val="00A00FF3"/>
    <w:rsid w:val="00A01274"/>
    <w:rsid w:val="00A01B07"/>
    <w:rsid w:val="00A024A1"/>
    <w:rsid w:val="00A046EB"/>
    <w:rsid w:val="00A0482B"/>
    <w:rsid w:val="00A05ADB"/>
    <w:rsid w:val="00A11956"/>
    <w:rsid w:val="00A13522"/>
    <w:rsid w:val="00A13FE9"/>
    <w:rsid w:val="00A14CB9"/>
    <w:rsid w:val="00A15634"/>
    <w:rsid w:val="00A21DA8"/>
    <w:rsid w:val="00A225EE"/>
    <w:rsid w:val="00A22AA8"/>
    <w:rsid w:val="00A23403"/>
    <w:rsid w:val="00A253C7"/>
    <w:rsid w:val="00A25CEA"/>
    <w:rsid w:val="00A30171"/>
    <w:rsid w:val="00A315BA"/>
    <w:rsid w:val="00A321D3"/>
    <w:rsid w:val="00A33909"/>
    <w:rsid w:val="00A34876"/>
    <w:rsid w:val="00A364CF"/>
    <w:rsid w:val="00A40CA0"/>
    <w:rsid w:val="00A4202E"/>
    <w:rsid w:val="00A422B1"/>
    <w:rsid w:val="00A42993"/>
    <w:rsid w:val="00A43FE8"/>
    <w:rsid w:val="00A500E0"/>
    <w:rsid w:val="00A504D0"/>
    <w:rsid w:val="00A505BE"/>
    <w:rsid w:val="00A511B6"/>
    <w:rsid w:val="00A54914"/>
    <w:rsid w:val="00A6286B"/>
    <w:rsid w:val="00A628DE"/>
    <w:rsid w:val="00A63E8D"/>
    <w:rsid w:val="00A6433E"/>
    <w:rsid w:val="00A6485A"/>
    <w:rsid w:val="00A64CFF"/>
    <w:rsid w:val="00A64F63"/>
    <w:rsid w:val="00A65464"/>
    <w:rsid w:val="00A66684"/>
    <w:rsid w:val="00A70EC6"/>
    <w:rsid w:val="00A71F7A"/>
    <w:rsid w:val="00A7319C"/>
    <w:rsid w:val="00A756DB"/>
    <w:rsid w:val="00A76876"/>
    <w:rsid w:val="00A8001E"/>
    <w:rsid w:val="00A8044F"/>
    <w:rsid w:val="00A805AA"/>
    <w:rsid w:val="00A835B8"/>
    <w:rsid w:val="00A84B98"/>
    <w:rsid w:val="00A916C4"/>
    <w:rsid w:val="00A91E41"/>
    <w:rsid w:val="00A92AD0"/>
    <w:rsid w:val="00A93AEA"/>
    <w:rsid w:val="00A94D73"/>
    <w:rsid w:val="00A97FA0"/>
    <w:rsid w:val="00AA09C9"/>
    <w:rsid w:val="00AA0C5E"/>
    <w:rsid w:val="00AA1A5F"/>
    <w:rsid w:val="00AA4310"/>
    <w:rsid w:val="00AA608A"/>
    <w:rsid w:val="00AA6AD1"/>
    <w:rsid w:val="00AA732F"/>
    <w:rsid w:val="00AA7880"/>
    <w:rsid w:val="00AB0473"/>
    <w:rsid w:val="00AB1381"/>
    <w:rsid w:val="00AB1E81"/>
    <w:rsid w:val="00AB4566"/>
    <w:rsid w:val="00AB4E7D"/>
    <w:rsid w:val="00AB5622"/>
    <w:rsid w:val="00AB5E41"/>
    <w:rsid w:val="00AB6E99"/>
    <w:rsid w:val="00AB7877"/>
    <w:rsid w:val="00AC0864"/>
    <w:rsid w:val="00AC1E4F"/>
    <w:rsid w:val="00AC2D44"/>
    <w:rsid w:val="00AC5658"/>
    <w:rsid w:val="00AC722B"/>
    <w:rsid w:val="00AD009F"/>
    <w:rsid w:val="00AD1FFB"/>
    <w:rsid w:val="00AD5068"/>
    <w:rsid w:val="00AD6086"/>
    <w:rsid w:val="00AD7730"/>
    <w:rsid w:val="00AD791D"/>
    <w:rsid w:val="00AD7AEC"/>
    <w:rsid w:val="00AE69FB"/>
    <w:rsid w:val="00AF0DE2"/>
    <w:rsid w:val="00AF1202"/>
    <w:rsid w:val="00AF1BA0"/>
    <w:rsid w:val="00AF206C"/>
    <w:rsid w:val="00AF44B9"/>
    <w:rsid w:val="00B078D3"/>
    <w:rsid w:val="00B10D1E"/>
    <w:rsid w:val="00B137CF"/>
    <w:rsid w:val="00B176F4"/>
    <w:rsid w:val="00B1798A"/>
    <w:rsid w:val="00B274DE"/>
    <w:rsid w:val="00B33A34"/>
    <w:rsid w:val="00B35DA9"/>
    <w:rsid w:val="00B35DCD"/>
    <w:rsid w:val="00B36B62"/>
    <w:rsid w:val="00B37E52"/>
    <w:rsid w:val="00B408D4"/>
    <w:rsid w:val="00B40E42"/>
    <w:rsid w:val="00B411F2"/>
    <w:rsid w:val="00B41326"/>
    <w:rsid w:val="00B436BD"/>
    <w:rsid w:val="00B441E6"/>
    <w:rsid w:val="00B44CAC"/>
    <w:rsid w:val="00B44EA3"/>
    <w:rsid w:val="00B45D2C"/>
    <w:rsid w:val="00B500C9"/>
    <w:rsid w:val="00B50F3C"/>
    <w:rsid w:val="00B514A9"/>
    <w:rsid w:val="00B515DA"/>
    <w:rsid w:val="00B52A76"/>
    <w:rsid w:val="00B534D4"/>
    <w:rsid w:val="00B557D8"/>
    <w:rsid w:val="00B55C07"/>
    <w:rsid w:val="00B578A9"/>
    <w:rsid w:val="00B60DA1"/>
    <w:rsid w:val="00B61444"/>
    <w:rsid w:val="00B61FB4"/>
    <w:rsid w:val="00B62255"/>
    <w:rsid w:val="00B6351E"/>
    <w:rsid w:val="00B6449E"/>
    <w:rsid w:val="00B65E9B"/>
    <w:rsid w:val="00B6603F"/>
    <w:rsid w:val="00B70101"/>
    <w:rsid w:val="00B7104E"/>
    <w:rsid w:val="00B71659"/>
    <w:rsid w:val="00B71A86"/>
    <w:rsid w:val="00B71EE7"/>
    <w:rsid w:val="00B7289E"/>
    <w:rsid w:val="00B7498B"/>
    <w:rsid w:val="00B754E6"/>
    <w:rsid w:val="00B7683E"/>
    <w:rsid w:val="00B774B6"/>
    <w:rsid w:val="00B77930"/>
    <w:rsid w:val="00B81156"/>
    <w:rsid w:val="00B86025"/>
    <w:rsid w:val="00B86DDF"/>
    <w:rsid w:val="00B937EC"/>
    <w:rsid w:val="00B93D49"/>
    <w:rsid w:val="00B93FDD"/>
    <w:rsid w:val="00B94706"/>
    <w:rsid w:val="00B952C4"/>
    <w:rsid w:val="00B95D02"/>
    <w:rsid w:val="00B9649F"/>
    <w:rsid w:val="00BA0025"/>
    <w:rsid w:val="00BA1DC4"/>
    <w:rsid w:val="00BA294C"/>
    <w:rsid w:val="00BA2D80"/>
    <w:rsid w:val="00BA3377"/>
    <w:rsid w:val="00BA6652"/>
    <w:rsid w:val="00BA6E09"/>
    <w:rsid w:val="00BA77F9"/>
    <w:rsid w:val="00BB2A28"/>
    <w:rsid w:val="00BB2FA0"/>
    <w:rsid w:val="00BB6C13"/>
    <w:rsid w:val="00BB7596"/>
    <w:rsid w:val="00BB7C4C"/>
    <w:rsid w:val="00BC14BC"/>
    <w:rsid w:val="00BC45AD"/>
    <w:rsid w:val="00BC5100"/>
    <w:rsid w:val="00BC58B1"/>
    <w:rsid w:val="00BC5B4A"/>
    <w:rsid w:val="00BD08C9"/>
    <w:rsid w:val="00BD150C"/>
    <w:rsid w:val="00BD56F3"/>
    <w:rsid w:val="00BD6474"/>
    <w:rsid w:val="00BD682E"/>
    <w:rsid w:val="00BD7C98"/>
    <w:rsid w:val="00BE1725"/>
    <w:rsid w:val="00BE2DF4"/>
    <w:rsid w:val="00BE6014"/>
    <w:rsid w:val="00BE6A90"/>
    <w:rsid w:val="00BE6AEC"/>
    <w:rsid w:val="00BF073F"/>
    <w:rsid w:val="00BF17CE"/>
    <w:rsid w:val="00BF1B8B"/>
    <w:rsid w:val="00BF25C6"/>
    <w:rsid w:val="00BF360E"/>
    <w:rsid w:val="00BF4005"/>
    <w:rsid w:val="00C03FB1"/>
    <w:rsid w:val="00C0424D"/>
    <w:rsid w:val="00C06776"/>
    <w:rsid w:val="00C0747F"/>
    <w:rsid w:val="00C07489"/>
    <w:rsid w:val="00C07C1A"/>
    <w:rsid w:val="00C10902"/>
    <w:rsid w:val="00C12B9E"/>
    <w:rsid w:val="00C12FA4"/>
    <w:rsid w:val="00C1339A"/>
    <w:rsid w:val="00C13997"/>
    <w:rsid w:val="00C13A6B"/>
    <w:rsid w:val="00C14ADD"/>
    <w:rsid w:val="00C16BE5"/>
    <w:rsid w:val="00C17381"/>
    <w:rsid w:val="00C17E98"/>
    <w:rsid w:val="00C20B21"/>
    <w:rsid w:val="00C22987"/>
    <w:rsid w:val="00C22C02"/>
    <w:rsid w:val="00C23522"/>
    <w:rsid w:val="00C23926"/>
    <w:rsid w:val="00C26528"/>
    <w:rsid w:val="00C2739F"/>
    <w:rsid w:val="00C2762E"/>
    <w:rsid w:val="00C42C14"/>
    <w:rsid w:val="00C46796"/>
    <w:rsid w:val="00C473A5"/>
    <w:rsid w:val="00C47545"/>
    <w:rsid w:val="00C47F15"/>
    <w:rsid w:val="00C50584"/>
    <w:rsid w:val="00C51106"/>
    <w:rsid w:val="00C513F2"/>
    <w:rsid w:val="00C5380B"/>
    <w:rsid w:val="00C53D2E"/>
    <w:rsid w:val="00C54EB0"/>
    <w:rsid w:val="00C552AC"/>
    <w:rsid w:val="00C55EF6"/>
    <w:rsid w:val="00C562B1"/>
    <w:rsid w:val="00C607CD"/>
    <w:rsid w:val="00C610E1"/>
    <w:rsid w:val="00C629F3"/>
    <w:rsid w:val="00C631E4"/>
    <w:rsid w:val="00C640D6"/>
    <w:rsid w:val="00C65F82"/>
    <w:rsid w:val="00C67EFF"/>
    <w:rsid w:val="00C82A3C"/>
    <w:rsid w:val="00C83434"/>
    <w:rsid w:val="00C83A61"/>
    <w:rsid w:val="00C8434D"/>
    <w:rsid w:val="00C849C7"/>
    <w:rsid w:val="00C868EF"/>
    <w:rsid w:val="00C872E1"/>
    <w:rsid w:val="00C907CF"/>
    <w:rsid w:val="00C9284D"/>
    <w:rsid w:val="00C942A0"/>
    <w:rsid w:val="00C949B1"/>
    <w:rsid w:val="00C9743C"/>
    <w:rsid w:val="00C97754"/>
    <w:rsid w:val="00CA09EF"/>
    <w:rsid w:val="00CA0D30"/>
    <w:rsid w:val="00CA3793"/>
    <w:rsid w:val="00CA43CE"/>
    <w:rsid w:val="00CA4FB9"/>
    <w:rsid w:val="00CB00CF"/>
    <w:rsid w:val="00CB08D3"/>
    <w:rsid w:val="00CB09EF"/>
    <w:rsid w:val="00CB0BB9"/>
    <w:rsid w:val="00CB3774"/>
    <w:rsid w:val="00CB532B"/>
    <w:rsid w:val="00CB537B"/>
    <w:rsid w:val="00CB6412"/>
    <w:rsid w:val="00CC170A"/>
    <w:rsid w:val="00CC5263"/>
    <w:rsid w:val="00CC5BC4"/>
    <w:rsid w:val="00CC7FA3"/>
    <w:rsid w:val="00CD0006"/>
    <w:rsid w:val="00CD2602"/>
    <w:rsid w:val="00CD3CF4"/>
    <w:rsid w:val="00CD40E9"/>
    <w:rsid w:val="00CD5326"/>
    <w:rsid w:val="00CE0347"/>
    <w:rsid w:val="00CE066C"/>
    <w:rsid w:val="00CE1556"/>
    <w:rsid w:val="00CE2317"/>
    <w:rsid w:val="00CE360C"/>
    <w:rsid w:val="00CE376E"/>
    <w:rsid w:val="00CE5887"/>
    <w:rsid w:val="00CF26F9"/>
    <w:rsid w:val="00CF2AA6"/>
    <w:rsid w:val="00CF3A0C"/>
    <w:rsid w:val="00CF3DA0"/>
    <w:rsid w:val="00CF4F47"/>
    <w:rsid w:val="00CF5FAF"/>
    <w:rsid w:val="00CF6D6E"/>
    <w:rsid w:val="00CF6FF1"/>
    <w:rsid w:val="00CF7700"/>
    <w:rsid w:val="00CF78F3"/>
    <w:rsid w:val="00D0009C"/>
    <w:rsid w:val="00D00A3B"/>
    <w:rsid w:val="00D01C5C"/>
    <w:rsid w:val="00D037CB"/>
    <w:rsid w:val="00D03A44"/>
    <w:rsid w:val="00D046F8"/>
    <w:rsid w:val="00D047DA"/>
    <w:rsid w:val="00D12A5D"/>
    <w:rsid w:val="00D12F4F"/>
    <w:rsid w:val="00D14F52"/>
    <w:rsid w:val="00D203E1"/>
    <w:rsid w:val="00D2200B"/>
    <w:rsid w:val="00D2227D"/>
    <w:rsid w:val="00D2263E"/>
    <w:rsid w:val="00D233A9"/>
    <w:rsid w:val="00D24379"/>
    <w:rsid w:val="00D24A2B"/>
    <w:rsid w:val="00D24F67"/>
    <w:rsid w:val="00D27487"/>
    <w:rsid w:val="00D276BC"/>
    <w:rsid w:val="00D27ACB"/>
    <w:rsid w:val="00D30306"/>
    <w:rsid w:val="00D31600"/>
    <w:rsid w:val="00D31EB2"/>
    <w:rsid w:val="00D32866"/>
    <w:rsid w:val="00D343FE"/>
    <w:rsid w:val="00D36A57"/>
    <w:rsid w:val="00D3761B"/>
    <w:rsid w:val="00D378AD"/>
    <w:rsid w:val="00D4036F"/>
    <w:rsid w:val="00D427C4"/>
    <w:rsid w:val="00D43250"/>
    <w:rsid w:val="00D4361C"/>
    <w:rsid w:val="00D44B2D"/>
    <w:rsid w:val="00D4541F"/>
    <w:rsid w:val="00D46278"/>
    <w:rsid w:val="00D467CC"/>
    <w:rsid w:val="00D55629"/>
    <w:rsid w:val="00D55AEE"/>
    <w:rsid w:val="00D56947"/>
    <w:rsid w:val="00D573D7"/>
    <w:rsid w:val="00D6075E"/>
    <w:rsid w:val="00D60E64"/>
    <w:rsid w:val="00D63476"/>
    <w:rsid w:val="00D6407C"/>
    <w:rsid w:val="00D64246"/>
    <w:rsid w:val="00D66C52"/>
    <w:rsid w:val="00D70346"/>
    <w:rsid w:val="00D7252B"/>
    <w:rsid w:val="00D72FAB"/>
    <w:rsid w:val="00D75EC6"/>
    <w:rsid w:val="00D7637F"/>
    <w:rsid w:val="00D810AE"/>
    <w:rsid w:val="00D813B2"/>
    <w:rsid w:val="00D81948"/>
    <w:rsid w:val="00D8239D"/>
    <w:rsid w:val="00D82E2C"/>
    <w:rsid w:val="00D8350A"/>
    <w:rsid w:val="00D860EB"/>
    <w:rsid w:val="00D8693B"/>
    <w:rsid w:val="00D871C6"/>
    <w:rsid w:val="00D87C70"/>
    <w:rsid w:val="00D87EFF"/>
    <w:rsid w:val="00D9056D"/>
    <w:rsid w:val="00D91818"/>
    <w:rsid w:val="00D92368"/>
    <w:rsid w:val="00D92A10"/>
    <w:rsid w:val="00D94E9E"/>
    <w:rsid w:val="00DA041F"/>
    <w:rsid w:val="00DA0A7D"/>
    <w:rsid w:val="00DA0B45"/>
    <w:rsid w:val="00DA2895"/>
    <w:rsid w:val="00DA28B7"/>
    <w:rsid w:val="00DA4BC5"/>
    <w:rsid w:val="00DA4E74"/>
    <w:rsid w:val="00DA5545"/>
    <w:rsid w:val="00DA72AC"/>
    <w:rsid w:val="00DB036C"/>
    <w:rsid w:val="00DB2133"/>
    <w:rsid w:val="00DB4C28"/>
    <w:rsid w:val="00DB4E91"/>
    <w:rsid w:val="00DB5CA7"/>
    <w:rsid w:val="00DB6910"/>
    <w:rsid w:val="00DB6A07"/>
    <w:rsid w:val="00DB7EB2"/>
    <w:rsid w:val="00DC068E"/>
    <w:rsid w:val="00DC16B4"/>
    <w:rsid w:val="00DC4CA9"/>
    <w:rsid w:val="00DC5DBA"/>
    <w:rsid w:val="00DD1CE2"/>
    <w:rsid w:val="00DD3B4C"/>
    <w:rsid w:val="00DD634D"/>
    <w:rsid w:val="00DD6DCC"/>
    <w:rsid w:val="00DE1013"/>
    <w:rsid w:val="00DE5327"/>
    <w:rsid w:val="00DF08C3"/>
    <w:rsid w:val="00DF0CA0"/>
    <w:rsid w:val="00DF12D8"/>
    <w:rsid w:val="00DF3AC9"/>
    <w:rsid w:val="00DF3FCD"/>
    <w:rsid w:val="00DF48F5"/>
    <w:rsid w:val="00DF495F"/>
    <w:rsid w:val="00DF5A55"/>
    <w:rsid w:val="00DF6371"/>
    <w:rsid w:val="00E02F0D"/>
    <w:rsid w:val="00E07812"/>
    <w:rsid w:val="00E1369C"/>
    <w:rsid w:val="00E138B0"/>
    <w:rsid w:val="00E15646"/>
    <w:rsid w:val="00E20BF0"/>
    <w:rsid w:val="00E20D97"/>
    <w:rsid w:val="00E214D2"/>
    <w:rsid w:val="00E26D58"/>
    <w:rsid w:val="00E27A05"/>
    <w:rsid w:val="00E3076C"/>
    <w:rsid w:val="00E30C61"/>
    <w:rsid w:val="00E32C51"/>
    <w:rsid w:val="00E32D31"/>
    <w:rsid w:val="00E3324C"/>
    <w:rsid w:val="00E34EC9"/>
    <w:rsid w:val="00E3753A"/>
    <w:rsid w:val="00E40F3F"/>
    <w:rsid w:val="00E4155B"/>
    <w:rsid w:val="00E417CC"/>
    <w:rsid w:val="00E42007"/>
    <w:rsid w:val="00E42803"/>
    <w:rsid w:val="00E42B96"/>
    <w:rsid w:val="00E4784D"/>
    <w:rsid w:val="00E4799E"/>
    <w:rsid w:val="00E5041A"/>
    <w:rsid w:val="00E518E2"/>
    <w:rsid w:val="00E527A9"/>
    <w:rsid w:val="00E528A7"/>
    <w:rsid w:val="00E53797"/>
    <w:rsid w:val="00E554D6"/>
    <w:rsid w:val="00E558A6"/>
    <w:rsid w:val="00E56CDC"/>
    <w:rsid w:val="00E571BF"/>
    <w:rsid w:val="00E61CC3"/>
    <w:rsid w:val="00E61E18"/>
    <w:rsid w:val="00E63115"/>
    <w:rsid w:val="00E657B7"/>
    <w:rsid w:val="00E65E3D"/>
    <w:rsid w:val="00E6651C"/>
    <w:rsid w:val="00E670B5"/>
    <w:rsid w:val="00E71872"/>
    <w:rsid w:val="00E73C9C"/>
    <w:rsid w:val="00E74A24"/>
    <w:rsid w:val="00E762E5"/>
    <w:rsid w:val="00E766EC"/>
    <w:rsid w:val="00E76A3E"/>
    <w:rsid w:val="00E773D4"/>
    <w:rsid w:val="00E81380"/>
    <w:rsid w:val="00E821E1"/>
    <w:rsid w:val="00E8245B"/>
    <w:rsid w:val="00E85316"/>
    <w:rsid w:val="00E85FBD"/>
    <w:rsid w:val="00E86427"/>
    <w:rsid w:val="00E9024F"/>
    <w:rsid w:val="00E90D16"/>
    <w:rsid w:val="00E90D43"/>
    <w:rsid w:val="00E92D0A"/>
    <w:rsid w:val="00E93084"/>
    <w:rsid w:val="00E9461D"/>
    <w:rsid w:val="00E9682B"/>
    <w:rsid w:val="00E96E9C"/>
    <w:rsid w:val="00EA1A0F"/>
    <w:rsid w:val="00EA39AF"/>
    <w:rsid w:val="00EA7219"/>
    <w:rsid w:val="00EB00B8"/>
    <w:rsid w:val="00EB0E29"/>
    <w:rsid w:val="00EB0FE4"/>
    <w:rsid w:val="00EB2818"/>
    <w:rsid w:val="00EB5161"/>
    <w:rsid w:val="00EB6042"/>
    <w:rsid w:val="00EB6FBA"/>
    <w:rsid w:val="00EB7060"/>
    <w:rsid w:val="00EB7D76"/>
    <w:rsid w:val="00EC2A31"/>
    <w:rsid w:val="00EC2EF5"/>
    <w:rsid w:val="00EC3DBC"/>
    <w:rsid w:val="00ED216A"/>
    <w:rsid w:val="00ED6E25"/>
    <w:rsid w:val="00ED766C"/>
    <w:rsid w:val="00EE13AC"/>
    <w:rsid w:val="00EE54A7"/>
    <w:rsid w:val="00EE6030"/>
    <w:rsid w:val="00EF1615"/>
    <w:rsid w:val="00EF19B6"/>
    <w:rsid w:val="00EF29E9"/>
    <w:rsid w:val="00EF339E"/>
    <w:rsid w:val="00EF5E1E"/>
    <w:rsid w:val="00EF6FA3"/>
    <w:rsid w:val="00EF79BE"/>
    <w:rsid w:val="00EF7DF4"/>
    <w:rsid w:val="00F01B19"/>
    <w:rsid w:val="00F05651"/>
    <w:rsid w:val="00F06041"/>
    <w:rsid w:val="00F072F2"/>
    <w:rsid w:val="00F076D8"/>
    <w:rsid w:val="00F11F02"/>
    <w:rsid w:val="00F12C09"/>
    <w:rsid w:val="00F13380"/>
    <w:rsid w:val="00F147D5"/>
    <w:rsid w:val="00F1502E"/>
    <w:rsid w:val="00F16521"/>
    <w:rsid w:val="00F203F2"/>
    <w:rsid w:val="00F26590"/>
    <w:rsid w:val="00F27760"/>
    <w:rsid w:val="00F27C54"/>
    <w:rsid w:val="00F40CB9"/>
    <w:rsid w:val="00F41001"/>
    <w:rsid w:val="00F43576"/>
    <w:rsid w:val="00F4549E"/>
    <w:rsid w:val="00F45F82"/>
    <w:rsid w:val="00F47422"/>
    <w:rsid w:val="00F47A36"/>
    <w:rsid w:val="00F51873"/>
    <w:rsid w:val="00F519D5"/>
    <w:rsid w:val="00F52FD3"/>
    <w:rsid w:val="00F537C2"/>
    <w:rsid w:val="00F54CFD"/>
    <w:rsid w:val="00F559F0"/>
    <w:rsid w:val="00F571A7"/>
    <w:rsid w:val="00F57296"/>
    <w:rsid w:val="00F62D60"/>
    <w:rsid w:val="00F65673"/>
    <w:rsid w:val="00F65F93"/>
    <w:rsid w:val="00F67C15"/>
    <w:rsid w:val="00F70CB8"/>
    <w:rsid w:val="00F76201"/>
    <w:rsid w:val="00F77959"/>
    <w:rsid w:val="00F8045F"/>
    <w:rsid w:val="00F8176B"/>
    <w:rsid w:val="00F81A03"/>
    <w:rsid w:val="00F8204C"/>
    <w:rsid w:val="00F829B9"/>
    <w:rsid w:val="00F861A4"/>
    <w:rsid w:val="00F917DD"/>
    <w:rsid w:val="00F927DC"/>
    <w:rsid w:val="00F93716"/>
    <w:rsid w:val="00F95B83"/>
    <w:rsid w:val="00F96B20"/>
    <w:rsid w:val="00F975F0"/>
    <w:rsid w:val="00FA05EC"/>
    <w:rsid w:val="00FA2A76"/>
    <w:rsid w:val="00FB187F"/>
    <w:rsid w:val="00FB5462"/>
    <w:rsid w:val="00FB54F1"/>
    <w:rsid w:val="00FC08AB"/>
    <w:rsid w:val="00FC0EFF"/>
    <w:rsid w:val="00FC1967"/>
    <w:rsid w:val="00FC2055"/>
    <w:rsid w:val="00FC3B56"/>
    <w:rsid w:val="00FC5385"/>
    <w:rsid w:val="00FC60EF"/>
    <w:rsid w:val="00FC6F37"/>
    <w:rsid w:val="00FD2917"/>
    <w:rsid w:val="00FD2ECC"/>
    <w:rsid w:val="00FD66B0"/>
    <w:rsid w:val="00FD7BCA"/>
    <w:rsid w:val="00FE1983"/>
    <w:rsid w:val="00FE1A09"/>
    <w:rsid w:val="00FE7CF6"/>
    <w:rsid w:val="00FF0C0E"/>
    <w:rsid w:val="00FF10BD"/>
    <w:rsid w:val="00FF204B"/>
    <w:rsid w:val="00FF230E"/>
    <w:rsid w:val="00FF2C56"/>
    <w:rsid w:val="00FF426D"/>
    <w:rsid w:val="00FF638D"/>
    <w:rsid w:val="00FF7D17"/>
    <w:rsid w:val="00FF7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CC55B"/>
  <w15:chartTrackingRefBased/>
  <w15:docId w15:val="{832CAA57-DC0B-574B-9D8D-3C8347F21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62D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autoRedefine/>
    <w:uiPriority w:val="9"/>
    <w:unhideWhenUsed/>
    <w:qFormat/>
    <w:rsid w:val="00F829B9"/>
    <w:pPr>
      <w:keepNext/>
      <w:spacing w:line="480" w:lineRule="auto"/>
      <w:jc w:val="center"/>
      <w:outlineLvl w:val="1"/>
    </w:pPr>
    <w:rPr>
      <w:rFonts w:ascii="Times New Roman" w:eastAsia="MS Mincho" w:hAnsi="Times New Roman" w:cs="Times New Roman"/>
      <w:b/>
      <w:iCs/>
      <w:color w:val="000000" w:themeColor="text1"/>
      <w:lang w:bidi="en-US"/>
    </w:rPr>
  </w:style>
  <w:style w:type="paragraph" w:styleId="Heading3">
    <w:name w:val="heading 3"/>
    <w:basedOn w:val="Normal"/>
    <w:next w:val="Normal"/>
    <w:link w:val="Heading3Char"/>
    <w:uiPriority w:val="9"/>
    <w:unhideWhenUsed/>
    <w:qFormat/>
    <w:rsid w:val="00FC08A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29B9"/>
    <w:rPr>
      <w:rFonts w:ascii="Times New Roman" w:eastAsia="MS Mincho" w:hAnsi="Times New Roman" w:cs="Times New Roman"/>
      <w:b/>
      <w:iCs/>
      <w:color w:val="000000" w:themeColor="text1"/>
      <w:lang w:bidi="en-US"/>
    </w:rPr>
  </w:style>
  <w:style w:type="paragraph" w:styleId="ListParagraph">
    <w:name w:val="List Paragraph"/>
    <w:basedOn w:val="Normal"/>
    <w:uiPriority w:val="34"/>
    <w:unhideWhenUsed/>
    <w:qFormat/>
    <w:rsid w:val="002E62FE"/>
    <w:pPr>
      <w:spacing w:line="480" w:lineRule="auto"/>
      <w:ind w:left="720"/>
      <w:contextualSpacing/>
    </w:pPr>
    <w:rPr>
      <w:rFonts w:eastAsia="MS Mincho" w:cs="Times New Roman"/>
      <w:lang w:bidi="en-US"/>
    </w:rPr>
  </w:style>
  <w:style w:type="paragraph" w:styleId="Bibliography">
    <w:name w:val="Bibliography"/>
    <w:basedOn w:val="Normal"/>
    <w:next w:val="Normal"/>
    <w:uiPriority w:val="37"/>
    <w:unhideWhenUsed/>
    <w:rsid w:val="001D5388"/>
    <w:pPr>
      <w:spacing w:line="480" w:lineRule="auto"/>
      <w:ind w:left="720" w:hanging="720"/>
    </w:pPr>
  </w:style>
  <w:style w:type="character" w:customStyle="1" w:styleId="Heading1Char">
    <w:name w:val="Heading 1 Char"/>
    <w:basedOn w:val="DefaultParagraphFont"/>
    <w:link w:val="Heading1"/>
    <w:uiPriority w:val="9"/>
    <w:rsid w:val="003862DD"/>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4300A9"/>
    <w:pPr>
      <w:tabs>
        <w:tab w:val="center" w:pos="4680"/>
        <w:tab w:val="right" w:pos="9360"/>
      </w:tabs>
    </w:pPr>
  </w:style>
  <w:style w:type="character" w:customStyle="1" w:styleId="HeaderChar">
    <w:name w:val="Header Char"/>
    <w:basedOn w:val="DefaultParagraphFont"/>
    <w:link w:val="Header"/>
    <w:uiPriority w:val="99"/>
    <w:rsid w:val="004300A9"/>
  </w:style>
  <w:style w:type="paragraph" w:styleId="Footer">
    <w:name w:val="footer"/>
    <w:basedOn w:val="Normal"/>
    <w:link w:val="FooterChar"/>
    <w:uiPriority w:val="99"/>
    <w:unhideWhenUsed/>
    <w:rsid w:val="004300A9"/>
    <w:pPr>
      <w:tabs>
        <w:tab w:val="center" w:pos="4680"/>
        <w:tab w:val="right" w:pos="9360"/>
      </w:tabs>
    </w:pPr>
  </w:style>
  <w:style w:type="character" w:customStyle="1" w:styleId="FooterChar">
    <w:name w:val="Footer Char"/>
    <w:basedOn w:val="DefaultParagraphFont"/>
    <w:link w:val="Footer"/>
    <w:uiPriority w:val="99"/>
    <w:rsid w:val="004300A9"/>
  </w:style>
  <w:style w:type="character" w:styleId="PageNumber">
    <w:name w:val="page number"/>
    <w:basedOn w:val="DefaultParagraphFont"/>
    <w:uiPriority w:val="99"/>
    <w:semiHidden/>
    <w:unhideWhenUsed/>
    <w:rsid w:val="004300A9"/>
  </w:style>
  <w:style w:type="paragraph" w:styleId="TOC2">
    <w:name w:val="toc 2"/>
    <w:basedOn w:val="Normal"/>
    <w:next w:val="Normal"/>
    <w:autoRedefine/>
    <w:uiPriority w:val="39"/>
    <w:unhideWhenUsed/>
    <w:rsid w:val="00CE2317"/>
    <w:pPr>
      <w:spacing w:before="120" w:line="480" w:lineRule="auto"/>
      <w:ind w:left="245"/>
    </w:pPr>
    <w:rPr>
      <w:rFonts w:ascii="Times New Roman" w:hAnsi="Times New Roman" w:cstheme="minorHAnsi"/>
      <w:b/>
      <w:bCs/>
      <w:szCs w:val="22"/>
    </w:rPr>
  </w:style>
  <w:style w:type="character" w:styleId="Hyperlink">
    <w:name w:val="Hyperlink"/>
    <w:basedOn w:val="DefaultParagraphFont"/>
    <w:uiPriority w:val="99"/>
    <w:unhideWhenUsed/>
    <w:rsid w:val="0045753C"/>
    <w:rPr>
      <w:color w:val="0563C1" w:themeColor="hyperlink"/>
      <w:u w:val="single"/>
    </w:rPr>
  </w:style>
  <w:style w:type="paragraph" w:styleId="TOC1">
    <w:name w:val="toc 1"/>
    <w:basedOn w:val="Normal"/>
    <w:next w:val="Normal"/>
    <w:autoRedefine/>
    <w:uiPriority w:val="39"/>
    <w:unhideWhenUsed/>
    <w:rsid w:val="00CE2317"/>
    <w:pPr>
      <w:tabs>
        <w:tab w:val="right" w:leader="dot" w:pos="9350"/>
      </w:tabs>
      <w:spacing w:before="120" w:line="480" w:lineRule="auto"/>
    </w:pPr>
    <w:rPr>
      <w:rFonts w:ascii="Times New Roman" w:hAnsi="Times New Roman" w:cs="Times New Roman"/>
      <w:b/>
      <w:bCs/>
      <w:iCs/>
      <w:noProof/>
      <w:lang w:bidi="en-US"/>
    </w:rPr>
  </w:style>
  <w:style w:type="paragraph" w:styleId="TOC3">
    <w:name w:val="toc 3"/>
    <w:basedOn w:val="Normal"/>
    <w:next w:val="Normal"/>
    <w:autoRedefine/>
    <w:uiPriority w:val="39"/>
    <w:unhideWhenUsed/>
    <w:rsid w:val="00CE2317"/>
    <w:pPr>
      <w:spacing w:line="480" w:lineRule="auto"/>
      <w:ind w:left="475"/>
    </w:pPr>
    <w:rPr>
      <w:rFonts w:ascii="Times New Roman" w:hAnsi="Times New Roman" w:cstheme="minorHAnsi"/>
      <w:b/>
      <w:i/>
      <w:szCs w:val="20"/>
    </w:rPr>
  </w:style>
  <w:style w:type="paragraph" w:styleId="TOC4">
    <w:name w:val="toc 4"/>
    <w:basedOn w:val="Normal"/>
    <w:next w:val="Normal"/>
    <w:autoRedefine/>
    <w:uiPriority w:val="39"/>
    <w:unhideWhenUsed/>
    <w:rsid w:val="0045753C"/>
    <w:pPr>
      <w:ind w:left="720"/>
    </w:pPr>
    <w:rPr>
      <w:rFonts w:cstheme="minorHAnsi"/>
      <w:sz w:val="20"/>
      <w:szCs w:val="20"/>
    </w:rPr>
  </w:style>
  <w:style w:type="paragraph" w:styleId="TOC5">
    <w:name w:val="toc 5"/>
    <w:basedOn w:val="Normal"/>
    <w:next w:val="Normal"/>
    <w:autoRedefine/>
    <w:uiPriority w:val="39"/>
    <w:unhideWhenUsed/>
    <w:rsid w:val="0045753C"/>
    <w:pPr>
      <w:ind w:left="960"/>
    </w:pPr>
    <w:rPr>
      <w:rFonts w:cstheme="minorHAnsi"/>
      <w:sz w:val="20"/>
      <w:szCs w:val="20"/>
    </w:rPr>
  </w:style>
  <w:style w:type="paragraph" w:styleId="TOC6">
    <w:name w:val="toc 6"/>
    <w:basedOn w:val="Normal"/>
    <w:next w:val="Normal"/>
    <w:autoRedefine/>
    <w:uiPriority w:val="39"/>
    <w:unhideWhenUsed/>
    <w:rsid w:val="0045753C"/>
    <w:pPr>
      <w:ind w:left="1200"/>
    </w:pPr>
    <w:rPr>
      <w:rFonts w:cstheme="minorHAnsi"/>
      <w:sz w:val="20"/>
      <w:szCs w:val="20"/>
    </w:rPr>
  </w:style>
  <w:style w:type="paragraph" w:styleId="TOC7">
    <w:name w:val="toc 7"/>
    <w:basedOn w:val="Normal"/>
    <w:next w:val="Normal"/>
    <w:autoRedefine/>
    <w:uiPriority w:val="39"/>
    <w:unhideWhenUsed/>
    <w:rsid w:val="0045753C"/>
    <w:pPr>
      <w:ind w:left="1440"/>
    </w:pPr>
    <w:rPr>
      <w:rFonts w:cstheme="minorHAnsi"/>
      <w:sz w:val="20"/>
      <w:szCs w:val="20"/>
    </w:rPr>
  </w:style>
  <w:style w:type="paragraph" w:styleId="TOC8">
    <w:name w:val="toc 8"/>
    <w:basedOn w:val="Normal"/>
    <w:next w:val="Normal"/>
    <w:autoRedefine/>
    <w:uiPriority w:val="39"/>
    <w:unhideWhenUsed/>
    <w:rsid w:val="0045753C"/>
    <w:pPr>
      <w:ind w:left="1680"/>
    </w:pPr>
    <w:rPr>
      <w:rFonts w:cstheme="minorHAnsi"/>
      <w:sz w:val="20"/>
      <w:szCs w:val="20"/>
    </w:rPr>
  </w:style>
  <w:style w:type="paragraph" w:styleId="TOC9">
    <w:name w:val="toc 9"/>
    <w:basedOn w:val="Normal"/>
    <w:next w:val="Normal"/>
    <w:autoRedefine/>
    <w:uiPriority w:val="39"/>
    <w:unhideWhenUsed/>
    <w:rsid w:val="0045753C"/>
    <w:pPr>
      <w:ind w:left="1920"/>
    </w:pPr>
    <w:rPr>
      <w:rFonts w:cstheme="minorHAnsi"/>
      <w:sz w:val="20"/>
      <w:szCs w:val="20"/>
    </w:rPr>
  </w:style>
  <w:style w:type="paragraph" w:styleId="Title">
    <w:name w:val="Title"/>
    <w:basedOn w:val="Normal"/>
    <w:next w:val="Normal"/>
    <w:link w:val="TitleChar"/>
    <w:uiPriority w:val="10"/>
    <w:qFormat/>
    <w:rsid w:val="0045753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53C"/>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45753C"/>
    <w:pPr>
      <w:spacing w:before="480" w:line="276" w:lineRule="auto"/>
      <w:outlineLvl w:val="9"/>
    </w:pPr>
    <w:rPr>
      <w:b/>
      <w:bCs/>
      <w:sz w:val="28"/>
      <w:szCs w:val="28"/>
    </w:rPr>
  </w:style>
  <w:style w:type="character" w:customStyle="1" w:styleId="Heading3Char">
    <w:name w:val="Heading 3 Char"/>
    <w:basedOn w:val="DefaultParagraphFont"/>
    <w:link w:val="Heading3"/>
    <w:uiPriority w:val="9"/>
    <w:rsid w:val="00FC08AB"/>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9B37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87A0B"/>
    <w:rPr>
      <w:color w:val="808080"/>
    </w:rPr>
  </w:style>
  <w:style w:type="paragraph" w:styleId="Caption">
    <w:name w:val="caption"/>
    <w:basedOn w:val="Normal"/>
    <w:next w:val="Normal"/>
    <w:uiPriority w:val="35"/>
    <w:unhideWhenUsed/>
    <w:rsid w:val="00610BD3"/>
    <w:rPr>
      <w:rFonts w:eastAsia="Times New Roman" w:cs="Times New Roman"/>
      <w:b/>
      <w:bCs/>
      <w:szCs w:val="18"/>
      <w:lang w:bidi="en-US"/>
    </w:rPr>
  </w:style>
  <w:style w:type="paragraph" w:styleId="Revision">
    <w:name w:val="Revision"/>
    <w:hidden/>
    <w:uiPriority w:val="99"/>
    <w:semiHidden/>
    <w:rsid w:val="00B9649F"/>
  </w:style>
  <w:style w:type="character" w:styleId="CommentReference">
    <w:name w:val="annotation reference"/>
    <w:basedOn w:val="DefaultParagraphFont"/>
    <w:uiPriority w:val="99"/>
    <w:semiHidden/>
    <w:unhideWhenUsed/>
    <w:rsid w:val="00A505BE"/>
    <w:rPr>
      <w:sz w:val="16"/>
      <w:szCs w:val="16"/>
    </w:rPr>
  </w:style>
  <w:style w:type="paragraph" w:styleId="CommentText">
    <w:name w:val="annotation text"/>
    <w:basedOn w:val="Normal"/>
    <w:link w:val="CommentTextChar"/>
    <w:uiPriority w:val="99"/>
    <w:semiHidden/>
    <w:unhideWhenUsed/>
    <w:rsid w:val="00A505BE"/>
    <w:rPr>
      <w:sz w:val="20"/>
      <w:szCs w:val="20"/>
    </w:rPr>
  </w:style>
  <w:style w:type="character" w:customStyle="1" w:styleId="CommentTextChar">
    <w:name w:val="Comment Text Char"/>
    <w:basedOn w:val="DefaultParagraphFont"/>
    <w:link w:val="CommentText"/>
    <w:uiPriority w:val="99"/>
    <w:semiHidden/>
    <w:rsid w:val="00A505BE"/>
    <w:rPr>
      <w:sz w:val="20"/>
      <w:szCs w:val="20"/>
    </w:rPr>
  </w:style>
  <w:style w:type="paragraph" w:styleId="CommentSubject">
    <w:name w:val="annotation subject"/>
    <w:basedOn w:val="CommentText"/>
    <w:next w:val="CommentText"/>
    <w:link w:val="CommentSubjectChar"/>
    <w:uiPriority w:val="99"/>
    <w:semiHidden/>
    <w:unhideWhenUsed/>
    <w:rsid w:val="00A505BE"/>
    <w:rPr>
      <w:b/>
      <w:bCs/>
    </w:rPr>
  </w:style>
  <w:style w:type="character" w:customStyle="1" w:styleId="CommentSubjectChar">
    <w:name w:val="Comment Subject Char"/>
    <w:basedOn w:val="CommentTextChar"/>
    <w:link w:val="CommentSubject"/>
    <w:uiPriority w:val="99"/>
    <w:semiHidden/>
    <w:rsid w:val="00A505BE"/>
    <w:rPr>
      <w:b/>
      <w:bCs/>
      <w:sz w:val="20"/>
      <w:szCs w:val="20"/>
    </w:rPr>
  </w:style>
  <w:style w:type="numbering" w:customStyle="1" w:styleId="CurrentList1">
    <w:name w:val="Current List1"/>
    <w:uiPriority w:val="99"/>
    <w:rsid w:val="00E5041A"/>
    <w:pPr>
      <w:numPr>
        <w:numId w:val="24"/>
      </w:numPr>
    </w:pPr>
  </w:style>
  <w:style w:type="paragraph" w:styleId="NoSpacing">
    <w:name w:val="No Spacing"/>
    <w:basedOn w:val="Normal"/>
    <w:link w:val="NoSpacingChar"/>
    <w:uiPriority w:val="1"/>
    <w:qFormat/>
    <w:rsid w:val="009327C8"/>
    <w:rPr>
      <w:rFonts w:eastAsia="Times New Roman" w:cs="Times New Roman"/>
      <w:szCs w:val="32"/>
      <w:lang w:bidi="en-US"/>
    </w:rPr>
  </w:style>
  <w:style w:type="character" w:customStyle="1" w:styleId="NoSpacingChar">
    <w:name w:val="No Spacing Char"/>
    <w:basedOn w:val="DefaultParagraphFont"/>
    <w:link w:val="NoSpacing"/>
    <w:uiPriority w:val="1"/>
    <w:rsid w:val="009327C8"/>
    <w:rPr>
      <w:rFonts w:eastAsia="Times New Roman" w:cs="Times New Roman"/>
      <w:szCs w:val="32"/>
      <w:lang w:bidi="en-US"/>
    </w:rPr>
  </w:style>
  <w:style w:type="paragraph" w:styleId="TableofFigures">
    <w:name w:val="table of figures"/>
    <w:basedOn w:val="Normal"/>
    <w:next w:val="Normal"/>
    <w:uiPriority w:val="99"/>
    <w:unhideWhenUsed/>
    <w:rsid w:val="0046205E"/>
    <w:pPr>
      <w:spacing w:line="48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270706">
      <w:bodyDiv w:val="1"/>
      <w:marLeft w:val="0"/>
      <w:marRight w:val="0"/>
      <w:marTop w:val="0"/>
      <w:marBottom w:val="0"/>
      <w:divBdr>
        <w:top w:val="none" w:sz="0" w:space="0" w:color="auto"/>
        <w:left w:val="none" w:sz="0" w:space="0" w:color="auto"/>
        <w:bottom w:val="none" w:sz="0" w:space="0" w:color="auto"/>
        <w:right w:val="none" w:sz="0" w:space="0" w:color="auto"/>
      </w:divBdr>
    </w:div>
    <w:div w:id="945387816">
      <w:bodyDiv w:val="1"/>
      <w:marLeft w:val="0"/>
      <w:marRight w:val="0"/>
      <w:marTop w:val="0"/>
      <w:marBottom w:val="0"/>
      <w:divBdr>
        <w:top w:val="none" w:sz="0" w:space="0" w:color="auto"/>
        <w:left w:val="none" w:sz="0" w:space="0" w:color="auto"/>
        <w:bottom w:val="none" w:sz="0" w:space="0" w:color="auto"/>
        <w:right w:val="none" w:sz="0" w:space="0" w:color="auto"/>
      </w:divBdr>
    </w:div>
    <w:div w:id="1064568564">
      <w:bodyDiv w:val="1"/>
      <w:marLeft w:val="0"/>
      <w:marRight w:val="0"/>
      <w:marTop w:val="0"/>
      <w:marBottom w:val="0"/>
      <w:divBdr>
        <w:top w:val="none" w:sz="0" w:space="0" w:color="auto"/>
        <w:left w:val="none" w:sz="0" w:space="0" w:color="auto"/>
        <w:bottom w:val="none" w:sz="0" w:space="0" w:color="auto"/>
        <w:right w:val="none" w:sz="0" w:space="0" w:color="auto"/>
      </w:divBdr>
    </w:div>
    <w:div w:id="1192035522">
      <w:bodyDiv w:val="1"/>
      <w:marLeft w:val="0"/>
      <w:marRight w:val="0"/>
      <w:marTop w:val="0"/>
      <w:marBottom w:val="0"/>
      <w:divBdr>
        <w:top w:val="none" w:sz="0" w:space="0" w:color="auto"/>
        <w:left w:val="none" w:sz="0" w:space="0" w:color="auto"/>
        <w:bottom w:val="none" w:sz="0" w:space="0" w:color="auto"/>
        <w:right w:val="none" w:sz="0" w:space="0" w:color="auto"/>
      </w:divBdr>
    </w:div>
    <w:div w:id="1584293018">
      <w:bodyDiv w:val="1"/>
      <w:marLeft w:val="0"/>
      <w:marRight w:val="0"/>
      <w:marTop w:val="0"/>
      <w:marBottom w:val="0"/>
      <w:divBdr>
        <w:top w:val="none" w:sz="0" w:space="0" w:color="auto"/>
        <w:left w:val="none" w:sz="0" w:space="0" w:color="auto"/>
        <w:bottom w:val="none" w:sz="0" w:space="0" w:color="auto"/>
        <w:right w:val="none" w:sz="0" w:space="0" w:color="auto"/>
      </w:divBdr>
    </w:div>
    <w:div w:id="214573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Users/keldonpeak/Desktop/KP%20Thesis.docx" TargetMode="External"/><Relationship Id="rId18" Type="http://schemas.openxmlformats.org/officeDocument/2006/relationships/hyperlink" Target="file:////Users/keldonpeak/Desktop/KP%20Thesis.docx" TargetMode="External"/><Relationship Id="rId26" Type="http://schemas.openxmlformats.org/officeDocument/2006/relationships/image" Target="media/image1.png"/><Relationship Id="rId39" Type="http://schemas.openxmlformats.org/officeDocument/2006/relationships/image" Target="media/image14.png"/><Relationship Id="rId21" Type="http://schemas.openxmlformats.org/officeDocument/2006/relationships/hyperlink" Target="file:////Users/keldonpeak/Desktop/KP%20Thesis.docx" TargetMode="External"/><Relationship Id="rId34" Type="http://schemas.openxmlformats.org/officeDocument/2006/relationships/image" Target="media/image9.jpe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Users/keldonpeak/Desktop/KP%20Thesis.docx" TargetMode="External"/><Relationship Id="rId29" Type="http://schemas.openxmlformats.org/officeDocument/2006/relationships/image" Target="media/image4.jpeg"/><Relationship Id="rId11" Type="http://schemas.openxmlformats.org/officeDocument/2006/relationships/hyperlink" Target="file:////Users/keldonpeak/Desktop/KP%20Thesis.docx" TargetMode="External"/><Relationship Id="rId24" Type="http://schemas.openxmlformats.org/officeDocument/2006/relationships/hyperlink" Target="file:////Users/keldonpeak/Desktop/KP%20Thesis.docx" TargetMode="External"/><Relationship Id="rId32" Type="http://schemas.openxmlformats.org/officeDocument/2006/relationships/image" Target="media/image7.jpeg"/><Relationship Id="rId37" Type="http://schemas.openxmlformats.org/officeDocument/2006/relationships/image" Target="media/image12.emf"/><Relationship Id="rId40" Type="http://schemas.openxmlformats.org/officeDocument/2006/relationships/image" Target="media/image15.png"/><Relationship Id="rId45"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file:////Users/keldonpeak/Desktop/KP%20Thesis.docx" TargetMode="External"/><Relationship Id="rId23" Type="http://schemas.openxmlformats.org/officeDocument/2006/relationships/hyperlink" Target="file:////Users/keldonpeak/Desktop/KP%20Thesis.docx" TargetMode="External"/><Relationship Id="rId28" Type="http://schemas.openxmlformats.org/officeDocument/2006/relationships/image" Target="media/image3.png"/><Relationship Id="rId36" Type="http://schemas.openxmlformats.org/officeDocument/2006/relationships/image" Target="media/image11.emf"/><Relationship Id="rId49" Type="http://schemas.openxmlformats.org/officeDocument/2006/relationships/image" Target="media/image24.emf"/><Relationship Id="rId10" Type="http://schemas.openxmlformats.org/officeDocument/2006/relationships/footer" Target="footer3.xml"/><Relationship Id="rId19" Type="http://schemas.openxmlformats.org/officeDocument/2006/relationships/hyperlink" Target="file:////Users/keldonpeak/Desktop/KP%20Thesis.docx" TargetMode="External"/><Relationship Id="rId31" Type="http://schemas.openxmlformats.org/officeDocument/2006/relationships/image" Target="media/image6.jpeg"/><Relationship Id="rId44" Type="http://schemas.openxmlformats.org/officeDocument/2006/relationships/image" Target="media/image19.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file:////Users/keldonpeak/Desktop/KP%20Thesis.docx" TargetMode="External"/><Relationship Id="rId22" Type="http://schemas.openxmlformats.org/officeDocument/2006/relationships/hyperlink" Target="file:////Users/keldonpeak/Desktop/KP%20Thesis.docx" TargetMode="External"/><Relationship Id="rId27" Type="http://schemas.openxmlformats.org/officeDocument/2006/relationships/image" Target="media/image2.jpeg"/><Relationship Id="rId30" Type="http://schemas.openxmlformats.org/officeDocument/2006/relationships/image" Target="media/image5.jpeg"/><Relationship Id="rId35" Type="http://schemas.openxmlformats.org/officeDocument/2006/relationships/image" Target="media/image10.jpeg"/><Relationship Id="rId43" Type="http://schemas.openxmlformats.org/officeDocument/2006/relationships/image" Target="media/image18.png"/><Relationship Id="rId48" Type="http://schemas.openxmlformats.org/officeDocument/2006/relationships/image" Target="media/image23.png"/><Relationship Id="rId8" Type="http://schemas.openxmlformats.org/officeDocument/2006/relationships/footer" Target="foot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file:////Users/keldonpeak/Desktop/KP%20Thesis.docx" TargetMode="External"/><Relationship Id="rId17" Type="http://schemas.openxmlformats.org/officeDocument/2006/relationships/hyperlink" Target="file:////Users/keldonpeak/Desktop/KP%20Thesis.docx" TargetMode="External"/><Relationship Id="rId25" Type="http://schemas.openxmlformats.org/officeDocument/2006/relationships/footer" Target="footer4.xml"/><Relationship Id="rId33" Type="http://schemas.openxmlformats.org/officeDocument/2006/relationships/image" Target="media/image8.jpeg"/><Relationship Id="rId38" Type="http://schemas.openxmlformats.org/officeDocument/2006/relationships/image" Target="media/image13.png"/><Relationship Id="rId46" Type="http://schemas.openxmlformats.org/officeDocument/2006/relationships/image" Target="media/image21.png"/><Relationship Id="rId20" Type="http://schemas.openxmlformats.org/officeDocument/2006/relationships/hyperlink" Target="file:////Users/keldonpeak/Desktop/KP%20Thesis.docx" TargetMode="External"/><Relationship Id="rId41"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8FD33-C069-0E4C-BBF7-823BD786E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112</Pages>
  <Words>109591</Words>
  <Characters>624674</Characters>
  <Application>Microsoft Office Word</Application>
  <DocSecurity>0</DocSecurity>
  <Lines>5205</Lines>
  <Paragraphs>1465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Peak, Keldon M.</cp:lastModifiedBy>
  <cp:revision>3</cp:revision>
  <cp:lastPrinted>2022-04-19T17:56:00Z</cp:lastPrinted>
  <dcterms:created xsi:type="dcterms:W3CDTF">2022-04-26T19:30:00Z</dcterms:created>
  <dcterms:modified xsi:type="dcterms:W3CDTF">2022-04-26T19:39:00Z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id="TYy3wGUY"/&gt;&lt;style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 name="dontAskDelayCitationUpdates" value="true"/&gt;&lt;/prefs&gt;&lt;/data&gt;</vt:lpwstr>
  </property>
</Properties>
</file>