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4F7FD" w14:textId="77777777" w:rsidR="008301AE" w:rsidRPr="00442034" w:rsidRDefault="008301AE" w:rsidP="008301AE">
      <w:pPr>
        <w:jc w:val="center"/>
        <w:rPr>
          <w:rFonts w:ascii="Times New Roman" w:hAnsi="Times New Roman" w:cs="Times New Roman"/>
          <w:sz w:val="24"/>
          <w:szCs w:val="24"/>
        </w:rPr>
      </w:pPr>
    </w:p>
    <w:p w14:paraId="08B02697" w14:textId="77777777" w:rsidR="008301AE" w:rsidRPr="00442034" w:rsidRDefault="008301AE" w:rsidP="008301AE">
      <w:pPr>
        <w:jc w:val="center"/>
        <w:rPr>
          <w:rFonts w:ascii="Times New Roman" w:hAnsi="Times New Roman" w:cs="Times New Roman"/>
          <w:sz w:val="24"/>
          <w:szCs w:val="24"/>
        </w:rPr>
      </w:pPr>
    </w:p>
    <w:p w14:paraId="704C8B52" w14:textId="77777777" w:rsidR="008301AE" w:rsidRPr="00442034" w:rsidRDefault="008301AE" w:rsidP="008301AE">
      <w:pPr>
        <w:jc w:val="center"/>
        <w:rPr>
          <w:rFonts w:ascii="Times New Roman" w:hAnsi="Times New Roman" w:cs="Times New Roman"/>
          <w:sz w:val="24"/>
          <w:szCs w:val="24"/>
        </w:rPr>
      </w:pPr>
    </w:p>
    <w:p w14:paraId="4B9C4B33" w14:textId="68C53343" w:rsidR="00D2172B"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UNIVERSITY OF OKLAHOMA</w:t>
      </w:r>
    </w:p>
    <w:p w14:paraId="7FDE32B5" w14:textId="6E016744"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GRADUATE COLLEGE</w:t>
      </w:r>
    </w:p>
    <w:p w14:paraId="20493A00" w14:textId="77777777" w:rsidR="008301AE" w:rsidRPr="00442034" w:rsidRDefault="008301AE" w:rsidP="008301AE">
      <w:pPr>
        <w:jc w:val="center"/>
        <w:rPr>
          <w:rFonts w:ascii="Times New Roman" w:hAnsi="Times New Roman" w:cs="Times New Roman"/>
          <w:sz w:val="24"/>
          <w:szCs w:val="24"/>
        </w:rPr>
      </w:pPr>
    </w:p>
    <w:p w14:paraId="024537FC" w14:textId="77777777" w:rsidR="008301AE" w:rsidRPr="00442034" w:rsidRDefault="008301AE" w:rsidP="008301AE">
      <w:pPr>
        <w:jc w:val="center"/>
        <w:rPr>
          <w:rFonts w:ascii="Times New Roman" w:hAnsi="Times New Roman" w:cs="Times New Roman"/>
          <w:sz w:val="24"/>
          <w:szCs w:val="24"/>
        </w:rPr>
      </w:pPr>
    </w:p>
    <w:p w14:paraId="662274CA" w14:textId="77777777" w:rsidR="008301AE" w:rsidRPr="00442034" w:rsidRDefault="008301AE" w:rsidP="008301AE">
      <w:pPr>
        <w:jc w:val="center"/>
        <w:rPr>
          <w:rFonts w:ascii="Times New Roman" w:hAnsi="Times New Roman" w:cs="Times New Roman"/>
          <w:sz w:val="24"/>
          <w:szCs w:val="24"/>
        </w:rPr>
      </w:pPr>
    </w:p>
    <w:p w14:paraId="4470F823" w14:textId="77777777" w:rsidR="008301AE" w:rsidRPr="00442034" w:rsidRDefault="008301AE" w:rsidP="00756536">
      <w:pPr>
        <w:rPr>
          <w:rFonts w:ascii="Times New Roman" w:hAnsi="Times New Roman" w:cs="Times New Roman"/>
          <w:sz w:val="24"/>
          <w:szCs w:val="24"/>
        </w:rPr>
      </w:pPr>
    </w:p>
    <w:p w14:paraId="4B773B93" w14:textId="77777777" w:rsidR="008301AE" w:rsidRPr="00442034" w:rsidRDefault="008301AE" w:rsidP="008301AE">
      <w:pPr>
        <w:jc w:val="center"/>
        <w:rPr>
          <w:rFonts w:ascii="Times New Roman" w:hAnsi="Times New Roman" w:cs="Times New Roman"/>
          <w:sz w:val="24"/>
          <w:szCs w:val="24"/>
        </w:rPr>
      </w:pPr>
    </w:p>
    <w:p w14:paraId="13DF805D" w14:textId="3E13433D"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LESBIAN, GAY, BISEXUAL, AND QUEER (LGBQ) YOUTH IN THE CHILD WELFARE SYSTEM: HOPE, WELL-BEING, AND FUTURE EXPECTATIONS</w:t>
      </w:r>
    </w:p>
    <w:p w14:paraId="038FD76A" w14:textId="77777777" w:rsidR="008301AE" w:rsidRPr="00442034" w:rsidRDefault="008301AE" w:rsidP="008301AE">
      <w:pPr>
        <w:jc w:val="center"/>
        <w:rPr>
          <w:rFonts w:ascii="Times New Roman" w:hAnsi="Times New Roman" w:cs="Times New Roman"/>
          <w:sz w:val="24"/>
          <w:szCs w:val="24"/>
        </w:rPr>
      </w:pPr>
    </w:p>
    <w:p w14:paraId="25DC4F20" w14:textId="77777777" w:rsidR="008301AE" w:rsidRPr="00442034" w:rsidRDefault="008301AE" w:rsidP="008301AE">
      <w:pPr>
        <w:jc w:val="center"/>
        <w:rPr>
          <w:rFonts w:ascii="Times New Roman" w:hAnsi="Times New Roman" w:cs="Times New Roman"/>
          <w:sz w:val="24"/>
          <w:szCs w:val="24"/>
        </w:rPr>
      </w:pPr>
    </w:p>
    <w:p w14:paraId="16471D2A" w14:textId="77777777" w:rsidR="008301AE" w:rsidRPr="00442034" w:rsidRDefault="008301AE" w:rsidP="008301AE">
      <w:pPr>
        <w:jc w:val="center"/>
        <w:rPr>
          <w:rFonts w:ascii="Times New Roman" w:hAnsi="Times New Roman" w:cs="Times New Roman"/>
          <w:sz w:val="24"/>
          <w:szCs w:val="24"/>
        </w:rPr>
      </w:pPr>
    </w:p>
    <w:p w14:paraId="6466A471" w14:textId="77777777" w:rsidR="008301AE" w:rsidRPr="00442034" w:rsidRDefault="008301AE" w:rsidP="008301AE">
      <w:pPr>
        <w:jc w:val="center"/>
        <w:rPr>
          <w:rFonts w:ascii="Times New Roman" w:hAnsi="Times New Roman" w:cs="Times New Roman"/>
          <w:sz w:val="24"/>
          <w:szCs w:val="24"/>
        </w:rPr>
      </w:pPr>
    </w:p>
    <w:p w14:paraId="59ABB95E" w14:textId="3AA28734"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A DISSERTATION</w:t>
      </w:r>
    </w:p>
    <w:p w14:paraId="442A6BE2" w14:textId="27E5D468"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SUBMITTED TO THE GRADUATE FACULTY</w:t>
      </w:r>
    </w:p>
    <w:p w14:paraId="04DA11A3" w14:textId="766A9981"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In partial fulfillment of the requirements for the</w:t>
      </w:r>
    </w:p>
    <w:p w14:paraId="16865AC1" w14:textId="4EBBDD42"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Degree of</w:t>
      </w:r>
    </w:p>
    <w:p w14:paraId="3B4E38C5" w14:textId="3561C0A7"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DOCTOR OF PHILOSOPHY</w:t>
      </w:r>
    </w:p>
    <w:p w14:paraId="6B1B52F9" w14:textId="77777777" w:rsidR="008301AE" w:rsidRPr="00442034" w:rsidRDefault="008301AE" w:rsidP="008301AE">
      <w:pPr>
        <w:jc w:val="center"/>
        <w:rPr>
          <w:rFonts w:ascii="Times New Roman" w:hAnsi="Times New Roman" w:cs="Times New Roman"/>
          <w:sz w:val="24"/>
          <w:szCs w:val="24"/>
        </w:rPr>
      </w:pPr>
    </w:p>
    <w:p w14:paraId="66814BAF" w14:textId="77777777" w:rsidR="008301AE" w:rsidRPr="00442034" w:rsidRDefault="008301AE" w:rsidP="008301AE">
      <w:pPr>
        <w:jc w:val="center"/>
        <w:rPr>
          <w:rFonts w:ascii="Times New Roman" w:hAnsi="Times New Roman" w:cs="Times New Roman"/>
          <w:sz w:val="24"/>
          <w:szCs w:val="24"/>
        </w:rPr>
      </w:pPr>
    </w:p>
    <w:p w14:paraId="2F252314" w14:textId="77777777" w:rsidR="008301AE" w:rsidRPr="00442034" w:rsidRDefault="008301AE" w:rsidP="008301AE">
      <w:pPr>
        <w:jc w:val="center"/>
        <w:rPr>
          <w:rFonts w:ascii="Times New Roman" w:hAnsi="Times New Roman" w:cs="Times New Roman"/>
          <w:sz w:val="24"/>
          <w:szCs w:val="24"/>
        </w:rPr>
      </w:pPr>
    </w:p>
    <w:p w14:paraId="556FD455" w14:textId="13F48962"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By</w:t>
      </w:r>
    </w:p>
    <w:p w14:paraId="72B657F5" w14:textId="515A6309"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HEATHER M. LEPPER-PAPPAN</w:t>
      </w:r>
    </w:p>
    <w:p w14:paraId="069D3A86" w14:textId="0A61CB15"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Norman, Oklahoma</w:t>
      </w:r>
    </w:p>
    <w:p w14:paraId="1828FB90" w14:textId="3C281863"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2024</w:t>
      </w:r>
    </w:p>
    <w:p w14:paraId="32E41A4E" w14:textId="77777777"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lastRenderedPageBreak/>
        <w:t>LESBIAN, GAY, BISEXUAL, AND QUEER (LGBQ) YOUTH IN THE CHILD WELFARE SYSTEM: HOPE, WELL-BEING, AND FUTURE EXPECTATIONS</w:t>
      </w:r>
    </w:p>
    <w:p w14:paraId="58B3084E" w14:textId="77777777" w:rsidR="008301AE" w:rsidRPr="00442034" w:rsidRDefault="008301AE" w:rsidP="008301AE">
      <w:pPr>
        <w:jc w:val="center"/>
        <w:rPr>
          <w:rFonts w:ascii="Times New Roman" w:hAnsi="Times New Roman" w:cs="Times New Roman"/>
          <w:sz w:val="24"/>
          <w:szCs w:val="24"/>
        </w:rPr>
      </w:pPr>
    </w:p>
    <w:p w14:paraId="62126D16" w14:textId="77777777" w:rsidR="008301AE" w:rsidRPr="00442034" w:rsidRDefault="008301AE" w:rsidP="008301AE">
      <w:pPr>
        <w:jc w:val="center"/>
        <w:rPr>
          <w:rFonts w:ascii="Times New Roman" w:hAnsi="Times New Roman" w:cs="Times New Roman"/>
          <w:sz w:val="24"/>
          <w:szCs w:val="24"/>
        </w:rPr>
      </w:pPr>
    </w:p>
    <w:p w14:paraId="12852DC8" w14:textId="77777777"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A DISSERTATION APPROVED FOR THE DEPARTMENT OF SOCIOLOGY</w:t>
      </w:r>
    </w:p>
    <w:p w14:paraId="424AB3D6" w14:textId="77777777" w:rsidR="008301AE" w:rsidRPr="00442034" w:rsidRDefault="008301AE" w:rsidP="008301AE">
      <w:pPr>
        <w:jc w:val="center"/>
        <w:rPr>
          <w:rFonts w:ascii="Times New Roman" w:hAnsi="Times New Roman" w:cs="Times New Roman"/>
          <w:sz w:val="24"/>
          <w:szCs w:val="24"/>
        </w:rPr>
      </w:pPr>
    </w:p>
    <w:p w14:paraId="67AAD2B3" w14:textId="77777777" w:rsidR="008301AE" w:rsidRPr="00442034" w:rsidRDefault="008301AE" w:rsidP="008301AE">
      <w:pPr>
        <w:jc w:val="center"/>
        <w:rPr>
          <w:rFonts w:ascii="Times New Roman" w:hAnsi="Times New Roman" w:cs="Times New Roman"/>
          <w:sz w:val="24"/>
          <w:szCs w:val="24"/>
        </w:rPr>
      </w:pPr>
    </w:p>
    <w:p w14:paraId="10FCDE23" w14:textId="77777777" w:rsidR="008301AE" w:rsidRPr="00442034" w:rsidRDefault="008301AE" w:rsidP="008301AE">
      <w:pPr>
        <w:jc w:val="center"/>
        <w:rPr>
          <w:rFonts w:ascii="Times New Roman" w:hAnsi="Times New Roman" w:cs="Times New Roman"/>
          <w:sz w:val="24"/>
          <w:szCs w:val="24"/>
        </w:rPr>
      </w:pPr>
    </w:p>
    <w:p w14:paraId="42D5C2E5" w14:textId="77777777" w:rsidR="008301AE" w:rsidRPr="00442034" w:rsidRDefault="008301AE" w:rsidP="008301AE">
      <w:pPr>
        <w:jc w:val="center"/>
        <w:rPr>
          <w:rFonts w:ascii="Times New Roman" w:hAnsi="Times New Roman" w:cs="Times New Roman"/>
          <w:sz w:val="24"/>
          <w:szCs w:val="24"/>
        </w:rPr>
      </w:pPr>
    </w:p>
    <w:p w14:paraId="049C0A55" w14:textId="77777777" w:rsidR="008301AE" w:rsidRPr="00442034" w:rsidRDefault="008301AE" w:rsidP="008301AE">
      <w:pPr>
        <w:jc w:val="center"/>
        <w:rPr>
          <w:rFonts w:ascii="Times New Roman" w:hAnsi="Times New Roman" w:cs="Times New Roman"/>
          <w:sz w:val="24"/>
          <w:szCs w:val="24"/>
        </w:rPr>
      </w:pPr>
    </w:p>
    <w:p w14:paraId="7FCFF665" w14:textId="77777777" w:rsidR="008301AE" w:rsidRPr="00442034" w:rsidRDefault="008301AE" w:rsidP="008301AE">
      <w:pPr>
        <w:jc w:val="center"/>
        <w:rPr>
          <w:rFonts w:ascii="Times New Roman" w:hAnsi="Times New Roman" w:cs="Times New Roman"/>
          <w:sz w:val="24"/>
          <w:szCs w:val="24"/>
        </w:rPr>
      </w:pPr>
    </w:p>
    <w:p w14:paraId="4CD56DE3" w14:textId="77777777"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BY THE COMMITTEE CONSISTING OF</w:t>
      </w:r>
    </w:p>
    <w:p w14:paraId="27F67ED2" w14:textId="77777777" w:rsidR="008301AE" w:rsidRPr="00442034" w:rsidRDefault="008301AE" w:rsidP="008301AE">
      <w:pPr>
        <w:jc w:val="center"/>
        <w:rPr>
          <w:rFonts w:ascii="Times New Roman" w:hAnsi="Times New Roman" w:cs="Times New Roman"/>
          <w:sz w:val="24"/>
          <w:szCs w:val="24"/>
        </w:rPr>
      </w:pPr>
    </w:p>
    <w:p w14:paraId="68FB1D48" w14:textId="77777777" w:rsidR="008301AE" w:rsidRPr="00442034" w:rsidRDefault="008301AE" w:rsidP="008301AE">
      <w:pPr>
        <w:jc w:val="center"/>
        <w:rPr>
          <w:rFonts w:ascii="Times New Roman" w:hAnsi="Times New Roman" w:cs="Times New Roman"/>
          <w:sz w:val="24"/>
          <w:szCs w:val="24"/>
        </w:rPr>
      </w:pPr>
    </w:p>
    <w:p w14:paraId="6ED50786" w14:textId="77777777" w:rsidR="008301AE" w:rsidRPr="00442034" w:rsidRDefault="008301AE" w:rsidP="008301AE">
      <w:pPr>
        <w:jc w:val="center"/>
        <w:rPr>
          <w:rFonts w:ascii="Times New Roman" w:hAnsi="Times New Roman" w:cs="Times New Roman"/>
          <w:sz w:val="24"/>
          <w:szCs w:val="24"/>
        </w:rPr>
      </w:pPr>
    </w:p>
    <w:p w14:paraId="7CFDB8FC" w14:textId="77777777" w:rsidR="008301AE" w:rsidRPr="00442034" w:rsidRDefault="008301AE" w:rsidP="008301AE">
      <w:pPr>
        <w:jc w:val="center"/>
        <w:rPr>
          <w:rFonts w:ascii="Times New Roman" w:hAnsi="Times New Roman" w:cs="Times New Roman"/>
          <w:sz w:val="24"/>
          <w:szCs w:val="24"/>
        </w:rPr>
      </w:pPr>
    </w:p>
    <w:p w14:paraId="60B893F4" w14:textId="77777777" w:rsidR="008301AE" w:rsidRPr="00442034" w:rsidRDefault="008301AE" w:rsidP="008301AE">
      <w:pPr>
        <w:jc w:val="center"/>
        <w:rPr>
          <w:rFonts w:ascii="Times New Roman" w:hAnsi="Times New Roman" w:cs="Times New Roman"/>
          <w:sz w:val="24"/>
          <w:szCs w:val="24"/>
        </w:rPr>
      </w:pPr>
    </w:p>
    <w:p w14:paraId="0023B60E" w14:textId="77777777" w:rsidR="008301AE" w:rsidRPr="00442034" w:rsidRDefault="008301AE" w:rsidP="008301AE">
      <w:pPr>
        <w:jc w:val="right"/>
        <w:rPr>
          <w:rFonts w:ascii="Times New Roman" w:hAnsi="Times New Roman" w:cs="Times New Roman"/>
          <w:sz w:val="24"/>
          <w:szCs w:val="24"/>
        </w:rPr>
      </w:pPr>
      <w:r w:rsidRPr="00442034">
        <w:rPr>
          <w:rFonts w:ascii="Times New Roman" w:hAnsi="Times New Roman" w:cs="Times New Roman"/>
          <w:sz w:val="24"/>
          <w:szCs w:val="24"/>
        </w:rPr>
        <w:t>Dr. Erin Maher, Chair</w:t>
      </w:r>
    </w:p>
    <w:p w14:paraId="6762EEC4" w14:textId="77777777" w:rsidR="008301AE" w:rsidRPr="00442034" w:rsidRDefault="008301AE" w:rsidP="008301AE">
      <w:pPr>
        <w:jc w:val="right"/>
        <w:rPr>
          <w:rFonts w:ascii="Times New Roman" w:hAnsi="Times New Roman" w:cs="Times New Roman"/>
          <w:sz w:val="24"/>
          <w:szCs w:val="24"/>
        </w:rPr>
      </w:pPr>
    </w:p>
    <w:p w14:paraId="02D69DE0" w14:textId="77777777" w:rsidR="008301AE" w:rsidRPr="00442034" w:rsidRDefault="008301AE" w:rsidP="008301AE">
      <w:pPr>
        <w:jc w:val="right"/>
        <w:rPr>
          <w:rFonts w:ascii="Times New Roman" w:hAnsi="Times New Roman" w:cs="Times New Roman"/>
          <w:sz w:val="24"/>
          <w:szCs w:val="24"/>
        </w:rPr>
      </w:pPr>
      <w:r w:rsidRPr="00442034">
        <w:rPr>
          <w:rFonts w:ascii="Times New Roman" w:hAnsi="Times New Roman" w:cs="Times New Roman"/>
          <w:sz w:val="24"/>
          <w:szCs w:val="24"/>
        </w:rPr>
        <w:t>Dr. Julie Gerlinger</w:t>
      </w:r>
    </w:p>
    <w:p w14:paraId="256DB92D" w14:textId="77777777" w:rsidR="008301AE" w:rsidRPr="00442034" w:rsidRDefault="008301AE" w:rsidP="008301AE">
      <w:pPr>
        <w:jc w:val="right"/>
        <w:rPr>
          <w:rFonts w:ascii="Times New Roman" w:hAnsi="Times New Roman" w:cs="Times New Roman"/>
          <w:sz w:val="24"/>
          <w:szCs w:val="24"/>
        </w:rPr>
      </w:pPr>
    </w:p>
    <w:p w14:paraId="667540F0" w14:textId="77777777" w:rsidR="008301AE" w:rsidRPr="00442034" w:rsidRDefault="008301AE" w:rsidP="008301AE">
      <w:pPr>
        <w:jc w:val="right"/>
        <w:rPr>
          <w:rFonts w:ascii="Times New Roman" w:hAnsi="Times New Roman" w:cs="Times New Roman"/>
          <w:sz w:val="24"/>
          <w:szCs w:val="24"/>
        </w:rPr>
      </w:pPr>
      <w:r w:rsidRPr="00442034">
        <w:rPr>
          <w:rFonts w:ascii="Times New Roman" w:hAnsi="Times New Roman" w:cs="Times New Roman"/>
          <w:sz w:val="24"/>
          <w:szCs w:val="24"/>
        </w:rPr>
        <w:t>Dr. Trina Hope</w:t>
      </w:r>
    </w:p>
    <w:p w14:paraId="594065FE" w14:textId="77777777" w:rsidR="008301AE" w:rsidRPr="00442034" w:rsidRDefault="008301AE" w:rsidP="008301AE">
      <w:pPr>
        <w:jc w:val="right"/>
        <w:rPr>
          <w:rFonts w:ascii="Times New Roman" w:hAnsi="Times New Roman" w:cs="Times New Roman"/>
          <w:sz w:val="24"/>
          <w:szCs w:val="24"/>
        </w:rPr>
      </w:pPr>
    </w:p>
    <w:p w14:paraId="693C68B3" w14:textId="3611C869" w:rsidR="008301AE" w:rsidRPr="00442034" w:rsidRDefault="008301AE" w:rsidP="008301AE">
      <w:pPr>
        <w:jc w:val="right"/>
        <w:rPr>
          <w:rFonts w:ascii="Times New Roman" w:hAnsi="Times New Roman" w:cs="Times New Roman"/>
          <w:sz w:val="24"/>
          <w:szCs w:val="24"/>
        </w:rPr>
      </w:pPr>
      <w:r w:rsidRPr="00442034">
        <w:rPr>
          <w:rFonts w:ascii="Times New Roman" w:hAnsi="Times New Roman" w:cs="Times New Roman"/>
          <w:sz w:val="24"/>
          <w:szCs w:val="24"/>
        </w:rPr>
        <w:t>Dr. Angela Pharris</w:t>
      </w:r>
      <w:r w:rsidRPr="00442034">
        <w:rPr>
          <w:rFonts w:ascii="Times New Roman" w:hAnsi="Times New Roman" w:cs="Times New Roman"/>
          <w:sz w:val="24"/>
          <w:szCs w:val="24"/>
        </w:rPr>
        <w:br w:type="page"/>
      </w:r>
    </w:p>
    <w:p w14:paraId="2FF098F1" w14:textId="77777777" w:rsidR="008301AE" w:rsidRPr="00442034" w:rsidRDefault="008301AE" w:rsidP="008301AE">
      <w:pPr>
        <w:jc w:val="center"/>
        <w:rPr>
          <w:rFonts w:ascii="Times New Roman" w:hAnsi="Times New Roman" w:cs="Times New Roman"/>
          <w:sz w:val="24"/>
          <w:szCs w:val="24"/>
        </w:rPr>
      </w:pPr>
    </w:p>
    <w:p w14:paraId="42E477B3" w14:textId="77777777" w:rsidR="008301AE" w:rsidRPr="00442034" w:rsidRDefault="008301AE" w:rsidP="008301AE">
      <w:pPr>
        <w:jc w:val="center"/>
        <w:rPr>
          <w:rFonts w:ascii="Times New Roman" w:hAnsi="Times New Roman" w:cs="Times New Roman"/>
          <w:sz w:val="24"/>
          <w:szCs w:val="24"/>
        </w:rPr>
      </w:pPr>
    </w:p>
    <w:p w14:paraId="56592173" w14:textId="77777777" w:rsidR="008301AE" w:rsidRPr="00442034" w:rsidRDefault="008301AE" w:rsidP="008301AE">
      <w:pPr>
        <w:jc w:val="center"/>
        <w:rPr>
          <w:rFonts w:ascii="Times New Roman" w:hAnsi="Times New Roman" w:cs="Times New Roman"/>
          <w:sz w:val="24"/>
          <w:szCs w:val="24"/>
        </w:rPr>
      </w:pPr>
    </w:p>
    <w:p w14:paraId="2514E2BC" w14:textId="77777777" w:rsidR="008301AE" w:rsidRPr="00442034" w:rsidRDefault="008301AE" w:rsidP="008301AE">
      <w:pPr>
        <w:jc w:val="center"/>
        <w:rPr>
          <w:rFonts w:ascii="Times New Roman" w:hAnsi="Times New Roman" w:cs="Times New Roman"/>
          <w:sz w:val="24"/>
          <w:szCs w:val="24"/>
        </w:rPr>
      </w:pPr>
    </w:p>
    <w:p w14:paraId="3487629F" w14:textId="77777777" w:rsidR="008301AE" w:rsidRPr="00442034" w:rsidRDefault="008301AE" w:rsidP="008301AE">
      <w:pPr>
        <w:jc w:val="center"/>
        <w:rPr>
          <w:rFonts w:ascii="Times New Roman" w:hAnsi="Times New Roman" w:cs="Times New Roman"/>
          <w:sz w:val="24"/>
          <w:szCs w:val="24"/>
        </w:rPr>
      </w:pPr>
    </w:p>
    <w:p w14:paraId="399107B2" w14:textId="77777777" w:rsidR="008301AE" w:rsidRPr="00442034" w:rsidRDefault="008301AE" w:rsidP="008301AE">
      <w:pPr>
        <w:jc w:val="center"/>
        <w:rPr>
          <w:rFonts w:ascii="Times New Roman" w:hAnsi="Times New Roman" w:cs="Times New Roman"/>
          <w:sz w:val="24"/>
          <w:szCs w:val="24"/>
        </w:rPr>
      </w:pPr>
    </w:p>
    <w:p w14:paraId="51F98F99" w14:textId="77777777" w:rsidR="008301AE" w:rsidRPr="00442034" w:rsidRDefault="008301AE" w:rsidP="008301AE">
      <w:pPr>
        <w:jc w:val="center"/>
        <w:rPr>
          <w:rFonts w:ascii="Times New Roman" w:hAnsi="Times New Roman" w:cs="Times New Roman"/>
          <w:sz w:val="24"/>
          <w:szCs w:val="24"/>
        </w:rPr>
      </w:pPr>
    </w:p>
    <w:p w14:paraId="14E25F1F" w14:textId="77777777" w:rsidR="008301AE" w:rsidRPr="00442034" w:rsidRDefault="008301AE" w:rsidP="008301AE">
      <w:pPr>
        <w:jc w:val="center"/>
        <w:rPr>
          <w:rFonts w:ascii="Times New Roman" w:hAnsi="Times New Roman" w:cs="Times New Roman"/>
          <w:sz w:val="24"/>
          <w:szCs w:val="24"/>
        </w:rPr>
      </w:pPr>
    </w:p>
    <w:p w14:paraId="6D960E9A" w14:textId="77777777" w:rsidR="008301AE" w:rsidRPr="00442034" w:rsidRDefault="008301AE" w:rsidP="008301AE">
      <w:pPr>
        <w:jc w:val="center"/>
        <w:rPr>
          <w:rFonts w:ascii="Times New Roman" w:hAnsi="Times New Roman" w:cs="Times New Roman"/>
          <w:sz w:val="24"/>
          <w:szCs w:val="24"/>
        </w:rPr>
      </w:pPr>
    </w:p>
    <w:p w14:paraId="145027F5" w14:textId="77777777" w:rsidR="008301AE" w:rsidRPr="00442034" w:rsidRDefault="008301AE" w:rsidP="008301AE">
      <w:pPr>
        <w:jc w:val="center"/>
        <w:rPr>
          <w:rFonts w:ascii="Times New Roman" w:hAnsi="Times New Roman" w:cs="Times New Roman"/>
          <w:sz w:val="24"/>
          <w:szCs w:val="24"/>
        </w:rPr>
      </w:pPr>
    </w:p>
    <w:p w14:paraId="090FD24D" w14:textId="77777777" w:rsidR="008301AE" w:rsidRPr="00442034" w:rsidRDefault="008301AE" w:rsidP="008301AE">
      <w:pPr>
        <w:jc w:val="center"/>
        <w:rPr>
          <w:rFonts w:ascii="Times New Roman" w:hAnsi="Times New Roman" w:cs="Times New Roman"/>
          <w:sz w:val="24"/>
          <w:szCs w:val="24"/>
        </w:rPr>
      </w:pPr>
    </w:p>
    <w:p w14:paraId="05C93472" w14:textId="77777777" w:rsidR="008301AE" w:rsidRPr="00442034" w:rsidRDefault="008301AE" w:rsidP="008301AE">
      <w:pPr>
        <w:jc w:val="center"/>
        <w:rPr>
          <w:rFonts w:ascii="Times New Roman" w:hAnsi="Times New Roman" w:cs="Times New Roman"/>
          <w:sz w:val="24"/>
          <w:szCs w:val="24"/>
        </w:rPr>
      </w:pPr>
    </w:p>
    <w:p w14:paraId="41176F22" w14:textId="77777777" w:rsidR="008301AE" w:rsidRPr="00442034" w:rsidRDefault="008301AE" w:rsidP="008301AE">
      <w:pPr>
        <w:jc w:val="center"/>
        <w:rPr>
          <w:rFonts w:ascii="Times New Roman" w:hAnsi="Times New Roman" w:cs="Times New Roman"/>
          <w:sz w:val="24"/>
          <w:szCs w:val="24"/>
        </w:rPr>
      </w:pPr>
    </w:p>
    <w:p w14:paraId="52A4E891" w14:textId="77777777" w:rsidR="008301AE" w:rsidRPr="00442034" w:rsidRDefault="008301AE" w:rsidP="008301AE">
      <w:pPr>
        <w:jc w:val="center"/>
        <w:rPr>
          <w:rFonts w:ascii="Times New Roman" w:hAnsi="Times New Roman" w:cs="Times New Roman"/>
          <w:sz w:val="24"/>
          <w:szCs w:val="24"/>
        </w:rPr>
      </w:pPr>
    </w:p>
    <w:p w14:paraId="576CB774" w14:textId="77777777" w:rsidR="008301AE" w:rsidRPr="00442034" w:rsidRDefault="008301AE" w:rsidP="008301AE">
      <w:pPr>
        <w:jc w:val="center"/>
        <w:rPr>
          <w:rFonts w:ascii="Times New Roman" w:hAnsi="Times New Roman" w:cs="Times New Roman"/>
          <w:sz w:val="24"/>
          <w:szCs w:val="24"/>
        </w:rPr>
      </w:pPr>
    </w:p>
    <w:p w14:paraId="66128290" w14:textId="77777777" w:rsidR="008301AE" w:rsidRPr="00442034" w:rsidRDefault="008301AE" w:rsidP="008301AE">
      <w:pPr>
        <w:jc w:val="center"/>
        <w:rPr>
          <w:rFonts w:ascii="Times New Roman" w:hAnsi="Times New Roman" w:cs="Times New Roman"/>
          <w:sz w:val="24"/>
          <w:szCs w:val="24"/>
        </w:rPr>
      </w:pPr>
    </w:p>
    <w:p w14:paraId="645E6445" w14:textId="77777777" w:rsidR="008301AE" w:rsidRPr="00442034" w:rsidRDefault="008301AE" w:rsidP="008301AE">
      <w:pPr>
        <w:jc w:val="center"/>
        <w:rPr>
          <w:rFonts w:ascii="Times New Roman" w:hAnsi="Times New Roman" w:cs="Times New Roman"/>
          <w:sz w:val="24"/>
          <w:szCs w:val="24"/>
        </w:rPr>
      </w:pPr>
    </w:p>
    <w:p w14:paraId="00026F0F" w14:textId="77777777" w:rsidR="008301AE" w:rsidRPr="00442034" w:rsidRDefault="008301AE" w:rsidP="008301AE">
      <w:pPr>
        <w:jc w:val="center"/>
        <w:rPr>
          <w:rFonts w:ascii="Times New Roman" w:hAnsi="Times New Roman" w:cs="Times New Roman"/>
          <w:sz w:val="24"/>
          <w:szCs w:val="24"/>
        </w:rPr>
      </w:pPr>
    </w:p>
    <w:p w14:paraId="445B3E4F" w14:textId="77777777" w:rsidR="008301AE" w:rsidRPr="00442034" w:rsidRDefault="008301AE" w:rsidP="008301AE">
      <w:pPr>
        <w:jc w:val="center"/>
        <w:rPr>
          <w:rFonts w:ascii="Times New Roman" w:hAnsi="Times New Roman" w:cs="Times New Roman"/>
          <w:sz w:val="24"/>
          <w:szCs w:val="24"/>
        </w:rPr>
      </w:pPr>
    </w:p>
    <w:p w14:paraId="67136445" w14:textId="77777777" w:rsidR="008301AE" w:rsidRPr="00442034" w:rsidRDefault="008301AE" w:rsidP="008301AE">
      <w:pPr>
        <w:jc w:val="center"/>
        <w:rPr>
          <w:rFonts w:ascii="Times New Roman" w:hAnsi="Times New Roman" w:cs="Times New Roman"/>
          <w:sz w:val="24"/>
          <w:szCs w:val="24"/>
        </w:rPr>
      </w:pPr>
    </w:p>
    <w:p w14:paraId="40DA7228" w14:textId="77777777" w:rsidR="008301AE" w:rsidRPr="00442034" w:rsidRDefault="008301AE" w:rsidP="008301AE">
      <w:pPr>
        <w:jc w:val="center"/>
        <w:rPr>
          <w:rFonts w:ascii="Times New Roman" w:hAnsi="Times New Roman" w:cs="Times New Roman"/>
          <w:sz w:val="24"/>
          <w:szCs w:val="24"/>
        </w:rPr>
      </w:pPr>
    </w:p>
    <w:p w14:paraId="7DFE792E" w14:textId="77777777" w:rsidR="008301AE" w:rsidRPr="00442034" w:rsidRDefault="008301AE" w:rsidP="008301AE">
      <w:pPr>
        <w:jc w:val="center"/>
        <w:rPr>
          <w:rFonts w:ascii="Times New Roman" w:hAnsi="Times New Roman" w:cs="Times New Roman"/>
          <w:sz w:val="24"/>
          <w:szCs w:val="24"/>
        </w:rPr>
      </w:pPr>
    </w:p>
    <w:p w14:paraId="75AC170C" w14:textId="77777777" w:rsidR="008301AE" w:rsidRPr="00442034" w:rsidRDefault="008301AE" w:rsidP="008301AE">
      <w:pPr>
        <w:jc w:val="center"/>
        <w:rPr>
          <w:rFonts w:ascii="Times New Roman" w:hAnsi="Times New Roman" w:cs="Times New Roman"/>
          <w:sz w:val="24"/>
          <w:szCs w:val="24"/>
        </w:rPr>
      </w:pPr>
    </w:p>
    <w:p w14:paraId="3CD7E5FE" w14:textId="77777777" w:rsidR="008301AE" w:rsidRDefault="008301AE" w:rsidP="008301AE">
      <w:pPr>
        <w:jc w:val="center"/>
        <w:rPr>
          <w:rFonts w:ascii="Times New Roman" w:hAnsi="Times New Roman" w:cs="Times New Roman"/>
          <w:sz w:val="24"/>
          <w:szCs w:val="24"/>
        </w:rPr>
      </w:pPr>
    </w:p>
    <w:p w14:paraId="52D21D29" w14:textId="77777777" w:rsidR="0044489E" w:rsidRDefault="0044489E" w:rsidP="008301AE">
      <w:pPr>
        <w:jc w:val="center"/>
        <w:rPr>
          <w:rFonts w:ascii="Times New Roman" w:hAnsi="Times New Roman" w:cs="Times New Roman"/>
          <w:sz w:val="24"/>
          <w:szCs w:val="24"/>
        </w:rPr>
      </w:pPr>
    </w:p>
    <w:p w14:paraId="285B24D9" w14:textId="77777777" w:rsidR="0044489E" w:rsidRPr="00442034" w:rsidRDefault="0044489E" w:rsidP="008301AE">
      <w:pPr>
        <w:jc w:val="center"/>
        <w:rPr>
          <w:rFonts w:ascii="Times New Roman" w:hAnsi="Times New Roman" w:cs="Times New Roman"/>
          <w:sz w:val="24"/>
          <w:szCs w:val="24"/>
        </w:rPr>
      </w:pPr>
    </w:p>
    <w:p w14:paraId="0F0E22A7" w14:textId="3C9F08BC"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 Copyright by HEATHER M. LEPPER-PAPPAN 2024</w:t>
      </w:r>
    </w:p>
    <w:p w14:paraId="0AFB76DF" w14:textId="1A091D13"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t>All Rights Reserved.</w:t>
      </w:r>
    </w:p>
    <w:p w14:paraId="678B9D35" w14:textId="6B6190C6" w:rsidR="0044489E" w:rsidRPr="00442034" w:rsidRDefault="0044489E" w:rsidP="008301AE">
      <w:pPr>
        <w:jc w:val="center"/>
        <w:rPr>
          <w:rFonts w:ascii="Times New Roman" w:hAnsi="Times New Roman" w:cs="Times New Roman"/>
          <w:sz w:val="24"/>
          <w:szCs w:val="24"/>
        </w:rPr>
        <w:sectPr w:rsidR="0044489E" w:rsidRPr="00442034" w:rsidSect="00E4733D">
          <w:footerReference w:type="even" r:id="rId8"/>
          <w:footerReference w:type="default" r:id="rId9"/>
          <w:pgSz w:w="12240" w:h="15840"/>
          <w:pgMar w:top="1440" w:right="1440" w:bottom="1440" w:left="1440" w:header="720" w:footer="720" w:gutter="0"/>
          <w:cols w:space="720"/>
          <w:docGrid w:linePitch="360"/>
        </w:sectPr>
      </w:pPr>
    </w:p>
    <w:p w14:paraId="184E7B21" w14:textId="77777777" w:rsidR="008301AE" w:rsidRPr="00442034" w:rsidRDefault="008301AE" w:rsidP="008301AE">
      <w:pPr>
        <w:jc w:val="center"/>
        <w:rPr>
          <w:rFonts w:ascii="Times New Roman" w:hAnsi="Times New Roman" w:cs="Times New Roman"/>
          <w:sz w:val="24"/>
          <w:szCs w:val="24"/>
        </w:rPr>
      </w:pPr>
      <w:r w:rsidRPr="00442034">
        <w:rPr>
          <w:rFonts w:ascii="Times New Roman" w:hAnsi="Times New Roman" w:cs="Times New Roman"/>
          <w:sz w:val="24"/>
          <w:szCs w:val="24"/>
        </w:rPr>
        <w:lastRenderedPageBreak/>
        <w:t>TABLE OF CONTENTS</w:t>
      </w:r>
    </w:p>
    <w:p w14:paraId="6E6AE1F4" w14:textId="0760061F" w:rsidR="008301AE" w:rsidRPr="00442034" w:rsidRDefault="008301AE" w:rsidP="008301AE">
      <w:pPr>
        <w:spacing w:line="480" w:lineRule="auto"/>
        <w:rPr>
          <w:rFonts w:ascii="Times New Roman" w:hAnsi="Times New Roman" w:cs="Times New Roman"/>
          <w:sz w:val="24"/>
          <w:szCs w:val="24"/>
        </w:rPr>
      </w:pPr>
      <w:r w:rsidRPr="00442034">
        <w:rPr>
          <w:rFonts w:ascii="Times New Roman" w:hAnsi="Times New Roman" w:cs="Times New Roman"/>
          <w:sz w:val="24"/>
          <w:szCs w:val="24"/>
        </w:rPr>
        <w:t>1. Acknowledgements…………………………………………………………………………</w:t>
      </w:r>
      <w:proofErr w:type="gramStart"/>
      <w:r w:rsidRPr="00442034">
        <w:rPr>
          <w:rFonts w:ascii="Times New Roman" w:hAnsi="Times New Roman" w:cs="Times New Roman"/>
          <w:sz w:val="24"/>
          <w:szCs w:val="24"/>
        </w:rPr>
        <w:t>…..</w:t>
      </w:r>
      <w:proofErr w:type="gramEnd"/>
      <w:r w:rsidRPr="00442034">
        <w:rPr>
          <w:rFonts w:ascii="Times New Roman" w:hAnsi="Times New Roman" w:cs="Times New Roman"/>
          <w:sz w:val="24"/>
          <w:szCs w:val="24"/>
        </w:rPr>
        <w:t>v</w:t>
      </w:r>
    </w:p>
    <w:p w14:paraId="6C58AD6E" w14:textId="09D78671" w:rsidR="008301AE" w:rsidRPr="00442034" w:rsidRDefault="008301AE" w:rsidP="008301AE">
      <w:pPr>
        <w:spacing w:line="480" w:lineRule="auto"/>
        <w:rPr>
          <w:rFonts w:ascii="Times New Roman" w:hAnsi="Times New Roman" w:cs="Times New Roman"/>
          <w:sz w:val="24"/>
          <w:szCs w:val="24"/>
        </w:rPr>
      </w:pPr>
      <w:r w:rsidRPr="00442034">
        <w:rPr>
          <w:rFonts w:ascii="Times New Roman" w:hAnsi="Times New Roman" w:cs="Times New Roman"/>
          <w:sz w:val="24"/>
          <w:szCs w:val="24"/>
        </w:rPr>
        <w:t>2. Abstract………………………………………………………………………………………...vi</w:t>
      </w:r>
    </w:p>
    <w:p w14:paraId="32283FC8" w14:textId="2C4D52DA" w:rsidR="008301AE" w:rsidRPr="00442034" w:rsidRDefault="008301AE" w:rsidP="008301AE">
      <w:pPr>
        <w:spacing w:line="480" w:lineRule="auto"/>
        <w:rPr>
          <w:rFonts w:ascii="Times New Roman" w:hAnsi="Times New Roman" w:cs="Times New Roman"/>
          <w:sz w:val="24"/>
          <w:szCs w:val="24"/>
        </w:rPr>
      </w:pPr>
      <w:r w:rsidRPr="00442034">
        <w:rPr>
          <w:rFonts w:ascii="Times New Roman" w:hAnsi="Times New Roman" w:cs="Times New Roman"/>
          <w:sz w:val="24"/>
          <w:szCs w:val="24"/>
        </w:rPr>
        <w:t>3. Chapter One: Introduction……………………………………………………………………...1</w:t>
      </w:r>
    </w:p>
    <w:p w14:paraId="1A37BCF5" w14:textId="77777777" w:rsidR="00B36F35" w:rsidRPr="00442034" w:rsidRDefault="008301AE" w:rsidP="008301AE">
      <w:pPr>
        <w:spacing w:line="480" w:lineRule="auto"/>
        <w:rPr>
          <w:rFonts w:ascii="Times New Roman" w:hAnsi="Times New Roman" w:cs="Times New Roman"/>
          <w:sz w:val="24"/>
          <w:szCs w:val="24"/>
        </w:rPr>
      </w:pPr>
      <w:r w:rsidRPr="00442034">
        <w:rPr>
          <w:rFonts w:ascii="Times New Roman" w:hAnsi="Times New Roman" w:cs="Times New Roman"/>
          <w:sz w:val="24"/>
          <w:szCs w:val="24"/>
        </w:rPr>
        <w:t xml:space="preserve">4. Chapter Two: What’s Love Got to Do with It? How LGBQ Youth’s Relationship </w:t>
      </w:r>
    </w:p>
    <w:p w14:paraId="4D94909D" w14:textId="570CE950" w:rsidR="008301AE" w:rsidRPr="00442034" w:rsidRDefault="008301AE" w:rsidP="00B36F35">
      <w:pPr>
        <w:spacing w:line="480" w:lineRule="auto"/>
        <w:ind w:left="270"/>
        <w:rPr>
          <w:rFonts w:ascii="Times New Roman" w:hAnsi="Times New Roman" w:cs="Times New Roman"/>
          <w:sz w:val="24"/>
          <w:szCs w:val="24"/>
        </w:rPr>
      </w:pPr>
      <w:r w:rsidRPr="00442034">
        <w:rPr>
          <w:rFonts w:ascii="Times New Roman" w:hAnsi="Times New Roman" w:cs="Times New Roman"/>
          <w:sz w:val="24"/>
          <w:szCs w:val="24"/>
        </w:rPr>
        <w:t>with their Caregiver Impacts their Well-Being</w:t>
      </w:r>
      <w:r w:rsidR="00260D43">
        <w:rPr>
          <w:rFonts w:ascii="Times New Roman" w:hAnsi="Times New Roman" w:cs="Times New Roman"/>
          <w:sz w:val="24"/>
          <w:szCs w:val="24"/>
        </w:rPr>
        <w:t>…</w:t>
      </w:r>
      <w:proofErr w:type="gramStart"/>
      <w:r w:rsidR="00260D43">
        <w:rPr>
          <w:rFonts w:ascii="Times New Roman" w:hAnsi="Times New Roman" w:cs="Times New Roman"/>
          <w:sz w:val="24"/>
          <w:szCs w:val="24"/>
        </w:rPr>
        <w:t>…..</w:t>
      </w:r>
      <w:proofErr w:type="gramEnd"/>
      <w:r w:rsidR="00260D43" w:rsidRPr="00442034" w:rsidDel="00260D43">
        <w:rPr>
          <w:rFonts w:ascii="Times New Roman" w:hAnsi="Times New Roman" w:cs="Times New Roman"/>
          <w:sz w:val="24"/>
          <w:szCs w:val="24"/>
        </w:rPr>
        <w:t xml:space="preserve"> </w:t>
      </w:r>
      <w:r w:rsidR="00260D43">
        <w:rPr>
          <w:rFonts w:ascii="Times New Roman" w:hAnsi="Times New Roman" w:cs="Times New Roman"/>
          <w:sz w:val="24"/>
          <w:szCs w:val="24"/>
        </w:rPr>
        <w:t>…………………...</w:t>
      </w:r>
      <w:r w:rsidRPr="00442034">
        <w:rPr>
          <w:rFonts w:ascii="Times New Roman" w:hAnsi="Times New Roman" w:cs="Times New Roman"/>
          <w:sz w:val="24"/>
          <w:szCs w:val="24"/>
        </w:rPr>
        <w:t>……………………</w:t>
      </w:r>
      <w:r w:rsidR="00D37066">
        <w:rPr>
          <w:rFonts w:ascii="Times New Roman" w:hAnsi="Times New Roman" w:cs="Times New Roman"/>
          <w:sz w:val="24"/>
          <w:szCs w:val="24"/>
        </w:rPr>
        <w:t>2</w:t>
      </w:r>
      <w:r w:rsidR="00991045">
        <w:rPr>
          <w:rFonts w:ascii="Times New Roman" w:hAnsi="Times New Roman" w:cs="Times New Roman"/>
          <w:sz w:val="24"/>
          <w:szCs w:val="24"/>
        </w:rPr>
        <w:t>7</w:t>
      </w:r>
    </w:p>
    <w:p w14:paraId="676F9A35" w14:textId="77777777" w:rsidR="009421F1" w:rsidRPr="00442034" w:rsidRDefault="00B36F35" w:rsidP="009421F1">
      <w:pPr>
        <w:spacing w:line="480" w:lineRule="auto"/>
        <w:rPr>
          <w:rFonts w:ascii="Times New Roman" w:hAnsi="Times New Roman" w:cs="Times New Roman"/>
          <w:sz w:val="24"/>
          <w:szCs w:val="24"/>
        </w:rPr>
      </w:pPr>
      <w:r w:rsidRPr="00442034">
        <w:rPr>
          <w:rFonts w:ascii="Times New Roman" w:hAnsi="Times New Roman" w:cs="Times New Roman"/>
          <w:sz w:val="24"/>
          <w:szCs w:val="24"/>
        </w:rPr>
        <w:t xml:space="preserve">5. Chapter Three: </w:t>
      </w:r>
      <w:r w:rsidR="009421F1" w:rsidRPr="00442034">
        <w:rPr>
          <w:rFonts w:ascii="Times New Roman" w:hAnsi="Times New Roman" w:cs="Times New Roman"/>
          <w:sz w:val="24"/>
          <w:szCs w:val="24"/>
        </w:rPr>
        <w:t xml:space="preserve">Supporting the Future: Future Expectations for LGBQ Youth in </w:t>
      </w:r>
    </w:p>
    <w:p w14:paraId="51876218" w14:textId="758F267A" w:rsidR="00B36F35" w:rsidRPr="00442034" w:rsidRDefault="009421F1" w:rsidP="009421F1">
      <w:pPr>
        <w:spacing w:line="480" w:lineRule="auto"/>
        <w:ind w:left="270"/>
        <w:rPr>
          <w:rFonts w:ascii="Times New Roman" w:hAnsi="Times New Roman" w:cs="Times New Roman"/>
          <w:sz w:val="24"/>
          <w:szCs w:val="24"/>
        </w:rPr>
      </w:pPr>
      <w:r w:rsidRPr="00442034">
        <w:rPr>
          <w:rFonts w:ascii="Times New Roman" w:hAnsi="Times New Roman" w:cs="Times New Roman"/>
          <w:sz w:val="24"/>
          <w:szCs w:val="24"/>
        </w:rPr>
        <w:t>Child Welfare and How Social Support Shapes Them</w:t>
      </w:r>
      <w:r w:rsidR="00B36F35" w:rsidRPr="00442034">
        <w:rPr>
          <w:rFonts w:ascii="Times New Roman" w:hAnsi="Times New Roman" w:cs="Times New Roman"/>
          <w:sz w:val="24"/>
          <w:szCs w:val="24"/>
        </w:rPr>
        <w:t>..............................................................</w:t>
      </w:r>
      <w:r w:rsidR="007052E2">
        <w:rPr>
          <w:rFonts w:ascii="Times New Roman" w:hAnsi="Times New Roman" w:cs="Times New Roman"/>
          <w:sz w:val="24"/>
          <w:szCs w:val="24"/>
        </w:rPr>
        <w:t>5</w:t>
      </w:r>
      <w:r w:rsidR="004A105F">
        <w:rPr>
          <w:rFonts w:ascii="Times New Roman" w:hAnsi="Times New Roman" w:cs="Times New Roman"/>
          <w:sz w:val="24"/>
          <w:szCs w:val="24"/>
        </w:rPr>
        <w:t>3</w:t>
      </w:r>
    </w:p>
    <w:p w14:paraId="06798B34" w14:textId="77777777" w:rsidR="009421F1" w:rsidRPr="00442034" w:rsidRDefault="00B36F35" w:rsidP="009421F1">
      <w:pPr>
        <w:spacing w:line="480" w:lineRule="auto"/>
        <w:rPr>
          <w:rFonts w:ascii="Times New Roman" w:hAnsi="Times New Roman" w:cs="Times New Roman"/>
          <w:sz w:val="24"/>
          <w:szCs w:val="24"/>
        </w:rPr>
      </w:pPr>
      <w:r w:rsidRPr="00442034">
        <w:rPr>
          <w:rFonts w:ascii="Times New Roman" w:hAnsi="Times New Roman" w:cs="Times New Roman"/>
          <w:sz w:val="24"/>
          <w:szCs w:val="24"/>
        </w:rPr>
        <w:t xml:space="preserve">6. Chapter Four: </w:t>
      </w:r>
      <w:r w:rsidR="009421F1" w:rsidRPr="00442034">
        <w:rPr>
          <w:rFonts w:ascii="Times New Roman" w:hAnsi="Times New Roman" w:cs="Times New Roman"/>
          <w:sz w:val="24"/>
          <w:szCs w:val="24"/>
        </w:rPr>
        <w:t xml:space="preserve">The Caseworker as an External Locus of Hope for LGB Youth </w:t>
      </w:r>
    </w:p>
    <w:p w14:paraId="5786E6FA" w14:textId="7E9DDE9E" w:rsidR="00B36F35" w:rsidRPr="00442034" w:rsidRDefault="009421F1" w:rsidP="009421F1">
      <w:pPr>
        <w:spacing w:line="480" w:lineRule="auto"/>
        <w:ind w:left="270"/>
        <w:rPr>
          <w:rFonts w:ascii="Times New Roman" w:hAnsi="Times New Roman" w:cs="Times New Roman"/>
          <w:sz w:val="24"/>
          <w:szCs w:val="24"/>
        </w:rPr>
      </w:pPr>
      <w:r w:rsidRPr="00442034">
        <w:rPr>
          <w:rFonts w:ascii="Times New Roman" w:hAnsi="Times New Roman" w:cs="Times New Roman"/>
          <w:sz w:val="24"/>
          <w:szCs w:val="24"/>
        </w:rPr>
        <w:t>in Foster Care………………………………………………………………………………</w:t>
      </w:r>
      <w:r w:rsidR="007052E2">
        <w:rPr>
          <w:rFonts w:ascii="Times New Roman" w:hAnsi="Times New Roman" w:cs="Times New Roman"/>
          <w:sz w:val="24"/>
          <w:szCs w:val="24"/>
        </w:rPr>
        <w:t>…9</w:t>
      </w:r>
      <w:r w:rsidR="00A8638A">
        <w:rPr>
          <w:rFonts w:ascii="Times New Roman" w:hAnsi="Times New Roman" w:cs="Times New Roman"/>
          <w:sz w:val="24"/>
          <w:szCs w:val="24"/>
        </w:rPr>
        <w:t>7</w:t>
      </w:r>
    </w:p>
    <w:p w14:paraId="6104558B" w14:textId="1097EEF7" w:rsidR="00B36F35" w:rsidRPr="00442034" w:rsidRDefault="00B36F35" w:rsidP="00B36F35">
      <w:pPr>
        <w:spacing w:line="480" w:lineRule="auto"/>
        <w:rPr>
          <w:rFonts w:ascii="Times New Roman" w:hAnsi="Times New Roman" w:cs="Times New Roman"/>
          <w:sz w:val="24"/>
          <w:szCs w:val="24"/>
        </w:rPr>
        <w:sectPr w:rsidR="00B36F35" w:rsidRPr="00442034" w:rsidSect="00E4733D">
          <w:footerReference w:type="default" r:id="rId10"/>
          <w:pgSz w:w="12240" w:h="15840"/>
          <w:pgMar w:top="1440" w:right="1440" w:bottom="1440" w:left="1440" w:header="720" w:footer="720" w:gutter="0"/>
          <w:cols w:space="720"/>
          <w:docGrid w:linePitch="360"/>
        </w:sectPr>
      </w:pPr>
      <w:r w:rsidRPr="00442034">
        <w:rPr>
          <w:rFonts w:ascii="Times New Roman" w:hAnsi="Times New Roman" w:cs="Times New Roman"/>
          <w:sz w:val="24"/>
          <w:szCs w:val="24"/>
        </w:rPr>
        <w:t>7. Chapter Five: Conclusion……………………………………………………………………</w:t>
      </w:r>
      <w:r w:rsidR="00880A6D">
        <w:rPr>
          <w:rFonts w:ascii="Times New Roman" w:hAnsi="Times New Roman" w:cs="Times New Roman"/>
          <w:sz w:val="24"/>
          <w:szCs w:val="24"/>
        </w:rPr>
        <w:t>1</w:t>
      </w:r>
      <w:r w:rsidR="007052E2">
        <w:rPr>
          <w:rFonts w:ascii="Times New Roman" w:hAnsi="Times New Roman" w:cs="Times New Roman"/>
          <w:sz w:val="24"/>
          <w:szCs w:val="24"/>
        </w:rPr>
        <w:t>2</w:t>
      </w:r>
      <w:r w:rsidR="00A8638A">
        <w:rPr>
          <w:rFonts w:ascii="Times New Roman" w:hAnsi="Times New Roman" w:cs="Times New Roman"/>
          <w:sz w:val="24"/>
          <w:szCs w:val="24"/>
        </w:rPr>
        <w:t>7</w:t>
      </w:r>
    </w:p>
    <w:p w14:paraId="032B29CE" w14:textId="67F5CA09" w:rsidR="008301AE" w:rsidRPr="00442034" w:rsidRDefault="00B36F35" w:rsidP="00B36F35">
      <w:pPr>
        <w:rPr>
          <w:rFonts w:ascii="Times New Roman" w:hAnsi="Times New Roman" w:cs="Times New Roman"/>
          <w:sz w:val="24"/>
          <w:szCs w:val="24"/>
        </w:rPr>
      </w:pPr>
      <w:r w:rsidRPr="00442034">
        <w:rPr>
          <w:rFonts w:ascii="Times New Roman" w:hAnsi="Times New Roman" w:cs="Times New Roman"/>
          <w:sz w:val="24"/>
          <w:szCs w:val="24"/>
        </w:rPr>
        <w:lastRenderedPageBreak/>
        <w:t>ACKNOWLEDGEMENTS</w:t>
      </w:r>
    </w:p>
    <w:p w14:paraId="58EBADB1" w14:textId="416F9B12" w:rsidR="00B36F35" w:rsidRPr="00442034" w:rsidRDefault="00B36F35" w:rsidP="00B36F35">
      <w:pPr>
        <w:rPr>
          <w:rFonts w:ascii="Times New Roman" w:hAnsi="Times New Roman" w:cs="Times New Roman"/>
          <w:sz w:val="24"/>
          <w:szCs w:val="24"/>
        </w:rPr>
      </w:pPr>
      <w:r w:rsidRPr="00442034">
        <w:rPr>
          <w:rFonts w:ascii="Times New Roman" w:hAnsi="Times New Roman" w:cs="Times New Roman"/>
          <w:sz w:val="24"/>
          <w:szCs w:val="24"/>
        </w:rPr>
        <w:tab/>
        <w:t>The completion of this dissertation was only possible thanks to the love and support from my family and friends, specifically my wife</w:t>
      </w:r>
      <w:r w:rsidR="000409CA">
        <w:rPr>
          <w:rFonts w:ascii="Times New Roman" w:hAnsi="Times New Roman" w:cs="Times New Roman"/>
          <w:sz w:val="24"/>
          <w:szCs w:val="24"/>
        </w:rPr>
        <w:t>,</w:t>
      </w:r>
      <w:r w:rsidRPr="00442034">
        <w:rPr>
          <w:rFonts w:ascii="Times New Roman" w:hAnsi="Times New Roman" w:cs="Times New Roman"/>
          <w:sz w:val="24"/>
          <w:szCs w:val="24"/>
        </w:rPr>
        <w:t xml:space="preserve"> Katlyn</w:t>
      </w:r>
      <w:r w:rsidR="000409CA">
        <w:rPr>
          <w:rFonts w:ascii="Times New Roman" w:hAnsi="Times New Roman" w:cs="Times New Roman"/>
          <w:sz w:val="24"/>
          <w:szCs w:val="24"/>
        </w:rPr>
        <w:t>,</w:t>
      </w:r>
      <w:r w:rsidRPr="00442034">
        <w:rPr>
          <w:rFonts w:ascii="Times New Roman" w:hAnsi="Times New Roman" w:cs="Times New Roman"/>
          <w:sz w:val="24"/>
          <w:szCs w:val="24"/>
        </w:rPr>
        <w:t xml:space="preserve"> and my son</w:t>
      </w:r>
      <w:r w:rsidR="000409CA">
        <w:rPr>
          <w:rFonts w:ascii="Times New Roman" w:hAnsi="Times New Roman" w:cs="Times New Roman"/>
          <w:sz w:val="24"/>
          <w:szCs w:val="24"/>
        </w:rPr>
        <w:t>,</w:t>
      </w:r>
      <w:r w:rsidRPr="00442034">
        <w:rPr>
          <w:rFonts w:ascii="Times New Roman" w:hAnsi="Times New Roman" w:cs="Times New Roman"/>
          <w:sz w:val="24"/>
          <w:szCs w:val="24"/>
        </w:rPr>
        <w:t xml:space="preserve"> Liam. I would also like to thank my advisor, Dr. Erin Maher, for her guidance and patience, as well as my committee. Finally, I would like to acknowledge my Chapter Three co-authors, Dr. Erin </w:t>
      </w:r>
      <w:proofErr w:type="gramStart"/>
      <w:r w:rsidRPr="00442034">
        <w:rPr>
          <w:rFonts w:ascii="Times New Roman" w:hAnsi="Times New Roman" w:cs="Times New Roman"/>
          <w:sz w:val="24"/>
          <w:szCs w:val="24"/>
        </w:rPr>
        <w:t>Maher</w:t>
      </w:r>
      <w:proofErr w:type="gramEnd"/>
      <w:r w:rsidR="00244552">
        <w:rPr>
          <w:rFonts w:ascii="Times New Roman" w:hAnsi="Times New Roman" w:cs="Times New Roman"/>
          <w:sz w:val="24"/>
          <w:szCs w:val="24"/>
        </w:rPr>
        <w:t xml:space="preserve"> and Rin Ferraro, </w:t>
      </w:r>
      <w:r w:rsidRPr="00442034">
        <w:rPr>
          <w:rFonts w:ascii="Times New Roman" w:hAnsi="Times New Roman" w:cs="Times New Roman"/>
          <w:sz w:val="24"/>
          <w:szCs w:val="24"/>
        </w:rPr>
        <w:t xml:space="preserve">as well as my Chapter Four co-authors, </w:t>
      </w:r>
      <w:r w:rsidR="008A54FA">
        <w:rPr>
          <w:rFonts w:ascii="Times New Roman" w:hAnsi="Times New Roman" w:cs="Times New Roman"/>
          <w:sz w:val="24"/>
          <w:szCs w:val="24"/>
        </w:rPr>
        <w:t>Dr. Angela Pharris, Dr. Erin Maher, and Dr. Anthony Natale.</w:t>
      </w:r>
    </w:p>
    <w:p w14:paraId="3768935D" w14:textId="77777777" w:rsidR="00287250" w:rsidRDefault="00287250">
      <w:pPr>
        <w:rPr>
          <w:rFonts w:ascii="Times New Roman" w:hAnsi="Times New Roman" w:cs="Times New Roman"/>
          <w:sz w:val="24"/>
          <w:szCs w:val="24"/>
        </w:rPr>
      </w:pPr>
    </w:p>
    <w:p w14:paraId="3334F9FB" w14:textId="77777777" w:rsidR="00287250" w:rsidRDefault="00287250">
      <w:pPr>
        <w:rPr>
          <w:rFonts w:ascii="Times New Roman" w:hAnsi="Times New Roman" w:cs="Times New Roman"/>
          <w:sz w:val="24"/>
          <w:szCs w:val="24"/>
        </w:rPr>
      </w:pPr>
    </w:p>
    <w:p w14:paraId="01517349" w14:textId="77777777" w:rsidR="00287250" w:rsidRDefault="00287250">
      <w:pPr>
        <w:rPr>
          <w:rFonts w:ascii="Times New Roman" w:hAnsi="Times New Roman" w:cs="Times New Roman"/>
          <w:sz w:val="24"/>
          <w:szCs w:val="24"/>
        </w:rPr>
      </w:pPr>
    </w:p>
    <w:p w14:paraId="649E1733" w14:textId="77777777" w:rsidR="00287250" w:rsidRDefault="00287250">
      <w:pPr>
        <w:rPr>
          <w:rFonts w:ascii="Times New Roman" w:hAnsi="Times New Roman" w:cs="Times New Roman"/>
          <w:sz w:val="24"/>
          <w:szCs w:val="24"/>
        </w:rPr>
      </w:pPr>
    </w:p>
    <w:p w14:paraId="5EB2207F" w14:textId="77777777" w:rsidR="00287250" w:rsidRDefault="00287250">
      <w:pPr>
        <w:rPr>
          <w:rFonts w:ascii="Times New Roman" w:hAnsi="Times New Roman" w:cs="Times New Roman"/>
          <w:sz w:val="24"/>
          <w:szCs w:val="24"/>
        </w:rPr>
      </w:pPr>
    </w:p>
    <w:p w14:paraId="2D0C6CA5" w14:textId="77777777" w:rsidR="00287250" w:rsidRDefault="00287250">
      <w:pPr>
        <w:rPr>
          <w:rFonts w:ascii="Times New Roman" w:hAnsi="Times New Roman" w:cs="Times New Roman"/>
          <w:sz w:val="24"/>
          <w:szCs w:val="24"/>
        </w:rPr>
      </w:pPr>
    </w:p>
    <w:p w14:paraId="37CD82D7" w14:textId="77777777" w:rsidR="00287250" w:rsidRDefault="00287250">
      <w:pPr>
        <w:rPr>
          <w:rFonts w:ascii="Times New Roman" w:hAnsi="Times New Roman" w:cs="Times New Roman"/>
          <w:sz w:val="24"/>
          <w:szCs w:val="24"/>
        </w:rPr>
      </w:pPr>
    </w:p>
    <w:p w14:paraId="6684134D" w14:textId="77777777" w:rsidR="00287250" w:rsidRDefault="00287250">
      <w:pPr>
        <w:rPr>
          <w:rFonts w:ascii="Times New Roman" w:hAnsi="Times New Roman" w:cs="Times New Roman"/>
          <w:sz w:val="24"/>
          <w:szCs w:val="24"/>
        </w:rPr>
      </w:pPr>
    </w:p>
    <w:p w14:paraId="699A00CB" w14:textId="77777777" w:rsidR="00287250" w:rsidRDefault="00287250">
      <w:pPr>
        <w:rPr>
          <w:rFonts w:ascii="Times New Roman" w:hAnsi="Times New Roman" w:cs="Times New Roman"/>
          <w:sz w:val="24"/>
          <w:szCs w:val="24"/>
        </w:rPr>
      </w:pPr>
    </w:p>
    <w:p w14:paraId="5F90EE70" w14:textId="77777777" w:rsidR="00287250" w:rsidRDefault="00287250">
      <w:pPr>
        <w:rPr>
          <w:rFonts w:ascii="Times New Roman" w:hAnsi="Times New Roman" w:cs="Times New Roman"/>
          <w:sz w:val="24"/>
          <w:szCs w:val="24"/>
        </w:rPr>
      </w:pPr>
    </w:p>
    <w:p w14:paraId="26F50851" w14:textId="77777777" w:rsidR="00287250" w:rsidRDefault="00287250">
      <w:pPr>
        <w:rPr>
          <w:rFonts w:ascii="Times New Roman" w:hAnsi="Times New Roman" w:cs="Times New Roman"/>
          <w:sz w:val="24"/>
          <w:szCs w:val="24"/>
        </w:rPr>
      </w:pPr>
    </w:p>
    <w:p w14:paraId="06A8617F" w14:textId="77777777" w:rsidR="00287250" w:rsidRDefault="00287250">
      <w:pPr>
        <w:rPr>
          <w:rFonts w:ascii="Times New Roman" w:hAnsi="Times New Roman" w:cs="Times New Roman"/>
          <w:sz w:val="24"/>
          <w:szCs w:val="24"/>
        </w:rPr>
      </w:pPr>
    </w:p>
    <w:p w14:paraId="079850F6" w14:textId="77777777" w:rsidR="00287250" w:rsidRDefault="00287250">
      <w:pPr>
        <w:rPr>
          <w:rFonts w:ascii="Times New Roman" w:hAnsi="Times New Roman" w:cs="Times New Roman"/>
          <w:sz w:val="24"/>
          <w:szCs w:val="24"/>
        </w:rPr>
      </w:pPr>
    </w:p>
    <w:p w14:paraId="6278F6A5" w14:textId="77777777" w:rsidR="00287250" w:rsidRDefault="00287250">
      <w:pPr>
        <w:rPr>
          <w:rFonts w:ascii="Times New Roman" w:hAnsi="Times New Roman" w:cs="Times New Roman"/>
          <w:sz w:val="24"/>
          <w:szCs w:val="24"/>
        </w:rPr>
      </w:pPr>
    </w:p>
    <w:p w14:paraId="783DA426" w14:textId="77777777" w:rsidR="00287250" w:rsidRDefault="00287250">
      <w:pPr>
        <w:rPr>
          <w:rFonts w:ascii="Times New Roman" w:hAnsi="Times New Roman" w:cs="Times New Roman"/>
          <w:sz w:val="24"/>
          <w:szCs w:val="24"/>
        </w:rPr>
      </w:pPr>
    </w:p>
    <w:p w14:paraId="6BB3A2B7" w14:textId="77777777" w:rsidR="00287250" w:rsidRDefault="00287250">
      <w:pPr>
        <w:rPr>
          <w:rFonts w:ascii="Times New Roman" w:hAnsi="Times New Roman" w:cs="Times New Roman"/>
          <w:sz w:val="24"/>
          <w:szCs w:val="24"/>
        </w:rPr>
      </w:pPr>
    </w:p>
    <w:p w14:paraId="2744D939" w14:textId="77777777" w:rsidR="00287250" w:rsidRDefault="00287250">
      <w:pPr>
        <w:rPr>
          <w:rFonts w:ascii="Times New Roman" w:hAnsi="Times New Roman" w:cs="Times New Roman"/>
          <w:sz w:val="24"/>
          <w:szCs w:val="24"/>
        </w:rPr>
      </w:pPr>
    </w:p>
    <w:p w14:paraId="3E79D419" w14:textId="77777777" w:rsidR="00287250" w:rsidRDefault="00287250">
      <w:pPr>
        <w:rPr>
          <w:rFonts w:ascii="Times New Roman" w:hAnsi="Times New Roman" w:cs="Times New Roman"/>
          <w:sz w:val="24"/>
          <w:szCs w:val="24"/>
        </w:rPr>
      </w:pPr>
    </w:p>
    <w:p w14:paraId="60539BCA" w14:textId="77777777" w:rsidR="00287250" w:rsidRDefault="00287250">
      <w:pPr>
        <w:rPr>
          <w:rFonts w:ascii="Times New Roman" w:hAnsi="Times New Roman" w:cs="Times New Roman"/>
          <w:sz w:val="24"/>
          <w:szCs w:val="24"/>
        </w:rPr>
      </w:pPr>
    </w:p>
    <w:p w14:paraId="3F4A4AF1" w14:textId="77777777" w:rsidR="00287250" w:rsidRDefault="00287250">
      <w:pPr>
        <w:rPr>
          <w:rFonts w:ascii="Times New Roman" w:hAnsi="Times New Roman" w:cs="Times New Roman"/>
          <w:sz w:val="24"/>
          <w:szCs w:val="24"/>
        </w:rPr>
      </w:pPr>
    </w:p>
    <w:p w14:paraId="02FEAD37" w14:textId="2E6ADCA8" w:rsidR="00B36F35" w:rsidRPr="00442034" w:rsidRDefault="00287250" w:rsidP="00352747">
      <w:pPr>
        <w:jc w:val="center"/>
        <w:rPr>
          <w:rFonts w:ascii="Times New Roman" w:hAnsi="Times New Roman" w:cs="Times New Roman"/>
          <w:sz w:val="24"/>
          <w:szCs w:val="24"/>
        </w:rPr>
        <w:sectPr w:rsidR="00B36F35" w:rsidRPr="00442034" w:rsidSect="00E4733D">
          <w:footerReference w:type="default" r:id="rId11"/>
          <w:pgSz w:w="12240" w:h="15840"/>
          <w:pgMar w:top="1440" w:right="1440" w:bottom="1440" w:left="1440" w:header="720" w:footer="720" w:gutter="0"/>
          <w:cols w:space="720"/>
          <w:docGrid w:linePitch="360"/>
        </w:sectPr>
      </w:pPr>
      <w:r w:rsidRPr="00442034">
        <w:rPr>
          <w:rFonts w:ascii="Times New Roman" w:hAnsi="Times New Roman" w:cs="Times New Roman"/>
          <w:sz w:val="24"/>
          <w:szCs w:val="24"/>
        </w:rPr>
        <w:t xml:space="preserve">The version of record of Chapter Four, first published in the Journal of Public Child Welfare, is available online at Taylor and Francis Online: </w:t>
      </w:r>
      <w:hyperlink r:id="rId12" w:history="1">
        <w:r w:rsidRPr="00442034">
          <w:rPr>
            <w:rStyle w:val="Hyperlink"/>
            <w:rFonts w:ascii="Times New Roman" w:hAnsi="Times New Roman" w:cs="Times New Roman"/>
            <w:sz w:val="24"/>
            <w:szCs w:val="24"/>
          </w:rPr>
          <w:t>https://www.tandfonline.com/doi/full/10.1080/15548732.2023.2193141</w:t>
        </w:r>
      </w:hyperlink>
    </w:p>
    <w:p w14:paraId="4E68980D" w14:textId="5E453C48" w:rsidR="00AE009D" w:rsidRPr="00442034" w:rsidRDefault="00B36F35" w:rsidP="00B36F35">
      <w:pPr>
        <w:rPr>
          <w:rFonts w:ascii="Times New Roman" w:hAnsi="Times New Roman" w:cs="Times New Roman"/>
          <w:sz w:val="24"/>
          <w:szCs w:val="24"/>
        </w:rPr>
      </w:pPr>
      <w:r w:rsidRPr="00442034">
        <w:rPr>
          <w:rFonts w:ascii="Times New Roman" w:hAnsi="Times New Roman" w:cs="Times New Roman"/>
          <w:sz w:val="24"/>
          <w:szCs w:val="24"/>
        </w:rPr>
        <w:lastRenderedPageBreak/>
        <w:t>ABSTRACT</w:t>
      </w:r>
    </w:p>
    <w:p w14:paraId="010676BF" w14:textId="4D7C6062" w:rsidR="00FF45E4" w:rsidRDefault="00B921A9">
      <w:pPr>
        <w:rPr>
          <w:rFonts w:ascii="Times New Roman" w:hAnsi="Times New Roman" w:cs="Times New Roman"/>
          <w:sz w:val="24"/>
          <w:szCs w:val="24"/>
        </w:rPr>
      </w:pPr>
      <w:r w:rsidRPr="00442034">
        <w:rPr>
          <w:rFonts w:ascii="Times New Roman" w:hAnsi="Times New Roman" w:cs="Times New Roman"/>
          <w:sz w:val="24"/>
          <w:szCs w:val="24"/>
        </w:rPr>
        <w:t xml:space="preserve">The purpose of this dissertation is to examine the experiences of an often invisible and understudied population within child welfare, lesbian, gay, bisexual, and queer (LGBQ) youth. Specifically, this research explores support from caregivers, peers, and caseworkers to examine how they influence well-being among LGBQ youth </w:t>
      </w:r>
      <w:r w:rsidR="00E44073">
        <w:rPr>
          <w:rFonts w:ascii="Times New Roman" w:hAnsi="Times New Roman" w:cs="Times New Roman"/>
          <w:sz w:val="24"/>
          <w:szCs w:val="24"/>
        </w:rPr>
        <w:t>who have been involved in the</w:t>
      </w:r>
      <w:r w:rsidRPr="00442034">
        <w:rPr>
          <w:rFonts w:ascii="Times New Roman" w:hAnsi="Times New Roman" w:cs="Times New Roman"/>
          <w:sz w:val="24"/>
          <w:szCs w:val="24"/>
        </w:rPr>
        <w:t xml:space="preserve"> child welfare</w:t>
      </w:r>
      <w:r w:rsidR="00E44073">
        <w:rPr>
          <w:rFonts w:ascii="Times New Roman" w:hAnsi="Times New Roman" w:cs="Times New Roman"/>
          <w:sz w:val="24"/>
          <w:szCs w:val="24"/>
        </w:rPr>
        <w:t xml:space="preserve"> system</w:t>
      </w:r>
      <w:r w:rsidRPr="00442034">
        <w:rPr>
          <w:rFonts w:ascii="Times New Roman" w:hAnsi="Times New Roman" w:cs="Times New Roman"/>
          <w:sz w:val="24"/>
          <w:szCs w:val="24"/>
        </w:rPr>
        <w:t xml:space="preserve">. </w:t>
      </w:r>
      <w:r w:rsidR="006A52FA">
        <w:rPr>
          <w:rFonts w:ascii="Times New Roman" w:hAnsi="Times New Roman" w:cs="Times New Roman"/>
          <w:sz w:val="24"/>
          <w:szCs w:val="24"/>
        </w:rPr>
        <w:t xml:space="preserve">My analyses use </w:t>
      </w:r>
      <w:r w:rsidR="00C153F7">
        <w:rPr>
          <w:rFonts w:ascii="Times New Roman" w:hAnsi="Times New Roman" w:cs="Times New Roman"/>
          <w:sz w:val="24"/>
          <w:szCs w:val="24"/>
        </w:rPr>
        <w:t>standar</w:t>
      </w:r>
      <w:r w:rsidR="00B219ED">
        <w:rPr>
          <w:rFonts w:ascii="Times New Roman" w:hAnsi="Times New Roman" w:cs="Times New Roman"/>
          <w:sz w:val="24"/>
          <w:szCs w:val="24"/>
        </w:rPr>
        <w:t>d</w:t>
      </w:r>
      <w:r w:rsidR="00C153F7">
        <w:rPr>
          <w:rFonts w:ascii="Times New Roman" w:hAnsi="Times New Roman" w:cs="Times New Roman"/>
          <w:sz w:val="24"/>
          <w:szCs w:val="24"/>
        </w:rPr>
        <w:t xml:space="preserve"> statistical </w:t>
      </w:r>
      <w:r w:rsidR="0054459A">
        <w:rPr>
          <w:rFonts w:ascii="Times New Roman" w:hAnsi="Times New Roman" w:cs="Times New Roman"/>
          <w:sz w:val="24"/>
          <w:szCs w:val="24"/>
        </w:rPr>
        <w:t xml:space="preserve">methods </w:t>
      </w:r>
      <w:r w:rsidR="00617A1D">
        <w:rPr>
          <w:rFonts w:ascii="Times New Roman" w:hAnsi="Times New Roman" w:cs="Times New Roman"/>
          <w:sz w:val="24"/>
          <w:szCs w:val="24"/>
        </w:rPr>
        <w:t>from a</w:t>
      </w:r>
      <w:r w:rsidR="0054459A">
        <w:rPr>
          <w:rFonts w:ascii="Times New Roman" w:hAnsi="Times New Roman" w:cs="Times New Roman"/>
          <w:sz w:val="24"/>
          <w:szCs w:val="24"/>
        </w:rPr>
        <w:t xml:space="preserve"> nationally representative data set of youth in the child welfare system </w:t>
      </w:r>
      <w:r w:rsidR="00617A1D">
        <w:rPr>
          <w:rFonts w:ascii="Times New Roman" w:hAnsi="Times New Roman" w:cs="Times New Roman"/>
          <w:sz w:val="24"/>
          <w:szCs w:val="24"/>
        </w:rPr>
        <w:t>and</w:t>
      </w:r>
      <w:r w:rsidR="0054459A">
        <w:rPr>
          <w:rFonts w:ascii="Times New Roman" w:hAnsi="Times New Roman" w:cs="Times New Roman"/>
          <w:sz w:val="24"/>
          <w:szCs w:val="24"/>
        </w:rPr>
        <w:t xml:space="preserve"> data from the state of Oklahoma. </w:t>
      </w:r>
      <w:r w:rsidR="00FF45E4">
        <w:rPr>
          <w:rFonts w:ascii="Times New Roman" w:hAnsi="Times New Roman" w:cs="Times New Roman"/>
          <w:sz w:val="24"/>
          <w:szCs w:val="24"/>
        </w:rPr>
        <w:t xml:space="preserve">Chapter Two explores how sexual orientation </w:t>
      </w:r>
      <w:r w:rsidR="00687312">
        <w:rPr>
          <w:rFonts w:ascii="Times New Roman" w:hAnsi="Times New Roman" w:cs="Times New Roman"/>
          <w:sz w:val="24"/>
          <w:szCs w:val="24"/>
        </w:rPr>
        <w:t>and the quality of the relationship with the youth’s caregiver influences their internalizing and externalizing behavior problems. I find that for LGBQ youth, as the</w:t>
      </w:r>
      <w:r w:rsidR="00B219ED">
        <w:rPr>
          <w:rFonts w:ascii="Times New Roman" w:hAnsi="Times New Roman" w:cs="Times New Roman"/>
          <w:sz w:val="24"/>
          <w:szCs w:val="24"/>
        </w:rPr>
        <w:t xml:space="preserve"> quality of the</w:t>
      </w:r>
      <w:r w:rsidR="00687312">
        <w:rPr>
          <w:rFonts w:ascii="Times New Roman" w:hAnsi="Times New Roman" w:cs="Times New Roman"/>
          <w:sz w:val="24"/>
          <w:szCs w:val="24"/>
        </w:rPr>
        <w:t xml:space="preserve">ir relationship with their caregiver increases, so too do their reported behavioral problems. </w:t>
      </w:r>
      <w:r w:rsidR="00FB5ADC">
        <w:rPr>
          <w:rFonts w:ascii="Times New Roman" w:hAnsi="Times New Roman" w:cs="Times New Roman"/>
          <w:sz w:val="24"/>
          <w:szCs w:val="24"/>
        </w:rPr>
        <w:t xml:space="preserve">I hypothesize why this might be the case. </w:t>
      </w:r>
      <w:r w:rsidR="00687312">
        <w:rPr>
          <w:rFonts w:ascii="Times New Roman" w:hAnsi="Times New Roman" w:cs="Times New Roman"/>
          <w:sz w:val="24"/>
          <w:szCs w:val="24"/>
        </w:rPr>
        <w:t xml:space="preserve">Chapter Three examines the future expectations for LGBQ and non-LGBQ youth, and results showed that caregiver and peer support influence these expectations, </w:t>
      </w:r>
      <w:r w:rsidR="00F7036A">
        <w:rPr>
          <w:rFonts w:ascii="Times New Roman" w:hAnsi="Times New Roman" w:cs="Times New Roman"/>
          <w:sz w:val="24"/>
          <w:szCs w:val="24"/>
        </w:rPr>
        <w:t>in positive and negative ways</w:t>
      </w:r>
      <w:r w:rsidR="00687312">
        <w:rPr>
          <w:rFonts w:ascii="Times New Roman" w:hAnsi="Times New Roman" w:cs="Times New Roman"/>
          <w:sz w:val="24"/>
          <w:szCs w:val="24"/>
        </w:rPr>
        <w:t xml:space="preserve">. Chapter Four </w:t>
      </w:r>
      <w:r w:rsidR="00D0549E">
        <w:rPr>
          <w:rFonts w:ascii="Times New Roman" w:hAnsi="Times New Roman" w:cs="Times New Roman"/>
          <w:sz w:val="24"/>
          <w:szCs w:val="24"/>
        </w:rPr>
        <w:t xml:space="preserve">looks at LGB youth </w:t>
      </w:r>
      <w:r w:rsidR="004F6E5E">
        <w:rPr>
          <w:rFonts w:ascii="Times New Roman" w:hAnsi="Times New Roman" w:cs="Times New Roman"/>
          <w:sz w:val="24"/>
          <w:szCs w:val="24"/>
        </w:rPr>
        <w:t xml:space="preserve">placed in foster care </w:t>
      </w:r>
      <w:r w:rsidR="00D0549E">
        <w:rPr>
          <w:rFonts w:ascii="Times New Roman" w:hAnsi="Times New Roman" w:cs="Times New Roman"/>
          <w:sz w:val="24"/>
          <w:szCs w:val="24"/>
        </w:rPr>
        <w:t xml:space="preserve">within the state of Oklahoma and their levels of hope </w:t>
      </w:r>
      <w:r w:rsidR="00F7036A">
        <w:rPr>
          <w:rFonts w:ascii="Times New Roman" w:hAnsi="Times New Roman" w:cs="Times New Roman"/>
          <w:sz w:val="24"/>
          <w:szCs w:val="24"/>
        </w:rPr>
        <w:t xml:space="preserve">in </w:t>
      </w:r>
      <w:r w:rsidR="00D0549E">
        <w:rPr>
          <w:rFonts w:ascii="Times New Roman" w:hAnsi="Times New Roman" w:cs="Times New Roman"/>
          <w:sz w:val="24"/>
          <w:szCs w:val="24"/>
        </w:rPr>
        <w:t xml:space="preserve">their </w:t>
      </w:r>
      <w:r w:rsidR="00F7036A">
        <w:rPr>
          <w:rFonts w:ascii="Times New Roman" w:hAnsi="Times New Roman" w:cs="Times New Roman"/>
          <w:sz w:val="24"/>
          <w:szCs w:val="24"/>
        </w:rPr>
        <w:t xml:space="preserve">child welfare </w:t>
      </w:r>
      <w:r w:rsidR="00D0549E">
        <w:rPr>
          <w:rFonts w:ascii="Times New Roman" w:hAnsi="Times New Roman" w:cs="Times New Roman"/>
          <w:sz w:val="24"/>
          <w:szCs w:val="24"/>
        </w:rPr>
        <w:t xml:space="preserve">caseworker. </w:t>
      </w:r>
      <w:r w:rsidR="00F7036A">
        <w:rPr>
          <w:rFonts w:ascii="Times New Roman" w:hAnsi="Times New Roman" w:cs="Times New Roman"/>
          <w:sz w:val="24"/>
          <w:szCs w:val="24"/>
        </w:rPr>
        <w:t>My co-authors and I</w:t>
      </w:r>
      <w:r w:rsidR="00CF2EF7">
        <w:rPr>
          <w:rFonts w:ascii="Times New Roman" w:hAnsi="Times New Roman" w:cs="Times New Roman"/>
          <w:sz w:val="24"/>
          <w:szCs w:val="24"/>
        </w:rPr>
        <w:t xml:space="preserve"> found that LGB youth who have experienced</w:t>
      </w:r>
      <w:r w:rsidR="00C61323">
        <w:rPr>
          <w:rFonts w:ascii="Times New Roman" w:hAnsi="Times New Roman" w:cs="Times New Roman"/>
          <w:sz w:val="24"/>
          <w:szCs w:val="24"/>
        </w:rPr>
        <w:t xml:space="preserve"> severe adverse childhood experiences (ACES) had greater hope in their caseworker.</w:t>
      </w:r>
      <w:r w:rsidR="00D0549E">
        <w:rPr>
          <w:rFonts w:ascii="Times New Roman" w:hAnsi="Times New Roman" w:cs="Times New Roman"/>
          <w:sz w:val="24"/>
          <w:szCs w:val="24"/>
        </w:rPr>
        <w:t xml:space="preserve"> </w:t>
      </w:r>
      <w:r w:rsidR="00EF6437">
        <w:rPr>
          <w:rFonts w:ascii="Times New Roman" w:hAnsi="Times New Roman" w:cs="Times New Roman"/>
          <w:sz w:val="24"/>
          <w:szCs w:val="24"/>
        </w:rPr>
        <w:t xml:space="preserve">I conclude by discussing the implications of this research and how policies and programs could be </w:t>
      </w:r>
      <w:r w:rsidR="00EC6874">
        <w:rPr>
          <w:rFonts w:ascii="Times New Roman" w:hAnsi="Times New Roman" w:cs="Times New Roman"/>
          <w:sz w:val="24"/>
          <w:szCs w:val="24"/>
        </w:rPr>
        <w:t xml:space="preserve">developed, </w:t>
      </w:r>
      <w:r w:rsidR="00EF6437">
        <w:rPr>
          <w:rFonts w:ascii="Times New Roman" w:hAnsi="Times New Roman" w:cs="Times New Roman"/>
          <w:sz w:val="24"/>
          <w:szCs w:val="24"/>
        </w:rPr>
        <w:t>implemented</w:t>
      </w:r>
      <w:r w:rsidR="00EC6874">
        <w:rPr>
          <w:rFonts w:ascii="Times New Roman" w:hAnsi="Times New Roman" w:cs="Times New Roman"/>
          <w:sz w:val="24"/>
          <w:szCs w:val="24"/>
        </w:rPr>
        <w:t>,</w:t>
      </w:r>
      <w:r w:rsidR="00EF6437">
        <w:rPr>
          <w:rFonts w:ascii="Times New Roman" w:hAnsi="Times New Roman" w:cs="Times New Roman"/>
          <w:sz w:val="24"/>
          <w:szCs w:val="24"/>
        </w:rPr>
        <w:t xml:space="preserve"> or improved to help this </w:t>
      </w:r>
      <w:r w:rsidR="004E08E4">
        <w:rPr>
          <w:rFonts w:ascii="Times New Roman" w:hAnsi="Times New Roman" w:cs="Times New Roman"/>
          <w:sz w:val="24"/>
          <w:szCs w:val="24"/>
        </w:rPr>
        <w:t>vulnerable population.</w:t>
      </w:r>
    </w:p>
    <w:p w14:paraId="394B176C" w14:textId="77777777" w:rsidR="00FF45E4" w:rsidRDefault="00FF45E4">
      <w:pPr>
        <w:rPr>
          <w:rFonts w:ascii="Times New Roman" w:hAnsi="Times New Roman" w:cs="Times New Roman"/>
          <w:sz w:val="24"/>
          <w:szCs w:val="24"/>
        </w:rPr>
      </w:pPr>
    </w:p>
    <w:p w14:paraId="5A073162" w14:textId="77777777" w:rsidR="00FF45E4" w:rsidRDefault="00FF45E4">
      <w:pPr>
        <w:rPr>
          <w:rFonts w:ascii="Times New Roman" w:hAnsi="Times New Roman" w:cs="Times New Roman"/>
          <w:sz w:val="24"/>
          <w:szCs w:val="24"/>
        </w:rPr>
      </w:pPr>
    </w:p>
    <w:p w14:paraId="1874FCA8" w14:textId="77777777" w:rsidR="00FF45E4" w:rsidRDefault="00FF45E4">
      <w:pPr>
        <w:rPr>
          <w:rFonts w:ascii="Times New Roman" w:hAnsi="Times New Roman" w:cs="Times New Roman"/>
          <w:sz w:val="24"/>
          <w:szCs w:val="24"/>
        </w:rPr>
      </w:pPr>
    </w:p>
    <w:p w14:paraId="2E95370E" w14:textId="77777777" w:rsidR="00FF45E4" w:rsidRDefault="00FF45E4">
      <w:pPr>
        <w:rPr>
          <w:rFonts w:ascii="Times New Roman" w:hAnsi="Times New Roman" w:cs="Times New Roman"/>
          <w:sz w:val="24"/>
          <w:szCs w:val="24"/>
        </w:rPr>
      </w:pPr>
    </w:p>
    <w:p w14:paraId="21268BDF" w14:textId="52BA1AED" w:rsidR="00AE009D" w:rsidRPr="00442034" w:rsidRDefault="00AE009D">
      <w:pPr>
        <w:rPr>
          <w:rFonts w:ascii="Times New Roman" w:hAnsi="Times New Roman" w:cs="Times New Roman"/>
          <w:sz w:val="24"/>
          <w:szCs w:val="24"/>
        </w:rPr>
      </w:pPr>
      <w:r w:rsidRPr="00442034">
        <w:rPr>
          <w:rFonts w:ascii="Times New Roman" w:hAnsi="Times New Roman" w:cs="Times New Roman"/>
          <w:sz w:val="24"/>
          <w:szCs w:val="24"/>
        </w:rPr>
        <w:br w:type="page"/>
      </w:r>
    </w:p>
    <w:p w14:paraId="117E2F03" w14:textId="77777777" w:rsidR="00AE009D" w:rsidRPr="00442034" w:rsidRDefault="00AE009D" w:rsidP="00B36F35">
      <w:pPr>
        <w:rPr>
          <w:rFonts w:ascii="Times New Roman" w:hAnsi="Times New Roman" w:cs="Times New Roman"/>
          <w:sz w:val="24"/>
          <w:szCs w:val="24"/>
        </w:rPr>
        <w:sectPr w:rsidR="00AE009D" w:rsidRPr="00442034" w:rsidSect="00E4733D">
          <w:headerReference w:type="default" r:id="rId13"/>
          <w:footerReference w:type="default" r:id="rId14"/>
          <w:pgSz w:w="12240" w:h="15840"/>
          <w:pgMar w:top="1440" w:right="1440" w:bottom="1440" w:left="1440" w:header="720" w:footer="720" w:gutter="0"/>
          <w:pgNumType w:start="1"/>
          <w:cols w:space="720"/>
          <w:docGrid w:linePitch="360"/>
        </w:sectPr>
      </w:pPr>
    </w:p>
    <w:p w14:paraId="3C10742A" w14:textId="77777777" w:rsidR="00B36F35" w:rsidRPr="00442034" w:rsidRDefault="00B36F35" w:rsidP="00AE009D">
      <w:pPr>
        <w:jc w:val="center"/>
        <w:rPr>
          <w:rFonts w:ascii="Times New Roman" w:hAnsi="Times New Roman" w:cs="Times New Roman"/>
          <w:sz w:val="24"/>
          <w:szCs w:val="24"/>
        </w:rPr>
      </w:pPr>
    </w:p>
    <w:p w14:paraId="4B110EAE" w14:textId="77777777" w:rsidR="00AE009D" w:rsidRPr="00442034" w:rsidRDefault="00AE009D" w:rsidP="00AE009D">
      <w:pPr>
        <w:jc w:val="center"/>
        <w:rPr>
          <w:rFonts w:ascii="Times New Roman" w:hAnsi="Times New Roman" w:cs="Times New Roman"/>
          <w:sz w:val="24"/>
          <w:szCs w:val="24"/>
        </w:rPr>
      </w:pPr>
    </w:p>
    <w:p w14:paraId="372C71A4" w14:textId="77777777" w:rsidR="00AE009D" w:rsidRPr="00442034" w:rsidRDefault="00AE009D" w:rsidP="00AE009D">
      <w:pPr>
        <w:jc w:val="center"/>
        <w:rPr>
          <w:rFonts w:ascii="Times New Roman" w:hAnsi="Times New Roman" w:cs="Times New Roman"/>
          <w:sz w:val="24"/>
          <w:szCs w:val="24"/>
        </w:rPr>
      </w:pPr>
    </w:p>
    <w:p w14:paraId="73218FFA" w14:textId="77777777" w:rsidR="00AE009D" w:rsidRPr="00442034" w:rsidRDefault="00AE009D" w:rsidP="00AE009D">
      <w:pPr>
        <w:jc w:val="center"/>
        <w:rPr>
          <w:rFonts w:ascii="Times New Roman" w:hAnsi="Times New Roman" w:cs="Times New Roman"/>
          <w:sz w:val="24"/>
          <w:szCs w:val="24"/>
        </w:rPr>
      </w:pPr>
    </w:p>
    <w:p w14:paraId="53A66035" w14:textId="77777777" w:rsidR="00AE009D" w:rsidRPr="00442034" w:rsidRDefault="00AE009D" w:rsidP="00AE009D">
      <w:pPr>
        <w:jc w:val="center"/>
        <w:rPr>
          <w:rFonts w:ascii="Times New Roman" w:hAnsi="Times New Roman" w:cs="Times New Roman"/>
          <w:sz w:val="24"/>
          <w:szCs w:val="24"/>
        </w:rPr>
      </w:pPr>
    </w:p>
    <w:p w14:paraId="2A10AB97" w14:textId="77777777" w:rsidR="00AE009D" w:rsidRPr="00442034" w:rsidRDefault="00AE009D" w:rsidP="00AE009D">
      <w:pPr>
        <w:jc w:val="center"/>
        <w:rPr>
          <w:rFonts w:ascii="Times New Roman" w:hAnsi="Times New Roman" w:cs="Times New Roman"/>
          <w:sz w:val="24"/>
          <w:szCs w:val="24"/>
        </w:rPr>
      </w:pPr>
    </w:p>
    <w:p w14:paraId="246AFFA0" w14:textId="77777777" w:rsidR="00AE009D" w:rsidRPr="00442034" w:rsidRDefault="00AE009D" w:rsidP="00AE009D">
      <w:pPr>
        <w:jc w:val="center"/>
        <w:rPr>
          <w:rFonts w:ascii="Times New Roman" w:hAnsi="Times New Roman" w:cs="Times New Roman"/>
          <w:sz w:val="24"/>
          <w:szCs w:val="24"/>
        </w:rPr>
      </w:pPr>
    </w:p>
    <w:p w14:paraId="418688D0" w14:textId="77777777" w:rsidR="00AE009D" w:rsidRPr="00442034" w:rsidRDefault="00AE009D" w:rsidP="00AE009D">
      <w:pPr>
        <w:jc w:val="center"/>
        <w:rPr>
          <w:rFonts w:ascii="Times New Roman" w:hAnsi="Times New Roman" w:cs="Times New Roman"/>
          <w:sz w:val="24"/>
          <w:szCs w:val="24"/>
        </w:rPr>
      </w:pPr>
    </w:p>
    <w:p w14:paraId="41E922AF" w14:textId="77777777" w:rsidR="00AE009D" w:rsidRPr="00442034" w:rsidRDefault="00AE009D" w:rsidP="00AE009D">
      <w:pPr>
        <w:jc w:val="center"/>
        <w:rPr>
          <w:rFonts w:ascii="Times New Roman" w:hAnsi="Times New Roman" w:cs="Times New Roman"/>
          <w:sz w:val="24"/>
          <w:szCs w:val="24"/>
        </w:rPr>
      </w:pPr>
    </w:p>
    <w:p w14:paraId="7EA88B4F" w14:textId="77777777" w:rsidR="00AE009D" w:rsidRPr="00442034" w:rsidRDefault="00AE009D" w:rsidP="00AE009D">
      <w:pPr>
        <w:jc w:val="center"/>
        <w:rPr>
          <w:rFonts w:ascii="Times New Roman" w:hAnsi="Times New Roman" w:cs="Times New Roman"/>
          <w:sz w:val="24"/>
          <w:szCs w:val="24"/>
        </w:rPr>
      </w:pPr>
    </w:p>
    <w:p w14:paraId="7A45CCF9" w14:textId="47A86E7D" w:rsidR="00AE009D" w:rsidRPr="00442034" w:rsidRDefault="00AE009D" w:rsidP="00AE009D">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t>Chapter One</w:t>
      </w:r>
      <w:r w:rsidR="005A70F9">
        <w:rPr>
          <w:rFonts w:ascii="Times New Roman" w:hAnsi="Times New Roman" w:cs="Times New Roman"/>
          <w:sz w:val="24"/>
          <w:szCs w:val="24"/>
        </w:rPr>
        <w:t>:</w:t>
      </w:r>
    </w:p>
    <w:p w14:paraId="2E635BD7" w14:textId="6FAA3C3E" w:rsidR="00AE009D" w:rsidRPr="00442034" w:rsidRDefault="00AE009D" w:rsidP="00AE009D">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t>Introduction</w:t>
      </w:r>
    </w:p>
    <w:p w14:paraId="70D60364" w14:textId="77777777" w:rsidR="00AE009D" w:rsidRPr="00442034" w:rsidRDefault="00AE009D">
      <w:pPr>
        <w:rPr>
          <w:rFonts w:ascii="Times New Roman" w:hAnsi="Times New Roman" w:cs="Times New Roman"/>
          <w:sz w:val="24"/>
          <w:szCs w:val="24"/>
        </w:rPr>
      </w:pPr>
      <w:r w:rsidRPr="00442034">
        <w:rPr>
          <w:rFonts w:ascii="Times New Roman" w:hAnsi="Times New Roman" w:cs="Times New Roman"/>
          <w:sz w:val="24"/>
          <w:szCs w:val="24"/>
        </w:rPr>
        <w:br w:type="page"/>
      </w:r>
    </w:p>
    <w:p w14:paraId="16C62710" w14:textId="77777777" w:rsidR="00012D02" w:rsidRDefault="00D45203" w:rsidP="00012D02">
      <w:pPr>
        <w:spacing w:line="480" w:lineRule="auto"/>
        <w:ind w:firstLine="720"/>
        <w:rPr>
          <w:rFonts w:ascii="Times New Roman" w:hAnsi="Times New Roman" w:cs="Times New Roman"/>
          <w:sz w:val="24"/>
          <w:szCs w:val="24"/>
        </w:rPr>
      </w:pPr>
      <w:r w:rsidRPr="00442034">
        <w:rPr>
          <w:rFonts w:ascii="Times New Roman" w:hAnsi="Times New Roman" w:cs="Times New Roman"/>
          <w:sz w:val="24"/>
          <w:szCs w:val="24"/>
        </w:rPr>
        <w:lastRenderedPageBreak/>
        <w:t>The purpose of this dissertation is to examine the experiences of an often invisible and understudied population within child welfare</w:t>
      </w:r>
      <w:r w:rsidR="00EC6874">
        <w:rPr>
          <w:rFonts w:ascii="Times New Roman" w:hAnsi="Times New Roman" w:cs="Times New Roman"/>
          <w:sz w:val="24"/>
          <w:szCs w:val="24"/>
        </w:rPr>
        <w:t>--</w:t>
      </w:r>
      <w:r w:rsidRPr="00442034">
        <w:rPr>
          <w:rFonts w:ascii="Times New Roman" w:hAnsi="Times New Roman" w:cs="Times New Roman"/>
          <w:sz w:val="24"/>
          <w:szCs w:val="24"/>
        </w:rPr>
        <w:t>lesbian, gay, bisexual, and queer (LGBQ) youth.</w:t>
      </w:r>
      <w:r w:rsidR="008D0245" w:rsidRPr="00442034">
        <w:rPr>
          <w:rFonts w:ascii="Times New Roman" w:hAnsi="Times New Roman" w:cs="Times New Roman"/>
          <w:sz w:val="24"/>
          <w:szCs w:val="24"/>
        </w:rPr>
        <w:t xml:space="preserve"> Specifically, this research explores support from </w:t>
      </w:r>
      <w:r w:rsidR="00072339" w:rsidRPr="00442034">
        <w:rPr>
          <w:rFonts w:ascii="Times New Roman" w:hAnsi="Times New Roman" w:cs="Times New Roman"/>
          <w:sz w:val="24"/>
          <w:szCs w:val="24"/>
        </w:rPr>
        <w:t>caregivers, peers, and caseworkers to examine how they influence well-being among LGBQ youth</w:t>
      </w:r>
      <w:r w:rsidR="004F6E5E">
        <w:rPr>
          <w:rFonts w:ascii="Times New Roman" w:hAnsi="Times New Roman" w:cs="Times New Roman"/>
          <w:sz w:val="24"/>
          <w:szCs w:val="24"/>
        </w:rPr>
        <w:t xml:space="preserve"> who have been involved</w:t>
      </w:r>
      <w:r w:rsidR="00072339" w:rsidRPr="00442034">
        <w:rPr>
          <w:rFonts w:ascii="Times New Roman" w:hAnsi="Times New Roman" w:cs="Times New Roman"/>
          <w:sz w:val="24"/>
          <w:szCs w:val="24"/>
        </w:rPr>
        <w:t xml:space="preserve"> in</w:t>
      </w:r>
      <w:r w:rsidR="004F6E5E">
        <w:rPr>
          <w:rFonts w:ascii="Times New Roman" w:hAnsi="Times New Roman" w:cs="Times New Roman"/>
          <w:sz w:val="24"/>
          <w:szCs w:val="24"/>
        </w:rPr>
        <w:t xml:space="preserve"> the</w:t>
      </w:r>
      <w:r w:rsidR="00072339" w:rsidRPr="00442034">
        <w:rPr>
          <w:rFonts w:ascii="Times New Roman" w:hAnsi="Times New Roman" w:cs="Times New Roman"/>
          <w:sz w:val="24"/>
          <w:szCs w:val="24"/>
        </w:rPr>
        <w:t xml:space="preserve"> child welfare</w:t>
      </w:r>
      <w:r w:rsidR="004F6E5E">
        <w:rPr>
          <w:rFonts w:ascii="Times New Roman" w:hAnsi="Times New Roman" w:cs="Times New Roman"/>
          <w:sz w:val="24"/>
          <w:szCs w:val="24"/>
        </w:rPr>
        <w:t xml:space="preserve"> system</w:t>
      </w:r>
      <w:r w:rsidR="004F6E5E">
        <w:rPr>
          <w:rStyle w:val="FootnoteReference"/>
          <w:rFonts w:ascii="Times New Roman" w:hAnsi="Times New Roman" w:cs="Times New Roman"/>
          <w:sz w:val="24"/>
          <w:szCs w:val="24"/>
        </w:rPr>
        <w:footnoteReference w:id="1"/>
      </w:r>
      <w:r w:rsidR="00072339" w:rsidRPr="00442034">
        <w:rPr>
          <w:rFonts w:ascii="Times New Roman" w:hAnsi="Times New Roman" w:cs="Times New Roman"/>
          <w:sz w:val="24"/>
          <w:szCs w:val="24"/>
        </w:rPr>
        <w:t>.</w:t>
      </w:r>
      <w:r w:rsidRPr="00442034">
        <w:rPr>
          <w:rFonts w:ascii="Times New Roman" w:hAnsi="Times New Roman" w:cs="Times New Roman"/>
          <w:sz w:val="24"/>
          <w:szCs w:val="24"/>
        </w:rPr>
        <w:t xml:space="preserve"> I use the acronym LGBQ as there are no variables to capture transgender identity in the data used in this dissertation, therefore I cannot infer the experiences of transgender youth based on my results. As with other marginalized populations, LGBQ youth are overrepresented in the child welfare system and face unique challenges because of their sexual minority status. My research documents these challenges and explores sources of support that can influence their trajectories through the child welfare system, their transition into adulthood, and their well-being. </w:t>
      </w:r>
    </w:p>
    <w:p w14:paraId="41F0A0C1" w14:textId="567D0F70" w:rsidR="00B03029" w:rsidRDefault="00D45203" w:rsidP="00012D02">
      <w:pPr>
        <w:spacing w:line="480" w:lineRule="auto"/>
        <w:ind w:firstLine="720"/>
        <w:rPr>
          <w:rFonts w:ascii="Times New Roman" w:hAnsi="Times New Roman" w:cs="Times New Roman"/>
          <w:sz w:val="24"/>
          <w:szCs w:val="24"/>
        </w:rPr>
      </w:pPr>
      <w:r w:rsidRPr="00442034">
        <w:rPr>
          <w:rFonts w:ascii="Times New Roman" w:hAnsi="Times New Roman" w:cs="Times New Roman"/>
          <w:sz w:val="24"/>
          <w:szCs w:val="24"/>
        </w:rPr>
        <w:t xml:space="preserve">In this chapter, I outline the history of the child welfare system and its systemic inequities for marginalized youth, including LGBQ youth, youth of color, and youth from impoverished homes, acknowledging the way that </w:t>
      </w:r>
      <w:r w:rsidR="00C031AF">
        <w:rPr>
          <w:rFonts w:ascii="Times New Roman" w:hAnsi="Times New Roman" w:cs="Times New Roman"/>
          <w:sz w:val="24"/>
          <w:szCs w:val="24"/>
        </w:rPr>
        <w:t xml:space="preserve">the </w:t>
      </w:r>
      <w:r w:rsidRPr="00442034">
        <w:rPr>
          <w:rFonts w:ascii="Times New Roman" w:hAnsi="Times New Roman" w:cs="Times New Roman"/>
          <w:sz w:val="24"/>
          <w:szCs w:val="24"/>
        </w:rPr>
        <w:t xml:space="preserve">child welfare system reflects and reproduces inequality, given the associations with system involvement and well-being outcomes across a variety of domains. I then describe the relevant literature on child well-being for youth in this system and the sources of support that </w:t>
      </w:r>
      <w:r w:rsidR="001363E4">
        <w:rPr>
          <w:rFonts w:ascii="Times New Roman" w:hAnsi="Times New Roman" w:cs="Times New Roman"/>
          <w:sz w:val="24"/>
          <w:szCs w:val="24"/>
        </w:rPr>
        <w:t>may be associated with improved well-being</w:t>
      </w:r>
      <w:r w:rsidRPr="00442034">
        <w:rPr>
          <w:rFonts w:ascii="Times New Roman" w:hAnsi="Times New Roman" w:cs="Times New Roman"/>
          <w:sz w:val="24"/>
          <w:szCs w:val="24"/>
        </w:rPr>
        <w:t>, before outlining the subsequent analytic chapters.</w:t>
      </w:r>
      <w:r w:rsidR="00D7613A" w:rsidRPr="00442034">
        <w:rPr>
          <w:rFonts w:ascii="Times New Roman" w:hAnsi="Times New Roman" w:cs="Times New Roman"/>
          <w:sz w:val="24"/>
          <w:szCs w:val="24"/>
        </w:rPr>
        <w:t xml:space="preserve"> </w:t>
      </w:r>
      <w:r w:rsidR="006F37FC" w:rsidRPr="00442034">
        <w:rPr>
          <w:rFonts w:ascii="Times New Roman" w:hAnsi="Times New Roman" w:cs="Times New Roman"/>
          <w:sz w:val="24"/>
          <w:szCs w:val="24"/>
        </w:rPr>
        <w:t xml:space="preserve">Social support has been recognized as a protective factor in the literature examining youth in the child welfare system, and identified as a characteristic that can </w:t>
      </w:r>
      <w:r w:rsidR="006F37FC" w:rsidRPr="00442034">
        <w:rPr>
          <w:rFonts w:ascii="Times New Roman" w:hAnsi="Times New Roman" w:cs="Times New Roman"/>
          <w:sz w:val="24"/>
          <w:szCs w:val="24"/>
        </w:rPr>
        <w:lastRenderedPageBreak/>
        <w:t xml:space="preserve">lead to healthy child development and reduced likelihood </w:t>
      </w:r>
      <w:r w:rsidR="00CF7DB3">
        <w:rPr>
          <w:rFonts w:ascii="Times New Roman" w:hAnsi="Times New Roman" w:cs="Times New Roman"/>
          <w:sz w:val="24"/>
          <w:szCs w:val="24"/>
        </w:rPr>
        <w:t>of</w:t>
      </w:r>
      <w:r w:rsidR="006F37FC" w:rsidRPr="00442034">
        <w:rPr>
          <w:rFonts w:ascii="Times New Roman" w:hAnsi="Times New Roman" w:cs="Times New Roman"/>
          <w:sz w:val="24"/>
          <w:szCs w:val="24"/>
        </w:rPr>
        <w:t xml:space="preserve"> child abuse and neglect</w:t>
      </w:r>
      <w:r w:rsidR="00CF3470">
        <w:rPr>
          <w:rFonts w:ascii="Times New Roman" w:hAnsi="Times New Roman" w:cs="Times New Roman"/>
          <w:sz w:val="24"/>
          <w:szCs w:val="24"/>
        </w:rPr>
        <w:t>, more generally</w:t>
      </w:r>
      <w:r w:rsidR="006F37FC" w:rsidRPr="00442034">
        <w:rPr>
          <w:rFonts w:ascii="Times New Roman" w:hAnsi="Times New Roman" w:cs="Times New Roman"/>
          <w:sz w:val="24"/>
          <w:szCs w:val="24"/>
        </w:rPr>
        <w:t xml:space="preserve"> </w:t>
      </w:r>
      <w:r w:rsidR="006F37FC"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{"citationID":"OXZjFzZS","properties":{"formattedCitation":"(Center for the Study of Social Policy 2024)","plainCitation":"(Center for the Study of Social Policy 2024)","noteIndex":0},"citationItems":[{"id":2033,"uris":["http://zotero.org/users/7501598/items/9B4HSPTI"],"itemData":{"id":2033,"type":"webpage","abstract":"Strengthening Families is a research-informed approach to increase family strengths, enhance child development, and reduce the likelihood of child abuse and neglect. It is based on engaging families, programs, and communities in building five key protective factors.","container-title":"Center for the Study of Social Policy","language":"en-US","title":"Strengthening Families","URL":"https://cssp.org/our-work/project/strengthening-families/","author":[{"family":"Center for the Study of Social Policy","given":""}],"accessed":{"date-parts":[["2024",2,6]]},"issued":{"date-parts":[["2024"]]}}}],"schema":"https://github.com/citation-style-language/schema/raw/master/csl-citation.json"} </w:instrText>
      </w:r>
      <w:r w:rsidR="006F37FC" w:rsidRPr="00442034">
        <w:rPr>
          <w:rFonts w:ascii="Times New Roman" w:hAnsi="Times New Roman" w:cs="Times New Roman"/>
          <w:sz w:val="24"/>
          <w:szCs w:val="24"/>
        </w:rPr>
        <w:fldChar w:fldCharType="separate"/>
      </w:r>
      <w:r w:rsidR="006F37FC" w:rsidRPr="00442034">
        <w:rPr>
          <w:rFonts w:ascii="Times New Roman" w:hAnsi="Times New Roman" w:cs="Times New Roman"/>
          <w:sz w:val="24"/>
          <w:szCs w:val="24"/>
        </w:rPr>
        <w:t>(Center for the Study of Social Policy 2024)</w:t>
      </w:r>
      <w:r w:rsidR="006F37FC" w:rsidRPr="00442034">
        <w:rPr>
          <w:rFonts w:ascii="Times New Roman" w:hAnsi="Times New Roman" w:cs="Times New Roman"/>
          <w:sz w:val="24"/>
          <w:szCs w:val="24"/>
        </w:rPr>
        <w:fldChar w:fldCharType="end"/>
      </w:r>
      <w:r w:rsidR="006F37FC" w:rsidRPr="00442034">
        <w:rPr>
          <w:rFonts w:ascii="Times New Roman" w:hAnsi="Times New Roman" w:cs="Times New Roman"/>
          <w:sz w:val="24"/>
          <w:szCs w:val="24"/>
        </w:rPr>
        <w:t>.</w:t>
      </w:r>
      <w:r w:rsidR="00562AE6" w:rsidRPr="00442034">
        <w:rPr>
          <w:rFonts w:ascii="Times New Roman" w:hAnsi="Times New Roman" w:cs="Times New Roman"/>
          <w:sz w:val="24"/>
          <w:szCs w:val="24"/>
        </w:rPr>
        <w:t xml:space="preserve"> </w:t>
      </w:r>
      <w:r w:rsidR="00B9238F" w:rsidRPr="00442034">
        <w:rPr>
          <w:rFonts w:ascii="Times New Roman" w:hAnsi="Times New Roman" w:cs="Times New Roman"/>
          <w:sz w:val="24"/>
          <w:szCs w:val="24"/>
        </w:rPr>
        <w:t xml:space="preserve">Hopefully, this </w:t>
      </w:r>
      <w:r w:rsidR="00D7613A" w:rsidRPr="00442034">
        <w:rPr>
          <w:rFonts w:ascii="Times New Roman" w:hAnsi="Times New Roman" w:cs="Times New Roman"/>
          <w:sz w:val="24"/>
          <w:szCs w:val="24"/>
        </w:rPr>
        <w:t xml:space="preserve">research </w:t>
      </w:r>
      <w:r w:rsidR="00B9238F" w:rsidRPr="00442034">
        <w:rPr>
          <w:rFonts w:ascii="Times New Roman" w:hAnsi="Times New Roman" w:cs="Times New Roman"/>
          <w:sz w:val="24"/>
          <w:szCs w:val="24"/>
        </w:rPr>
        <w:t>will lead</w:t>
      </w:r>
      <w:r w:rsidR="00D7613A" w:rsidRPr="00442034">
        <w:rPr>
          <w:rFonts w:ascii="Times New Roman" w:hAnsi="Times New Roman" w:cs="Times New Roman"/>
          <w:sz w:val="24"/>
          <w:szCs w:val="24"/>
        </w:rPr>
        <w:t xml:space="preserve"> to a better understanding </w:t>
      </w:r>
      <w:r w:rsidR="00350EAD" w:rsidRPr="00442034">
        <w:rPr>
          <w:rFonts w:ascii="Times New Roman" w:hAnsi="Times New Roman" w:cs="Times New Roman"/>
          <w:sz w:val="24"/>
          <w:szCs w:val="24"/>
        </w:rPr>
        <w:t xml:space="preserve">of different types of support for LGBQ youth in child welfare to improve their well-being and </w:t>
      </w:r>
      <w:r w:rsidR="00CF3470">
        <w:rPr>
          <w:rFonts w:ascii="Times New Roman" w:hAnsi="Times New Roman" w:cs="Times New Roman"/>
          <w:sz w:val="24"/>
          <w:szCs w:val="24"/>
        </w:rPr>
        <w:t xml:space="preserve">support the successful </w:t>
      </w:r>
      <w:r w:rsidR="00CF6DF5">
        <w:rPr>
          <w:rFonts w:ascii="Times New Roman" w:hAnsi="Times New Roman" w:cs="Times New Roman"/>
          <w:sz w:val="24"/>
          <w:szCs w:val="24"/>
        </w:rPr>
        <w:t xml:space="preserve">transition </w:t>
      </w:r>
      <w:r w:rsidR="00350EAD" w:rsidRPr="00442034">
        <w:rPr>
          <w:rFonts w:ascii="Times New Roman" w:hAnsi="Times New Roman" w:cs="Times New Roman"/>
          <w:sz w:val="24"/>
          <w:szCs w:val="24"/>
        </w:rPr>
        <w:t>into adulthood.</w:t>
      </w:r>
      <w:r w:rsidR="00B03029">
        <w:rPr>
          <w:rFonts w:ascii="Times New Roman" w:hAnsi="Times New Roman" w:cs="Times New Roman"/>
          <w:sz w:val="24"/>
          <w:szCs w:val="24"/>
        </w:rPr>
        <w:t xml:space="preserve"> </w:t>
      </w:r>
    </w:p>
    <w:p w14:paraId="7981D897" w14:textId="5F2C4F72" w:rsidR="00D45203" w:rsidRPr="00442034" w:rsidRDefault="008266CE" w:rsidP="00D45203">
      <w:pPr>
        <w:rPr>
          <w:rFonts w:ascii="Times New Roman" w:hAnsi="Times New Roman" w:cs="Times New Roman"/>
          <w:sz w:val="24"/>
          <w:szCs w:val="24"/>
        </w:rPr>
      </w:pPr>
      <w:r>
        <w:rPr>
          <w:rFonts w:ascii="Times New Roman" w:hAnsi="Times New Roman" w:cs="Times New Roman"/>
          <w:sz w:val="24"/>
          <w:szCs w:val="24"/>
        </w:rPr>
        <w:t>H</w:t>
      </w:r>
      <w:r w:rsidR="00D45203" w:rsidRPr="00442034">
        <w:rPr>
          <w:rFonts w:ascii="Times New Roman" w:hAnsi="Times New Roman" w:cs="Times New Roman"/>
          <w:sz w:val="24"/>
          <w:szCs w:val="24"/>
        </w:rPr>
        <w:t>ISTORY OF THE CHILD WELFARE SYSTEM</w:t>
      </w:r>
    </w:p>
    <w:p w14:paraId="5FEE5586" w14:textId="52C8F22D" w:rsidR="00931576" w:rsidRPr="00442034" w:rsidRDefault="00D45203" w:rsidP="00D45203">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The child welfare system was originally established in 1853 in New York as a means to care for orphaned and abandoned white children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{"citationID":"E7YuXl8F","properties":{"formattedCitation":"(Simmons 2023)","plainCitation":"(Simmons 2023)","noteIndex":0},"citationItems":[{"id":667,"uris":["http://zotero.org/users/7501598/items/6ID8AB8N"],"itemData":{"id":667,"type":"article-journal","abstract":"Black family values and behavior have long been at the center of policy solutions to intergenerational poverty. But in the early twentieth century, the Black family took on paradoxical significance as a solution to child poverty and neglect through the foster family. This was part of a broad realignment in child protection that upheld the “Home” as the best place for children—yet the concept came to mean something different for White and Black youth. Using New York City as a case by which to study broad transformations in child protection ideology and local child welfare response, I find that in the 1930s substitute care underwent a dramatic transformation with many White children cared for in their own homes or in therapeutic institutions, while previously excluded Black youth gained disproportionate access through race-matched foster families. Though a seemingly progressive approach, I argue that the prioritization of the foster home over the biological home illuminates how the family was envisioned as a solution to poverty in the context of racial inequality. Child welfare workers imagined that patterns of placement in race-matched foster families could be manipulated to overcome segregation and exclusion from the emerging welfare state. But as more non-White children entered substitute care, the conditions of poverty and distress in segregated communities necessitated a return to congregate care for “hard-to-place” minority youth as Black families seemingly failed to take care of their own. This case is important because it highlights the way in which official foster care systems emerged not as an extension of Black kinship care strategies, but as an experimental solution to dependency and neglect that mobilized the Black family to resolve the many consequences of state abandonment.","container-title":"Du Bois Review: Social Science Research on Race","DOI":"10.1017/S1742058X22000248","ISSN":"1742-058X, 1742-0598","language":"en","note":"publisher: Cambridge University Press","page":"1-23","source":"Cambridge University Press","title":"The Racial Origins of Foster Home Care: Black Family Responsibility in the Early Welfare State, New York City, 1930s–1960s","title-short":"The Racial Origins of Foster Home Care","author":[{"family":"Simmons","given":"Michaela Christy"}],"issued":{"date-parts":[["2023",1,3]]}}}],"schema":"https://github.com/citation-style-language/schema/raw/master/csl-citation.json"}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(Simmons 2023)</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r w:rsidR="00822054" w:rsidRPr="00442034">
        <w:rPr>
          <w:rFonts w:ascii="Times New Roman" w:hAnsi="Times New Roman" w:cs="Times New Roman"/>
          <w:sz w:val="24"/>
          <w:szCs w:val="24"/>
        </w:rPr>
        <w:t>Before</w:t>
      </w:r>
      <w:r w:rsidRPr="00442034">
        <w:rPr>
          <w:rFonts w:ascii="Times New Roman" w:hAnsi="Times New Roman" w:cs="Times New Roman"/>
          <w:sz w:val="24"/>
          <w:szCs w:val="24"/>
        </w:rPr>
        <w:t xml:space="preserve"> this, problems that the modern child welfare system </w:t>
      </w:r>
      <w:r w:rsidR="005E7B7B" w:rsidRPr="00442034">
        <w:rPr>
          <w:rFonts w:ascii="Times New Roman" w:hAnsi="Times New Roman" w:cs="Times New Roman"/>
          <w:sz w:val="24"/>
          <w:szCs w:val="24"/>
        </w:rPr>
        <w:t>was</w:t>
      </w:r>
      <w:r w:rsidR="00822054" w:rsidRPr="00442034">
        <w:rPr>
          <w:rFonts w:ascii="Times New Roman" w:hAnsi="Times New Roman" w:cs="Times New Roman"/>
          <w:sz w:val="24"/>
          <w:szCs w:val="24"/>
        </w:rPr>
        <w:t xml:space="preserve"> </w:t>
      </w:r>
      <w:r w:rsidRPr="00442034">
        <w:rPr>
          <w:rFonts w:ascii="Times New Roman" w:hAnsi="Times New Roman" w:cs="Times New Roman"/>
          <w:sz w:val="24"/>
          <w:szCs w:val="24"/>
        </w:rPr>
        <w:t xml:space="preserve">trying to solve were handled by extended family or local communities on a volunteer basis, meeting the minimum needs of children often through indentureship. Attention to issues of child abuse was not considered to be under the scope of government until 1874, and state intervention typically occurred only when </w:t>
      </w:r>
      <w:r w:rsidR="009B5EA6" w:rsidRPr="00442034">
        <w:rPr>
          <w:rFonts w:ascii="Times New Roman" w:hAnsi="Times New Roman" w:cs="Times New Roman"/>
          <w:sz w:val="24"/>
          <w:szCs w:val="24"/>
        </w:rPr>
        <w:t>children were orphaned, destitute, or</w:t>
      </w:r>
      <w:r w:rsidRPr="00442034">
        <w:rPr>
          <w:rFonts w:ascii="Times New Roman" w:hAnsi="Times New Roman" w:cs="Times New Roman"/>
          <w:sz w:val="24"/>
          <w:szCs w:val="24"/>
        </w:rPr>
        <w:t xml:space="preserve"> considered delinquent. By the early 19</w:t>
      </w:r>
      <w:r w:rsidRPr="00442034">
        <w:rPr>
          <w:rFonts w:ascii="Times New Roman" w:hAnsi="Times New Roman" w:cs="Times New Roman"/>
          <w:sz w:val="24"/>
          <w:szCs w:val="24"/>
          <w:vertAlign w:val="superscript"/>
        </w:rPr>
        <w:t>th</w:t>
      </w:r>
      <w:r w:rsidRPr="00442034">
        <w:rPr>
          <w:rFonts w:ascii="Times New Roman" w:hAnsi="Times New Roman" w:cs="Times New Roman"/>
          <w:sz w:val="24"/>
          <w:szCs w:val="24"/>
        </w:rPr>
        <w:t xml:space="preserve"> century a middle-class movement began to </w:t>
      </w:r>
      <w:r w:rsidR="00B824D2">
        <w:rPr>
          <w:rFonts w:ascii="Times New Roman" w:hAnsi="Times New Roman" w:cs="Times New Roman"/>
          <w:sz w:val="24"/>
          <w:szCs w:val="24"/>
        </w:rPr>
        <w:t xml:space="preserve">recognize the </w:t>
      </w:r>
      <w:r w:rsidRPr="00442034">
        <w:rPr>
          <w:rFonts w:ascii="Times New Roman" w:hAnsi="Times New Roman" w:cs="Times New Roman"/>
          <w:sz w:val="24"/>
          <w:szCs w:val="24"/>
        </w:rPr>
        <w:t>social forces that contributed to poverty and conditions that led to child neglect and abuse, and organizations began forming to provide services for children and parents</w:t>
      </w:r>
      <w:r w:rsidR="00A34C98">
        <w:rPr>
          <w:rFonts w:ascii="Times New Roman" w:hAnsi="Times New Roman" w:cs="Times New Roman"/>
          <w:sz w:val="24"/>
          <w:szCs w:val="24"/>
        </w:rPr>
        <w:t>,</w:t>
      </w:r>
      <w:r w:rsidRPr="00442034">
        <w:rPr>
          <w:rFonts w:ascii="Times New Roman" w:hAnsi="Times New Roman" w:cs="Times New Roman"/>
          <w:sz w:val="24"/>
          <w:szCs w:val="24"/>
        </w:rPr>
        <w:t xml:space="preserve"> as well as establishing childcare institutions designed to care for children under </w:t>
      </w:r>
      <w:r w:rsidRPr="00442034">
        <w:rPr>
          <w:rFonts w:ascii="Times New Roman" w:hAnsi="Times New Roman" w:cs="Times New Roman"/>
          <w:i/>
          <w:iCs/>
          <w:sz w:val="24"/>
          <w:szCs w:val="24"/>
        </w:rPr>
        <w:t>parens patriae</w:t>
      </w:r>
      <w:r w:rsidRPr="00442034">
        <w:rPr>
          <w:rFonts w:ascii="Times New Roman" w:hAnsi="Times New Roman" w:cs="Times New Roman"/>
          <w:sz w:val="24"/>
          <w:szCs w:val="24"/>
        </w:rPr>
        <w:t xml:space="preserve">, the legal principle used to justify state intervention in the family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{"citationID":"1Obe2r9k","properties":{"formattedCitation":"(McGowan 2010)","plainCitation":"(McGowan 2010)","noteIndex":0},"citationItems":[{"id":2027,"uris":["http://zotero.org/users/7501598/items/JDEYAAMD"],"itemData":{"id":2027,"type":"chapter","abstract":"The field of child welfare has changed dramatically in the United States over the years. There are multiple reasons for this transformation. Some directly reflect changing concepts of childhood, historic debates regarding the importance of child saving versus family preservation, and differing views about public responsibility for children. Other reasons derive from changes in the larger society including the size and composition of the child population, growth in the economy, and alternating views of the powers and responsibilities of different levels of government.","collection-title":"Children’s Well-Being: Indicators and Research","container-title":"From Child Welfare to Child Well-Being: An International Perspective on Knowledge in the Service of Policy Making","event-place":"Dordrecht","ISBN":"978-90-481-3377-2","language":"en","note":"DOI: 10.1007/978-90-481-3377-2_3","page":"25-47","publisher":"Springer Netherlands","publisher-place":"Dordrecht","source":"Springer Link","title":"An Historical Perspective on Child Welfare","URL":"https://doi.org/10.1007/978-90-481-3377-2_3","author":[{"family":"McGowan","given":"Brenda G."}],"editor":[{"family":"Kamerman","given":"Sheila B."},{"family":"Phipps","given":"Shelley"},{"family":"Ben-Arieh","given":"Asher"}],"accessed":{"date-parts":[["2024",2,5]]},"issued":{"date-parts":[["2010"]]}}}],"schema":"https://github.com/citation-style-language/schema/raw/master/csl-citation.json"}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(McGowan 2010)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These movements and </w:t>
      </w:r>
      <w:r w:rsidR="00931576" w:rsidRPr="00442034">
        <w:rPr>
          <w:rFonts w:ascii="Times New Roman" w:hAnsi="Times New Roman" w:cs="Times New Roman"/>
          <w:sz w:val="24"/>
          <w:szCs w:val="24"/>
        </w:rPr>
        <w:t xml:space="preserve">the </w:t>
      </w:r>
      <w:r w:rsidRPr="00442034">
        <w:rPr>
          <w:rFonts w:ascii="Times New Roman" w:hAnsi="Times New Roman" w:cs="Times New Roman"/>
          <w:sz w:val="24"/>
          <w:szCs w:val="24"/>
        </w:rPr>
        <w:t xml:space="preserve">continued bureaucratization of organizations led to what eventually became government-sponsored child protective services in 1962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{"citationID":"YowelexR","properties":{"formattedCitation":"(Myers 2008)","plainCitation":"(Myers 2008)","noteIndex":0},"citationItems":[{"id":2024,"uris":["http://zotero.org/users/7501598/items/CWPTF4XY"],"itemData":{"id":2024,"type":"article-journal","container-title":"Family Law Quarterly","ISSN":"0014-729X","issue":"3","note":"publisher: American Bar Association","page":"449-463","source":"JSTOR","title":"A Short History of Child Protection in America","volume":"42","author":[{"family":"Myers","given":"John E.B."}],"issued":{"date-parts":[["2008"]]}}}],"schema":"https://github.com/citation-style-language/schema/raw/master/csl-citation.json"}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(Myers 2008)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p>
    <w:p w14:paraId="055F014F" w14:textId="17FFE767" w:rsidR="00D45203" w:rsidRPr="00442034" w:rsidRDefault="006440FA" w:rsidP="00D4520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w:t>
      </w:r>
      <w:r w:rsidR="00D45203" w:rsidRPr="00442034">
        <w:rPr>
          <w:rFonts w:ascii="Times New Roman" w:hAnsi="Times New Roman" w:cs="Times New Roman"/>
          <w:sz w:val="24"/>
          <w:szCs w:val="24"/>
        </w:rPr>
        <w:t xml:space="preserve">n the mid-1900s policies addressing social welfare </w:t>
      </w:r>
      <w:r w:rsidR="008F0B0E" w:rsidRPr="00442034">
        <w:rPr>
          <w:rFonts w:ascii="Times New Roman" w:hAnsi="Times New Roman" w:cs="Times New Roman"/>
          <w:sz w:val="24"/>
          <w:szCs w:val="24"/>
        </w:rPr>
        <w:t xml:space="preserve">such as the Temporary Assistance for Needy Families (TANF) </w:t>
      </w:r>
      <w:r w:rsidR="00D45203" w:rsidRPr="00442034">
        <w:rPr>
          <w:rFonts w:ascii="Times New Roman" w:hAnsi="Times New Roman" w:cs="Times New Roman"/>
          <w:sz w:val="24"/>
          <w:szCs w:val="24"/>
        </w:rPr>
        <w:t xml:space="preserve">began allowing for children to be removed from homes that were investigated as unsafe, leading to a disproportionate number of Black children being forcibly removed from their homes because of denied social service benefits </w:t>
      </w:r>
      <w:r w:rsidR="00D45203"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{"citationID":"nYb4HiQM","properties":{"formattedCitation":"(Dettlaff and Boyd 2020)","plainCitation":"(Dettlaff and Boyd 2020)","noteIndex":0},"citationItems":[{"id":682,"uris":["http://zotero.org/users/7501598/items/PYERLVMU"],"itemData":{"id":682,"type":"article-journal","abstract":"Children of color are overrepresented in the child welfare system, and Black children have been most significantly impacted by this racial disproportionality. Racial disproportionality in child welfare exists because of influences that are both external to child welfare systems and part of the child welfare system. We summarize the causes of racial disproportionality, arguing that internal and external causes of disproportional involvement originate from a common underlying factor: structural and institutional racism that is both within child welfare systems and part of society at large. Further, we review options for addressing racial disproportionality, arguing that it needs to be rectified because of the harm it causes Black children and families and that forcible separation of children from their parents can no longer be viewed as an acceptable form of intervention for families in need.","container-title":"The ANNALS of the American Academy of Political and Social Science","DOI":"10.1177/0002716220980329","ISSN":"0002-7162","issue":"1","language":"en","note":"publisher: SAGE Publications Inc","page":"253-274","source":"SAGE Journals","title":"Racial Disproportionality and Disparities in the Child Welfare System: Why Do They Exist, and What Can Be Done to Address Them?","title-short":"Racial Disproportionality and Disparities in the Child Welfare System","volume":"692","author":[{"family":"Dettlaff","given":"Alan J."},{"family":"Boyd","given":"Reiko"}],"issued":{"date-parts":[["2020",11,1]]}}}],"schema":"https://github.com/citation-style-language/schema/raw/master/csl-citation.json"} </w:instrText>
      </w:r>
      <w:r w:rsidR="00D45203" w:rsidRPr="00442034">
        <w:rPr>
          <w:rFonts w:ascii="Times New Roman" w:hAnsi="Times New Roman" w:cs="Times New Roman"/>
          <w:sz w:val="24"/>
          <w:szCs w:val="24"/>
        </w:rPr>
        <w:fldChar w:fldCharType="separate"/>
      </w:r>
      <w:r w:rsidR="00D45203" w:rsidRPr="00442034">
        <w:rPr>
          <w:rFonts w:ascii="Times New Roman" w:hAnsi="Times New Roman" w:cs="Times New Roman"/>
          <w:sz w:val="24"/>
          <w:szCs w:val="24"/>
        </w:rPr>
        <w:t>(Dettlaff and Boyd 2020)</w:t>
      </w:r>
      <w:r w:rsidR="00D45203" w:rsidRPr="00442034">
        <w:rPr>
          <w:rFonts w:ascii="Times New Roman" w:hAnsi="Times New Roman" w:cs="Times New Roman"/>
          <w:sz w:val="24"/>
          <w:szCs w:val="24"/>
        </w:rPr>
        <w:fldChar w:fldCharType="end"/>
      </w:r>
      <w:r w:rsidR="00D45203" w:rsidRPr="00442034">
        <w:rPr>
          <w:rFonts w:ascii="Times New Roman" w:hAnsi="Times New Roman" w:cs="Times New Roman"/>
          <w:sz w:val="24"/>
          <w:szCs w:val="24"/>
        </w:rPr>
        <w:t xml:space="preserve">. Furthermore, amendments to the definition of child maltreatment allowed for forcible separation </w:t>
      </w:r>
      <w:r w:rsidR="00D45203" w:rsidRPr="00442034">
        <w:rPr>
          <w:rFonts w:ascii="Times New Roman" w:hAnsi="Times New Roman" w:cs="Times New Roman"/>
          <w:sz w:val="24"/>
          <w:szCs w:val="24"/>
        </w:rPr>
        <w:lastRenderedPageBreak/>
        <w:t xml:space="preserve">and removal of children from their families based on “reasonable suspicion” of abuse or neglect </w:t>
      </w:r>
      <w:r w:rsidR="00D45203"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{"citationID":"1uKrsfjI","properties":{"formattedCitation":"(Hill 2004)","plainCitation":"(Hill 2004)","noteIndex":0},"citationItems":[{"id":688,"uris":["http://zotero.org/users/7501598/items/M5B255CD"],"itemData":{"id":688,"type":"article-journal","abstract":"Three reasons are most often provided to explain the persistent overrepresentation of black children in the child welfare system. One, since black families have more risk factors (unemployment, single-parent families, poverty, etc) that cause them to abuse and neglect their children more than white families, the higher representation of blacks is appropriate. Two, since blacks are more highly concentrated among the poor than whites, blacks are expected to be overrepresented in child welfare due to their lower class status—not because of their race. But this article focuses on a third explanation—institutional racism. This thesis holds that systemic discrimination, which emanates from decision-making processes in child welfare, is a major contributor to the disparate representation of black children. This analysis examines how institutional racism influences the operation of the child welfare system to result in disparate adverse effects on black children and their families. The evolution of blacks in child welfare is viewed from an historical perspective. It assesses the impact of other systems (notably mental health, special education and juvenile justice) on the child welfare system. It examines the extent to which decision-making processes at various stages of child welfare screen in black children and screen out white children. It describes how systemic racism denies vital social and economic supports to kin caregivers who are responsible for their related children. This assessment ends with practice, policy and research recommendations to reduce the overrepresentation of black children in child welfare.","container-title":"Race and Society","DOI":"10.1016/j.racsoc.2004.11.004","ISSN":"1090-9524","issue":"1","journalAbbreviation":"Race and Society","language":"en","page":"17-33","source":"ScienceDirect","title":"Institutional racism in child welfare","volume":"7","author":[{"family":"Hill","given":"Robert B."}],"issued":{"date-parts":[["2004",1,1]]}}}],"schema":"https://github.com/citation-style-language/schema/raw/master/csl-citation.json"} </w:instrText>
      </w:r>
      <w:r w:rsidR="00D45203" w:rsidRPr="00442034">
        <w:rPr>
          <w:rFonts w:ascii="Times New Roman" w:hAnsi="Times New Roman" w:cs="Times New Roman"/>
          <w:sz w:val="24"/>
          <w:szCs w:val="24"/>
        </w:rPr>
        <w:fldChar w:fldCharType="separate"/>
      </w:r>
      <w:r w:rsidR="00D45203" w:rsidRPr="00442034">
        <w:rPr>
          <w:rFonts w:ascii="Times New Roman" w:hAnsi="Times New Roman" w:cs="Times New Roman"/>
          <w:sz w:val="24"/>
          <w:szCs w:val="24"/>
        </w:rPr>
        <w:t>(Hill 2004)</w:t>
      </w:r>
      <w:r w:rsidR="00D45203" w:rsidRPr="00442034">
        <w:rPr>
          <w:rFonts w:ascii="Times New Roman" w:hAnsi="Times New Roman" w:cs="Times New Roman"/>
          <w:sz w:val="24"/>
          <w:szCs w:val="24"/>
        </w:rPr>
        <w:fldChar w:fldCharType="end"/>
      </w:r>
      <w:r w:rsidR="00D45203" w:rsidRPr="00442034">
        <w:rPr>
          <w:rFonts w:ascii="Times New Roman" w:hAnsi="Times New Roman" w:cs="Times New Roman"/>
          <w:sz w:val="24"/>
          <w:szCs w:val="24"/>
        </w:rPr>
        <w:t xml:space="preserve">. These changes were made using racialized narratives and beliefs about parenting standards that glorified white, middle-class parenting practices </w:t>
      </w:r>
      <w:r w:rsidR="00D45203"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{"citationID":"nSHPNrih","properties":{"formattedCitation":"(Dettlaff and Boyd 2020)","plainCitation":"(Dettlaff and Boyd 2020)","noteIndex":0},"citationItems":[{"id":682,"uris":["http://zotero.org/users/7501598/items/PYERLVMU"],"itemData":{"id":682,"type":"article-journal","abstract":"Children of color are overrepresented in the child welfare system, and Black children have been most significantly impacted by this racial disproportionality. Racial disproportionality in child welfare exists because of influences that are both external to child welfare systems and part of the child welfare system. We summarize the causes of racial disproportionality, arguing that internal and external causes of disproportional involvement originate from a common underlying factor: structural and institutional racism that is both within child welfare systems and part of society at large. Further, we review options for addressing racial disproportionality, arguing that it needs to be rectified because of the harm it causes Black children and families and that forcible separation of children from their parents can no longer be viewed as an acceptable form of intervention for families in need.","container-title":"The ANNALS of the American Academy of Political and Social Science","DOI":"10.1177/0002716220980329","ISSN":"0002-7162","issue":"1","language":"en","note":"publisher: SAGE Publications Inc","page":"253-274","source":"SAGE Journals","title":"Racial Disproportionality and Disparities in the Child Welfare System: Why Do They Exist, and What Can Be Done to Address Them?","title-short":"Racial Disproportionality and Disparities in the Child Welfare System","volume":"692","author":[{"family":"Dettlaff","given":"Alan J."},{"family":"Boyd","given":"Reiko"}],"issued":{"date-parts":[["2020",11,1]]}}}],"schema":"https://github.com/citation-style-language/schema/raw/master/csl-citation.json"} </w:instrText>
      </w:r>
      <w:r w:rsidR="00D45203" w:rsidRPr="00442034">
        <w:rPr>
          <w:rFonts w:ascii="Times New Roman" w:hAnsi="Times New Roman" w:cs="Times New Roman"/>
          <w:sz w:val="24"/>
          <w:szCs w:val="24"/>
        </w:rPr>
        <w:fldChar w:fldCharType="separate"/>
      </w:r>
      <w:r w:rsidR="00D45203" w:rsidRPr="00442034">
        <w:rPr>
          <w:rFonts w:ascii="Times New Roman" w:hAnsi="Times New Roman" w:cs="Times New Roman"/>
          <w:noProof/>
          <w:sz w:val="24"/>
          <w:szCs w:val="24"/>
        </w:rPr>
        <w:t>(Dettlaff and Boyd 2020)</w:t>
      </w:r>
      <w:r w:rsidR="00D45203" w:rsidRPr="00442034">
        <w:rPr>
          <w:rFonts w:ascii="Times New Roman" w:hAnsi="Times New Roman" w:cs="Times New Roman"/>
          <w:sz w:val="24"/>
          <w:szCs w:val="24"/>
        </w:rPr>
        <w:fldChar w:fldCharType="end"/>
      </w:r>
      <w:r w:rsidR="00D45203" w:rsidRPr="00442034">
        <w:rPr>
          <w:rFonts w:ascii="Times New Roman" w:hAnsi="Times New Roman" w:cs="Times New Roman"/>
          <w:sz w:val="24"/>
          <w:szCs w:val="24"/>
        </w:rPr>
        <w:t>. Through these shifts in policies and definitions, more families became involved in the child welfare system, with disparate outcomes for families in poverty, single mothers, and other marginalized groups like Black and American Indian</w:t>
      </w:r>
      <w:r w:rsidR="00546723">
        <w:rPr>
          <w:rFonts w:ascii="Times New Roman" w:hAnsi="Times New Roman" w:cs="Times New Roman"/>
          <w:sz w:val="24"/>
          <w:szCs w:val="24"/>
        </w:rPr>
        <w:t xml:space="preserve"> families</w:t>
      </w:r>
      <w:r w:rsidR="001F4573">
        <w:rPr>
          <w:rFonts w:ascii="Times New Roman" w:hAnsi="Times New Roman" w:cs="Times New Roman"/>
          <w:sz w:val="24"/>
          <w:szCs w:val="24"/>
        </w:rPr>
        <w:t>, intersecting</w:t>
      </w:r>
      <w:r w:rsidR="004132BA">
        <w:rPr>
          <w:rFonts w:ascii="Times New Roman" w:hAnsi="Times New Roman" w:cs="Times New Roman"/>
          <w:sz w:val="24"/>
          <w:szCs w:val="24"/>
        </w:rPr>
        <w:t xml:space="preserve"> </w:t>
      </w:r>
      <w:r w:rsidR="00D45203" w:rsidRPr="00442034">
        <w:rPr>
          <w:rFonts w:ascii="Times New Roman" w:hAnsi="Times New Roman" w:cs="Times New Roman"/>
          <w:sz w:val="24"/>
          <w:szCs w:val="24"/>
        </w:rPr>
        <w:t xml:space="preserve">class, race, and gender. By intervening, the child welfare system serves as an institution that shapes family life and child well-being in significant ways and reproduces and exacerbates existing inequalities, yet has received little sociological attention </w:t>
      </w:r>
      <w:r w:rsidR="00D45203"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{"citationID":"c620NvBQ","properties":{"formattedCitation":"(Reich 2008)","plainCitation":"(Reich 2008)","noteIndex":0},"citationItems":[{"id":546,"uris":["http://zotero.org/users/7501598/items/5BYZ2FLS"],"itemData":{"id":546,"type":"article-journal","abstract":"The child welfare system remains one of the most important welfare institutions in regulating family life and meanings of gender. However, it has largely escaped sociological analysis. This article provides a framework for thinking about the meanings of state intervention in family life and describes the legal and procedural machinations of the system by providing an overview of the history of the system. In doing so, this article elucidates the complex and contradictory mandates the child-protective services system and its actors face and raises several questions or quandaries that remain under-explored and deserving of analytical attention.","container-title":"Sociology Compass","DOI":"10.1111/j.1751-9020.2008.00111.x","ISSN":"1751-9020","issue":"3","language":"en","note":"_eprint: https://onlinelibrary.wiley.com/doi/pdf/10.1111/j.1751-9020.2008.00111.x","page":"888-909","source":"Wiley Online Library","title":"The Child Welfare System and State Intervention in Families: From Historical Patterns to Future Questions","title-short":"The Child Welfare System and State Intervention in Families","volume":"2","author":[{"family":"Reich","given":"Jennifer A."}],"issued":{"date-parts":[["2008"]]}}}],"schema":"https://github.com/citation-style-language/schema/raw/master/csl-citation.json"} </w:instrText>
      </w:r>
      <w:r w:rsidR="00D45203" w:rsidRPr="00442034">
        <w:rPr>
          <w:rFonts w:ascii="Times New Roman" w:hAnsi="Times New Roman" w:cs="Times New Roman"/>
          <w:sz w:val="24"/>
          <w:szCs w:val="24"/>
        </w:rPr>
        <w:fldChar w:fldCharType="separate"/>
      </w:r>
      <w:r w:rsidR="00D45203" w:rsidRPr="00442034">
        <w:rPr>
          <w:rFonts w:ascii="Times New Roman" w:hAnsi="Times New Roman" w:cs="Times New Roman"/>
          <w:noProof/>
          <w:sz w:val="24"/>
          <w:szCs w:val="24"/>
        </w:rPr>
        <w:t>(Reich 2008)</w:t>
      </w:r>
      <w:r w:rsidR="00D45203" w:rsidRPr="00442034">
        <w:rPr>
          <w:rFonts w:ascii="Times New Roman" w:hAnsi="Times New Roman" w:cs="Times New Roman"/>
          <w:sz w:val="24"/>
          <w:szCs w:val="24"/>
        </w:rPr>
        <w:fldChar w:fldCharType="end"/>
      </w:r>
      <w:r w:rsidR="00D45203" w:rsidRPr="00442034">
        <w:rPr>
          <w:rFonts w:ascii="Times New Roman" w:hAnsi="Times New Roman" w:cs="Times New Roman"/>
          <w:sz w:val="24"/>
          <w:szCs w:val="24"/>
        </w:rPr>
        <w:t>.</w:t>
      </w:r>
    </w:p>
    <w:p w14:paraId="3304ED0E" w14:textId="2C926CFC" w:rsidR="00D45203" w:rsidRPr="00442034" w:rsidRDefault="00D45203" w:rsidP="00D45203">
      <w:pPr>
        <w:rPr>
          <w:rFonts w:ascii="Times New Roman" w:hAnsi="Times New Roman" w:cs="Times New Roman"/>
          <w:i/>
          <w:iCs/>
          <w:sz w:val="24"/>
          <w:szCs w:val="24"/>
        </w:rPr>
      </w:pPr>
      <w:r w:rsidRPr="00442034">
        <w:rPr>
          <w:rFonts w:ascii="Times New Roman" w:hAnsi="Times New Roman" w:cs="Times New Roman"/>
          <w:i/>
          <w:iCs/>
          <w:sz w:val="24"/>
          <w:szCs w:val="24"/>
        </w:rPr>
        <w:t>The Current State of the Child Welfare System</w:t>
      </w:r>
    </w:p>
    <w:p w14:paraId="5F06F465" w14:textId="3E1F683F" w:rsidR="00D45203" w:rsidRPr="00442034" w:rsidRDefault="00D45203" w:rsidP="004E0B1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In 2021, Child Protective Services received over 3.9 million referrals for child abuse and neglect, impacting approximately 7.2 million children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{"citationID":"GJMFM5Ik","properties":{"formattedCitation":"(U.S. Department of Health and Human Services, Administration for Children and Families, Administration on Children, Youth and Families, Children\\uc0\\u8217{}s Bureau 2023)","plainCitation":"(U.S. Department of Health and Human Services, Administration for Children and Families, Administration on Children, Youth and Families, Children’s Bureau 2023)","noteIndex":0},"citationItems":[{"id":527,"uris":["http://zotero.org/users/7501598/items/W8TRN5RX"],"itemData":{"id":527,"type":"webpage","abstract":"This report presents national data about child abuse and neglect known to child protective services agencies in the United States during federal fiscal year 2021.","language":"en","title":"Child Maltreatment 2021","URL":"https://www.acf.hhs.gov/cb/report/child-maltreatment-2021","author":[{"family":"U.S. Department of Health and Human Services, Administration for Children and Families, Administration on Children, Youth and Families, Children's Bureau","given":""}],"accessed":{"date-parts":[["2023",4,19]]},"issued":{"date-parts":[["2023"]]}}}],"schema":"https://github.com/citation-style-language/schema/raw/master/csl-citation.json"}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(U.S. Department of Health and Human Services, Administration for Children and Families, Administration on Children, Youth and Families, Children’s Bureau 2023)</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Though estimates for the number of children being the victim of abuse or neglect have decreased from 9 in every 1,000 children under the age of eighteen to 8 in every 1,000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{"citationID":"J7TbSWzt","properties":{"formattedCitation":"(The Annie E. Casey Foundation 2022)","plainCitation":"(The Annie E. Casey Foundation 2022)","noteIndex":0},"citationItems":[{"id":2029,"uris":["http://zotero.org/users/7501598/items/9ABIPUQI"],"itemData":{"id":2029,"type":"webpage","abstract":"This post shares the latest statistics on foster care, adoption and transitioning youth. Explore the data.","container-title":"The Annie E. Casey Foundation","language":"en","title":"Child Welfare and Foster Care Statistics","URL":"https://www.aecf.org/blog/child-welfare-and-foster-care-statistics","author":[{"family":"The Annie E. Casey Foundation","given":""}],"accessed":{"date-parts":[["2024",2,5]]},"issued":{"date-parts":[["2022",5,16]]}}}],"schema":"https://github.com/citation-style-language/schema/raw/master/csl-citation.json"}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(The Annie E. Casey Foundation 2022)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cumulative lifetime estimates suggest that one in three children in the United States will be involved in a child welfare investigation by the time they are eighteen years old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{"citationID":"yGYX8Kil","properties":{"formattedCitation":"(Naveed 2022)","plainCitation":"(Naveed 2022)","noteIndex":0},"citationItems":[{"id":2031,"uris":["http://zotero.org/users/7501598/items/8S6NX4IJ"],"itemData":{"id":2031,"type":"article-journal","abstract":"The 147-page report, “‘If I Wasn’t Poor, I Wouldn’t Be Unfit’: The Family Separation Crisis in the US Child Welfare System,” documents how conditions of poverty, such as a family’s struggle to pay rent or maintain housing, are misconstrued as neglect, and interpreted as evidence of an inability and lack of fitness to parent. Human Rights Watch and the ACLU found significant racial and socioeconomic disparities in child welfare involvement. Black children are almost twice as likely to experience investigations as white children and more likely to be separated from their families.","container-title":"Human Rights Watch","language":"en","source":"Human Rights Watch","title":"“If I Wasn’t Poor, I Wouldn’t Be Unfit”","URL":"https://www.hrw.org/report/2022/11/17/if-i-wasnt-poor-i-wouldnt-be-unfit/family-separation-crisis-us-child-welfare","author":[{"family":"Naveed","given":"Hina"}],"accessed":{"date-parts":[["2024",2,5]]},"issued":{"date-parts":[["2022",11,17]]}}}],"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(Naveed 2022)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The child welfare system is not a small one impacting just a few high-risk families, as often viewed.</w:t>
      </w:r>
    </w:p>
    <w:p w14:paraId="28DABD61" w14:textId="4300CCC8" w:rsidR="00D45203" w:rsidRPr="00442034" w:rsidRDefault="00D45203" w:rsidP="00D45203">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Of children and youth involved in a child maltreatment investigation, the rate of entry into foster care has held steady </w:t>
      </w:r>
      <w:r w:rsidR="00C75827" w:rsidRPr="00442034">
        <w:rPr>
          <w:rFonts w:ascii="Times New Roman" w:hAnsi="Times New Roman" w:cs="Times New Roman"/>
          <w:sz w:val="24"/>
          <w:szCs w:val="24"/>
        </w:rPr>
        <w:t>at</w:t>
      </w:r>
      <w:r w:rsidRPr="00442034">
        <w:rPr>
          <w:rFonts w:ascii="Times New Roman" w:hAnsi="Times New Roman" w:cs="Times New Roman"/>
          <w:sz w:val="24"/>
          <w:szCs w:val="24"/>
        </w:rPr>
        <w:t xml:space="preserve"> 3-4 per 1,000 over the last two decades</w:t>
      </w:r>
      <w:r w:rsidR="00D84173" w:rsidRPr="00442034">
        <w:rPr>
          <w:rFonts w:ascii="Times New Roman" w:hAnsi="Times New Roman" w:cs="Times New Roman"/>
          <w:sz w:val="24"/>
          <w:szCs w:val="24"/>
        </w:rPr>
        <w:t>.</w:t>
      </w:r>
      <w:r w:rsidRPr="00442034">
        <w:rPr>
          <w:rFonts w:ascii="Times New Roman" w:hAnsi="Times New Roman" w:cs="Times New Roman"/>
          <w:sz w:val="24"/>
          <w:szCs w:val="24"/>
        </w:rPr>
        <w:t xml:space="preserve"> However, Black, Hispanic, and American Indian youth continue to be overrepresented among children entering the child welfare system and placed into foster care (Annie E. Casey Foundation 2022). </w:t>
      </w:r>
      <w:r w:rsidR="005C72A4" w:rsidRPr="00442034">
        <w:rPr>
          <w:rFonts w:ascii="Times New Roman" w:hAnsi="Times New Roman" w:cs="Times New Roman"/>
          <w:sz w:val="24"/>
          <w:szCs w:val="24"/>
        </w:rPr>
        <w:t xml:space="preserve">As of 2021, </w:t>
      </w:r>
      <w:r w:rsidR="00335BDC" w:rsidRPr="00442034">
        <w:rPr>
          <w:rFonts w:ascii="Times New Roman" w:hAnsi="Times New Roman" w:cs="Times New Roman"/>
          <w:sz w:val="24"/>
          <w:szCs w:val="24"/>
        </w:rPr>
        <w:t xml:space="preserve">22% of youth in the foster care system were Black, though </w:t>
      </w:r>
      <w:r w:rsidR="006F0E9B" w:rsidRPr="00442034">
        <w:rPr>
          <w:rFonts w:ascii="Times New Roman" w:hAnsi="Times New Roman" w:cs="Times New Roman"/>
          <w:sz w:val="24"/>
          <w:szCs w:val="24"/>
        </w:rPr>
        <w:t xml:space="preserve">Black youth make up only 14% </w:t>
      </w:r>
      <w:r w:rsidR="006F0E9B" w:rsidRPr="00442034">
        <w:rPr>
          <w:rFonts w:ascii="Times New Roman" w:hAnsi="Times New Roman" w:cs="Times New Roman"/>
          <w:sz w:val="24"/>
          <w:szCs w:val="24"/>
        </w:rPr>
        <w:lastRenderedPageBreak/>
        <w:t xml:space="preserve">of the general population </w:t>
      </w:r>
      <w:r w:rsidR="006F0E9B"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{"citationID":"QXVoJrNw","properties":{"formattedCitation":"(Administration for Children and Families 2022)","plainCitation":"(Administration for Children and Families 2022)","noteIndex":0},"citationItems":[{"id":2070,"uris":["http://zotero.org/users/7501598/items/Q936M5XD"],"itemData":{"id":2070,"type":"webpage","abstract":"This Report to Congress provides information on the performance of states on seven national outcome categories and also includes data on contextual factors and findings of analyses conducted across states.","language":"en","title":"Child Welfare Outcomes 2020: Report to Congress","title-short":"Child Welfare Outcomes 2020","URL":"https://www.acf.hhs.gov/cb/report/cwo-2020","author":[{"family":"Administration for Children and Families","given":""}],"accessed":{"date-parts":[["2024",3,11]]},"issued":{"date-parts":[["2022"]]}}}],"schema":"https://github.com/citation-style-language/schema/raw/master/csl-citation.json"} </w:instrText>
      </w:r>
      <w:r w:rsidR="006F0E9B"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(Administration for Children and Families 2022)</w:t>
      </w:r>
      <w:r w:rsidR="006F0E9B" w:rsidRPr="00442034">
        <w:rPr>
          <w:rFonts w:ascii="Times New Roman" w:hAnsi="Times New Roman" w:cs="Times New Roman"/>
          <w:sz w:val="24"/>
          <w:szCs w:val="24"/>
        </w:rPr>
        <w:fldChar w:fldCharType="end"/>
      </w:r>
      <w:r w:rsidR="006F0E9B" w:rsidRPr="00442034">
        <w:rPr>
          <w:rFonts w:ascii="Times New Roman" w:hAnsi="Times New Roman" w:cs="Times New Roman"/>
          <w:sz w:val="24"/>
          <w:szCs w:val="24"/>
        </w:rPr>
        <w:t xml:space="preserve">. </w:t>
      </w:r>
      <w:r w:rsidRPr="00442034">
        <w:rPr>
          <w:rFonts w:ascii="Times New Roman" w:hAnsi="Times New Roman" w:cs="Times New Roman"/>
          <w:sz w:val="24"/>
          <w:szCs w:val="24"/>
        </w:rPr>
        <w:t xml:space="preserve">Youth who identify as LGBQ </w:t>
      </w:r>
      <w:r w:rsidR="00D84173" w:rsidRPr="00442034">
        <w:rPr>
          <w:rFonts w:ascii="Times New Roman" w:hAnsi="Times New Roman" w:cs="Times New Roman"/>
          <w:sz w:val="24"/>
          <w:szCs w:val="24"/>
        </w:rPr>
        <w:t>are also</w:t>
      </w:r>
      <w:r w:rsidRPr="00442034">
        <w:rPr>
          <w:rFonts w:ascii="Times New Roman" w:hAnsi="Times New Roman" w:cs="Times New Roman"/>
          <w:sz w:val="24"/>
          <w:szCs w:val="24"/>
        </w:rPr>
        <w:t xml:space="preserve"> disproportionately represented, with estimates that they are nearly 2.5 times more likely to experience placement into foster care compared to heterosexual youth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{"citationID":"RzjbOYmu","properties":{"formattedCitation":"(Fish et al. 2019)","plainCitation":"(Fish et al. 2019)","noteIndex":0},"citationItems":[{"id":150,"uris":["http://zotero.org/users/7501598/items/LFVXHAYH"],"itemData":{"id":150,"type":"article-journal","abstract":"Background\nPreliminary evidence suggests that sexual minority (e.g. lesbian, gay, bisexual, and same-sex attracted) youth are overrepresented in child welfare services. Yet, no study to date has been able to test this hypothesis with national data.\nObjective\nUsing a two-study design, we test whether sexual minority youth are overrepresented in child welfare, foster care, and out-of-home placement using nationally representative data from the United States.\nParticipants and setting\nStudy 1 data are from the National Longitudinal Study of Adolescent to Adult Health (n = 14,154; Mean age = 15.4). Study 2 data are from wave three of the National Survey of Child and Adolescent Well-Being II (n = 1309; Mean age = 15.0).\nMethods\nFor Study 1, we use adjusted logistic regression models to test differences in lifetime foster care involvement between sexual minority and heterosexual youth. In Study 2, we calculate a Disproportionality Representation Index (DRI) – a ratio of sample prevalence relative to the general population – to estimate whether sexual minority youth were overrepresented in child welfare and out-of-home care.\nResults\nStudy 1 results indicate that sexual minority youth are nearly 2.5 times as likely as heterosexual youth to experience foster care placement (aOR = 2.43, 95% CI 1.40, 4.21, p = .002). Results from Study 2 show that sexual minority youth were largely overrepresented in child welfare services (DRI = 1.95–2.48) and out-of-home placement (DRI = 3.69–4.68).\nConclusions\nFindings are the first to demonstrate sexual minority youth’s overrepresentation in child welfare, foster care, and out-of-home placement using nationally representative data and emphasizes the need for focused research on sexual minority youth involved in the child welfare system.","container-title":"Child Abuse &amp; Neglect","DOI":"10.1016/j.chiabu.2019.01.005","ISSN":"0145-2134","journalAbbreviation":"Child Abuse &amp; Neglect","page":"203-211","title":"Are sexual minority youth overrepresented in foster care, child welfare, and out-of-home placement? Findings from nationally representative data","volume":"89","author":[{"family":"Fish","given":"Jessica N."},{"family":"Baams","given":"Laura"},{"family":"Wojciak","given":"Armeda Stevenson"},{"family":"Russell","given":"Stephen T."}],"issued":{"date-parts":[["2019",3,1]]}}}],"schema":"https://github.com/citation-style-language/schema/raw/master/csl-citation.json"}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(Fish et al.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These statistics illustrate the systemic inequities within the child welfare system that </w:t>
      </w:r>
      <w:proofErr w:type="gramStart"/>
      <w:r w:rsidRPr="00442034">
        <w:rPr>
          <w:rFonts w:ascii="Times New Roman" w:hAnsi="Times New Roman" w:cs="Times New Roman"/>
          <w:sz w:val="24"/>
          <w:szCs w:val="24"/>
        </w:rPr>
        <w:t>lead</w:t>
      </w:r>
      <w:proofErr w:type="gramEnd"/>
      <w:r w:rsidRPr="00442034">
        <w:rPr>
          <w:rFonts w:ascii="Times New Roman" w:hAnsi="Times New Roman" w:cs="Times New Roman"/>
          <w:sz w:val="24"/>
          <w:szCs w:val="24"/>
        </w:rPr>
        <w:t xml:space="preserve"> to disproportionate representation of marginalized youth. The next section will review in more detail these systemic inequities by family and children/youth characteristics.</w:t>
      </w:r>
    </w:p>
    <w:p w14:paraId="175E3F90" w14:textId="621E0DD8" w:rsidR="00D45203" w:rsidRPr="00442034" w:rsidRDefault="00D45203" w:rsidP="00D45203">
      <w:pPr>
        <w:rPr>
          <w:rFonts w:ascii="Times New Roman" w:hAnsi="Times New Roman" w:cs="Times New Roman"/>
          <w:sz w:val="24"/>
          <w:szCs w:val="24"/>
        </w:rPr>
      </w:pPr>
      <w:r w:rsidRPr="00442034">
        <w:rPr>
          <w:rFonts w:ascii="Times New Roman" w:hAnsi="Times New Roman" w:cs="Times New Roman"/>
          <w:sz w:val="24"/>
          <w:szCs w:val="24"/>
        </w:rPr>
        <w:t>INEQUITIES IN THE CHILD WELFARE SYSTEM</w:t>
      </w:r>
    </w:p>
    <w:p w14:paraId="7E4BFACA" w14:textId="33D1FA4F" w:rsidR="00D45203" w:rsidRPr="00442034" w:rsidRDefault="00D45203" w:rsidP="00D45203">
      <w:pPr>
        <w:rPr>
          <w:rFonts w:ascii="Times New Roman" w:hAnsi="Times New Roman" w:cs="Times New Roman"/>
          <w:i/>
          <w:iCs/>
          <w:sz w:val="24"/>
          <w:szCs w:val="24"/>
        </w:rPr>
      </w:pPr>
      <w:r w:rsidRPr="00442034">
        <w:rPr>
          <w:rFonts w:ascii="Times New Roman" w:hAnsi="Times New Roman" w:cs="Times New Roman"/>
          <w:i/>
          <w:iCs/>
          <w:sz w:val="24"/>
          <w:szCs w:val="24"/>
        </w:rPr>
        <w:t>Impoverished Youth</w:t>
      </w:r>
    </w:p>
    <w:p w14:paraId="43E111E4" w14:textId="3FB26760" w:rsidR="00D45203" w:rsidRPr="00442034" w:rsidRDefault="00D45203" w:rsidP="004E0B1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Research has provided a clear link between socioeconomic disadvantage and a higher risk for child maltreatment. The stress produced by material hardship can contribute to harsh and neglectful parenting practices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{"citationID":"K6MhDiJh","properties":{"formattedCitation":"(Shanahan et al. 2017)","plainCitation":"(Shanahan et al. 2017)","noteIndex":0},"citationItems":[{"id":1703,"uris":["http://zotero.org/users/7501598/items/DKKTWXBA"],"itemData":{"id":1703,"type":"article-journal","abstract":"This secondary data analysis examined the risk and protective factor(s) associated with physical neglect within a sample of impoverished children. We conducted a multivariate logistic regression analysis to examine the associations among maternal age, child gender, caregiver depression, caregiver history of maltreatment, income-to-needs ratio, number of children in the home, marital status, neighborhood quality, and physical neglect. Social support was explored as a potential moderator. Among this impoverished sample, children whose caregivers had depression were 2.03 times as likely to experience physical neglect as children whose caregivers were not depressed (95% CI 1.25, 3.30; p = 0.004). Children whose caregivers reported experiencing child maltreatment were 1.81 times as likely to experience physical neglect as children whose caregivers did not experience maltreatment as a child (95% CI 1.17, 2.81; p = 0.008). Children who live in higher quality neighborhoods were 0.74 times as likely to experience physical neglect as children who live in lower quality neighborhoods (95% CI 0.57, 0.96; p = 0.03). No other significant relationships were found. (PsycInfo Database Record (c) 2020 APA, all rights reserved)","container-title":"Children and Youth Services Review","DOI":"10.1016/j.childyouth.2017.02.014","ISSN":"1873-7765","note":"publisher-place: Netherlands\npublisher: Elsevier Science","page":"1-6","source":"APA PsycNet","title":"The within poverty differences in the occurrence of physical neglect","volume":"75","author":[{"family":"Shanahan","given":"Meghan E."},{"family":"Runyan","given":"Desmond K."},{"family":"Martin","given":"Sandra L."},{"family":"Kotch","given":"Jonathan B."}],"issued":{"date-parts":[["2017"]]}}}],"schema":"https://github.com/citation-style-language/schema/raw/master/csl-citation.json"}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(Shanahan et al.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While child abuse and neglect occur in families across all income categories, violence is more likely to occur in low-income homes. Drawing on national family violence surveys, Gelles (1992) found that poor single mothers and young parents struggling with economic security had elevated risks of child abuse and neglect. To understand how material factors and poverty play a role in child maltreatment, the U.S. Advisory Board on Child Abuse and Neglect commissioned Pelton (1994) to review and analyze this relationship. This study found strong links between poverty and child abuse and neglect, as children from low-income families are </w:t>
      </w:r>
      <w:r w:rsidR="00062A09" w:rsidRPr="00442034">
        <w:rPr>
          <w:rFonts w:ascii="Times New Roman" w:hAnsi="Times New Roman" w:cs="Times New Roman"/>
          <w:sz w:val="24"/>
          <w:szCs w:val="24"/>
        </w:rPr>
        <w:t>seven times more likely to be reported for neglect and disproportionately represented</w:t>
      </w:r>
      <w:r w:rsidRPr="00442034">
        <w:rPr>
          <w:rFonts w:ascii="Times New Roman" w:hAnsi="Times New Roman" w:cs="Times New Roman"/>
          <w:sz w:val="24"/>
          <w:szCs w:val="24"/>
        </w:rPr>
        <w:t xml:space="preserve"> in the child welfare system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{"citationID":"yjooYCdr","properties":{"formattedCitation":"(Pelton 2015)","plainCitation":"(Pelton 2015)","noteIndex":0},"citationItems":[{"id":583,"uris":["http://zotero.org/users/7501598/items/6EP5R7SI"],"itemData":{"id":583,"type":"article-journal","abstract":"This article constitutes a 20-year update to a previous publication (Pelton, 1994), which showed that there is overwhelming evidence that poverty and low income are strongly related to child abuse and neglect. Subsequent evidence shows that the relationship continues to be strong. In addition, there is further evidence since the 1994 publication that this relation is not substantially due to class bias. Yet it is suggested that class bias does exist within the system. There is also further evidence that decreases in child maltreatment follow increases in material supports, and that job loss bears a complex relationship to child maltreatment. Findings pertaining to racial bias within the child welfare system continue to be mixed, but leave no doubt that racial disproportionalities within the system are overwhelmingly related to racial disproportionalities in the poverty population. There is continuing evidence that children placed in foster care are predominantly from impoverished families, and that changes in the level of material supports are related to risk of placement. It is suggested that the fact that there are nearly one million children in out-of-home placement (foster care and child-welfare involved adoption, combined) is indicative of the continuing dysfunction of the child welfare system, and that the differential response paradigm has not altered this dysfunction. A proposal for a fundamental restructuring of the child welfare system is recommended and restated here. Prospects for such change are briefly discussed. Also, to reduce poverty, a previously proposed universal social dividend and taxation system is briefly discussed and recommended.","container-title":"Child Abuse &amp; Neglect","DOI":"10.1016/j.chiabu.2014.08.001","ISSN":"1873-7757","journalAbbreviation":"Child Abuse Negl","language":"eng","note":"PMID: 25169149","page":"30-39","source":"PubMed","title":"The continuing role of material factors in child maltreatment and placement","volume":"41","author":[{"family":"Pelton","given":"Leroy H."}],"issued":{"date-parts":[["2015",3]]}}}],"schema":"https://github.com/citation-style-language/schema/raw/master/csl-citation.json"}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(Pelton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Using data from the National Incidence Studies of Child Abuse and Neglect (NIS), Pelton (2015) found that child abuse and neglect are both directly and indirectly related to material hardship. Indirectly, poverty and material hardship produce feelings of stress, depression, low self-esteem, and helplessness that lead to poor coping skills and the increased likelihood of child abuse and neglect. Directly, </w:t>
      </w:r>
      <w:r w:rsidRPr="00442034">
        <w:rPr>
          <w:rFonts w:ascii="Times New Roman" w:hAnsi="Times New Roman" w:cs="Times New Roman"/>
          <w:sz w:val="24"/>
          <w:szCs w:val="24"/>
        </w:rPr>
        <w:lastRenderedPageBreak/>
        <w:t xml:space="preserve">poverty and lack of resources within the environment can produce dangerous conditions that also lead to abuse and neglect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{"citationID":"FLBJnI4P","properties":{"formattedCitation":"(Pelton 2015)","plainCitation":"(Pelton 2015)","noteIndex":0},"citationItems":[{"id":583,"uris":["http://zotero.org/users/7501598/items/6EP5R7SI"],"itemData":{"id":583,"type":"article-journal","abstract":"This article constitutes a 20-year update to a previous publication (Pelton, 1994), which showed that there is overwhelming evidence that poverty and low income are strongly related to child abuse and neglect. Subsequent evidence shows that the relationship continues to be strong. In addition, there is further evidence since the 1994 publication that this relation is not substantially due to class bias. Yet it is suggested that class bias does exist within the system. There is also further evidence that decreases in child maltreatment follow increases in material supports, and that job loss bears a complex relationship to child maltreatment. Findings pertaining to racial bias within the child welfare system continue to be mixed, but leave no doubt that racial disproportionalities within the system are overwhelmingly related to racial disproportionalities in the poverty population. There is continuing evidence that children placed in foster care are predominantly from impoverished families, and that changes in the level of material supports are related to risk of placement. It is suggested that the fact that there are nearly one million children in out-of-home placement (foster care and child-welfare involved adoption, combined) is indicative of the continuing dysfunction of the child welfare system, and that the differential response paradigm has not altered this dysfunction. A proposal for a fundamental restructuring of the child welfare system is recommended and restated here. Prospects for such change are briefly discussed. Also, to reduce poverty, a previously proposed universal social dividend and taxation system is briefly discussed and recommended.","container-title":"Child Abuse &amp; Neglect","DOI":"10.1016/j.chiabu.2014.08.001","ISSN":"1873-7757","journalAbbreviation":"Child Abuse Negl","language":"eng","note":"PMID: 25169149","page":"30-39","source":"PubMed","title":"The continuing role of material factors in child maltreatment and placement","volume":"41","author":[{"family":"Pelton","given":"Leroy H."}],"issued":{"date-parts":[["2015",3]]}}}],"schema":"https://github.com/citation-style-language/schema/raw/master/csl-citation.json"}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(Pelton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p>
    <w:p w14:paraId="2C783112" w14:textId="4F5D1B88" w:rsidR="00D45203" w:rsidRPr="00442034" w:rsidRDefault="00D45203" w:rsidP="00D45203">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Experiencing poverty inhibits informal social control, leading to detrimental impacts on child well-being. Family poverty is associated with parenting styles that can be </w:t>
      </w:r>
      <w:r w:rsidR="001F4573">
        <w:rPr>
          <w:rFonts w:ascii="Times New Roman" w:hAnsi="Times New Roman" w:cs="Times New Roman"/>
          <w:sz w:val="24"/>
          <w:szCs w:val="24"/>
        </w:rPr>
        <w:t>deleterious</w:t>
      </w:r>
      <w:r w:rsidR="001F4573" w:rsidRPr="00442034">
        <w:rPr>
          <w:rFonts w:ascii="Times New Roman" w:hAnsi="Times New Roman" w:cs="Times New Roman"/>
          <w:sz w:val="24"/>
          <w:szCs w:val="24"/>
        </w:rPr>
        <w:t xml:space="preserve"> </w:t>
      </w:r>
      <w:r w:rsidRPr="00442034">
        <w:rPr>
          <w:rFonts w:ascii="Times New Roman" w:hAnsi="Times New Roman" w:cs="Times New Roman"/>
          <w:sz w:val="24"/>
          <w:szCs w:val="24"/>
        </w:rPr>
        <w:t xml:space="preserve">to child development such as harsh discipline, lower parental warmth, and hostile parenting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{"citationID":"n1GKzJ6T","properties":{"formattedCitation":"(Drake and Jonson-Reid 2014)","plainCitation":"(Drake and Jonson-Reid 2014)","noteIndex":0},"citationItems":[{"id":1837,"uris":["http://zotero.org/users/7501598/items/LNM458TV"],"itemData":{"id":1837,"type":"chapter","abstract":"Poverty is among the most robust correlates of child maltreatment. This chapter explores the evolving knowledge on the relationship between poverty and child abuse and neglect. Poverty is defined and key aspects of poverty relevant to child maltreatment are detailed. We suggest that the commonly found tendency towards increased maltreatment among the poor and in poor communities is a genuine finding, and not merely an artifact of bias resulting in overreporting of the poor. A range of theoretical positions are explored which can provide ways of understanding the link between poverty and maltreatment, ranging from the societal to the individual. Empirical findings are presented, describing macroeconomic effects and the influence of specific factors at the family level. The need for work in the area of developing evidence based practice with regard to poverty and child maltreatment is highlighted. General policy implications are presented.","collection-title":"Child Maltreatment","container-title":"Handbook of Child Maltreatment","event-place":"Dordrecht","ISBN":"978-94-007-7208-3","language":"en","note":"DOI: 10.1007/978-94-007-7208-3_7","page":"131-148","publisher":"Springer Netherlands","publisher-place":"Dordrecht","source":"Springer Link","title":"Poverty and Child Maltreatment","URL":"https://doi.org/10.1007/978-94-007-7208-3_7","author":[{"family":"Drake","given":"Brett"},{"family":"Jonson-Reid","given":"Melissa"}],"editor":[{"family":"Korbin","given":"Jill E."},{"family":"Krugman","given":"Richard D."}],"accessed":{"date-parts":[["2023",11,7]]},"issued":{"date-parts":[["2014"]]}}}],"schema":"https://github.com/citation-style-language/schema/raw/master/csl-citation.json"}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(Drake and Jonson-Reid 2014)</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Risk factors that contribute to reports of child maltreatment include domestic violence, substance abuse, mental illness, and criminal justice involvement, all of which are higher for families experiencing poverty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{"citationID":"NO3SMQHi","properties":{"formattedCitation":"(Drake and Jonson-Reid 2014; Fong 2017; Pelton 2015)","plainCitation":"(Drake and Jonson-Reid 2014; Fong 2017; Pelton 2015)","noteIndex":0},"citationItems":[{"id":1837,"uris":["http://zotero.org/users/7501598/items/LNM458TV"],"itemData":{"id":1837,"type":"chapter","abstract":"Poverty is among the most robust correlates of child maltreatment. This chapter explores the evolving knowledge on the relationship between poverty and child abuse and neglect. Poverty is defined and key aspects of poverty relevant to child maltreatment are detailed. We suggest that the commonly found tendency towards increased maltreatment among the poor and in poor communities is a genuine finding, and not merely an artifact of bias resulting in overreporting of the poor. A range of theoretical positions are explored which can provide ways of understanding the link between poverty and maltreatment, ranging from the societal to the individual. Empirical findings are presented, describing macroeconomic effects and the influence of specific factors at the family level. The need for work in the area of developing evidence based practice with regard to poverty and child maltreatment is highlighted. General policy implications are presented.","collection-title":"Child Maltreatment","container-title":"Handbook of Child Maltreatment","event-place":"Dordrecht","ISBN":"978-94-007-7208-3","language":"en","note":"DOI: 10.1007/978-94-007-7208-3_7","page":"131-148","publisher":"Springer Netherlands","publisher-place":"Dordrecht","source":"Springer Link","title":"Poverty and Child Maltreatment","URL":"https://doi.org/10.1007/978-94-007-7208-3_7","author":[{"family":"Drake","given":"Brett"},{"family":"Jonson-Reid","given":"Melissa"}],"editor":[{"family":"Korbin","given":"Jill E."},{"family":"Krugman","given":"Richard D."}],"accessed":{"date-parts":[["2023",11,7]]},"issued":{"date-parts":[["2014"]]}}},{"id":186,"uris":["http://zotero.org/users/7501598/items/T3777VAI"],"itemData":{"id":186,"type":"article-journal","abstract":"Research documents a link between poverty and child welfare involvement, but the nature of this relationship is unclear. By providing in-depth accounts of situations leading to child welfare involvement, parents' perspectives can enrich our understanding of how poverty matters for child welfare involvement. Based on in-depth interviews with 40 poor parents previously investigated for child maltreatment, I discuss contexts of poverty that provided pathways to child welfare involvement. Poverty created environments of desperation and disadvantage, combined with reliance on supports that reported parents to child welfare agencies. The vast majority of incidents parents described implicated in their involvement parental adversities related to poverty; embeddedness in disadvantaged networks or volatile personal relationships; and/or involvement in, or need for, social services. These ﬁndings suggest a research approach that interrogates this complexity and maltreatment prevention policies that broadly strengthen supports for families and communities.","container-title":"Children and Youth Services Review","DOI":"10.1016/j.childyouth.2016.10.011","ISSN":"01907409","journalAbbreviation":"Children and Youth Services Review","language":"en","page":"5-13","source":"DOI.org (Crossref)","title":"Child welfare involvement and contexts of poverty: The role of parental adversities, social networks, and social services","title-short":"Child welfare involvement and contexts of poverty","volume":"72","author":[{"family":"Fong","given":"Kelley"}],"issued":{"date-parts":[["2017",1]]}}},{"id":583,"uris":["http://zotero.org/users/7501598/items/6EP5R7SI"],"itemData":{"id":583,"type":"article-journal","abstract":"This article constitutes a 20-year update to a previous publication (Pelton, 1994), which showed that there is overwhelming evidence that poverty and low income are strongly related to child abuse and neglect. Subsequent evidence shows that the relationship continues to be strong. In addition, there is further evidence since the 1994 publication that this relation is not substantially due to class bias. Yet it is suggested that class bias does exist within the system. There is also further evidence that decreases in child maltreatment follow increases in material supports, and that job loss bears a complex relationship to child maltreatment. Findings pertaining to racial bias within the child welfare system continue to be mixed, but leave no doubt that racial disproportionalities within the system are overwhelmingly related to racial disproportionalities in the poverty population. There is continuing evidence that children placed in foster care are predominantly from impoverished families, and that changes in the level of material supports are related to risk of placement. It is suggested that the fact that there are nearly one million children in out-of-home placement (foster care and child-welfare involved adoption, combined) is indicative of the continuing dysfunction of the child welfare system, and that the differential response paradigm has not altered this dysfunction. A proposal for a fundamental restructuring of the child welfare system is recommended and restated here. Prospects for such change are briefly discussed. Also, to reduce poverty, a previously proposed universal social dividend and taxation system is briefly discussed and recommended.","container-title":"Child Abuse &amp; Neglect","DOI":"10.1016/j.chiabu.2014.08.001","ISSN":"1873-7757","journalAbbreviation":"Child Abuse Negl","language":"eng","note":"PMID: 25169149","page":"30-39","source":"PubMed","title":"The continuing role of material factors in child maltreatment and placement","volume":"41","author":[{"family":"Pelton","given":"Leroy H."}],"issued":{"date-parts":[["2015",3]]}}}],"schema":"https://github.com/citation-style-language/schema/raw/master/csl-citation.json"}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(Drake and Jonson-Reid 2014; Fong 2017; Pelton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Housing stress and instability, lack of employment opportunities, and neighborhood social processes such as collective efficacy, social networks, and perceived physical and social disorder can exacerbate or mitigate stressors present for parents that may lead to poor youth outcomes such as child maltreatment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{"citationID":"fNm4cR53","properties":{"formattedCitation":"(Molnar et al. 2016)","plainCitation":"(Molnar et al. 2016)","noteIndex":0},"citationItems":[{"id":403,"uris":["http://zotero.org/users/7501598/items/PFYNXFWG",["http://zotero.org/users/7501598/items/PFYNXFWG"]],"itemData":{"id":403,"type":"article-journal","abstract":"Child maltreatment is a preventable public health problem. Research has demonstrated that neighborhood structural factors (e.g. poverty, crime) can influence the proportion of a neighborhood's children who are victims of maltreatment. A newer strategy is the identification of potentially modifiable social processes at the neighborhood level that can also influence maltreatment. Toward this end, this study examines neighborhood-level data (maltreatment cases substantiated by Illinois’ child protection agency, 1995–2005, social processes measured by the Project on Human Development in Chicago Neighborhoods, U.S. Census data, proportions of neighborhoods on public assistance, and crime data) that were linked across clusters of contiguous, relatively homogenous Chicago, IL census tracts with respect to racial/ethnic and socioeconomic composition. Our analysis—an ecological-level, repeated cross-sectional design utilizing random-intercept logit models—with a sensitivity analysis using spatial models to control for spatial autocorrelation—revealed consistent associations between neighborhood social processes and maltreatment. Neighborhoods higher in collective efficacy, intergenerational closure, and social networks, and lower in disorder had lower proportions of neglect, physical abuse, and sexual abuse substantiated cases, controlling for differences in structural factors. Higher collective efficacy and social network size also predicted a lower proportion of substance-exposed infants. This research indicates that strategies to mobilize neighborhood-level protective factors may decrease child maltreatment more effectively than individual and family-focused efforts alone.","container-title":"Child Abuse &amp; Neglect","DOI":"10.1016/j.chiabu.2015.11.007","ISSN":"0145-2134","journalAbbreviation":"Child Abuse &amp; Neglect","language":"en","page":"41-53","source":"ScienceDirect","title":"Neighborhood-level social processes and substantiated cases of child maltreatment","volume":"51","author":[{"family":"Molnar","given":"Beth E."},{"family":"Goerge","given":"Robert M."},{"family":"Gilsanz","given":"Paola"},{"family":"Hill","given":"Andrea"},{"family":"Subramanian","given":"S. V."},{"family":"Holton","given":"John K."},{"family":"Duncan","given":"Dustin T."},{"family":"Beatriz","given":"Elizabeth D."},{"family":"Beardslee","given":"William R."}],"issued":{"date-parts":[["2016",1,1]]}}}],"schema":"https://github.com/citation-style-language/schema/raw/master/csl-citation.json"}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(Molnar et al. 2016)</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These disadvantages are often concentrated in impoverished neighborhoods and communities, meaning that youth in these areas are more likely to become involved in the child welfare system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{"citationID":"qzpOMVpV","properties":{"formattedCitation":"(Coulton et al. 1995)","plainCitation":"(Coulton et al. 1995)","noteIndex":0},"citationItems":[{"id":1836,"uris":["http://zotero.org/users/7501598/items/UEUY48J4"],"itemData":{"id":1836,"type":"article-journal","abstract":"Using census and administrative agency data for 177 urban census tracts, variation in rates of officially reported child maltreatment is found to be related to structural determinants of community social organization: economic and family resources, residential instability, household and age structure, and geographic proximity of neighborhoods to concentrated poverty. Furthermore, child maltreatment rates are found to be intercorrelated with other indicators of the breakdown of community social control and organization. These other indicators are similarly affected by the structural dimensions of neighborhood context. Children who live in neighborhoods that are characterized by poverty, excessive numbers of children per adult resident, population turnover, and the concentration of female-headed families are at highest risk of maltreatment. This analysis suggests that child maltreatment is but one manifestation of community social organization and that its occurrence is related to some of the same underlying macro-social conditions that foster other urban problems.","container-title":"Child Development","DOI":"10.2307/1131646","ISSN":"0009-3920","issue":"5","note":"publisher: [Wiley, Society for Research in Child Development]","page":"1262-1276","source":"JSTOR","title":"Community Level Factors and Child Maltreatment Rates","volume":"66","author":[{"family":"Coulton","given":"Claudia J."},{"family":"Korbin","given":"Jill E."},{"family":"Su","given":"Marilyn"},{"family":"Chow","given":"Julian"}],"issued":{"date-parts":[["1995"]]}}}],"schema":"https://github.com/citation-style-language/schema/raw/master/csl-citation.json"}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(Coulton et al. 1995)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r w:rsidR="00306724" w:rsidRPr="00442034">
        <w:rPr>
          <w:rFonts w:ascii="Times New Roman" w:hAnsi="Times New Roman" w:cs="Times New Roman"/>
          <w:sz w:val="24"/>
          <w:szCs w:val="24"/>
        </w:rPr>
        <w:t xml:space="preserve"> </w:t>
      </w:r>
      <w:r w:rsidR="001930DD" w:rsidRPr="00442034">
        <w:rPr>
          <w:rFonts w:ascii="Times New Roman" w:hAnsi="Times New Roman" w:cs="Times New Roman"/>
          <w:sz w:val="24"/>
          <w:szCs w:val="24"/>
        </w:rPr>
        <w:t xml:space="preserve">Because of this relationship between poverty and </w:t>
      </w:r>
      <w:r w:rsidR="001E082C" w:rsidRPr="00442034">
        <w:rPr>
          <w:rFonts w:ascii="Times New Roman" w:hAnsi="Times New Roman" w:cs="Times New Roman"/>
          <w:sz w:val="24"/>
          <w:szCs w:val="24"/>
        </w:rPr>
        <w:t xml:space="preserve">involvement in the child welfare system, sociologists have </w:t>
      </w:r>
      <w:r w:rsidR="00B824D2">
        <w:rPr>
          <w:rFonts w:ascii="Times New Roman" w:hAnsi="Times New Roman" w:cs="Times New Roman"/>
          <w:sz w:val="24"/>
          <w:szCs w:val="24"/>
        </w:rPr>
        <w:t>argued</w:t>
      </w:r>
      <w:r w:rsidR="00B824D2" w:rsidRPr="00442034">
        <w:rPr>
          <w:rFonts w:ascii="Times New Roman" w:hAnsi="Times New Roman" w:cs="Times New Roman"/>
          <w:sz w:val="24"/>
          <w:szCs w:val="24"/>
        </w:rPr>
        <w:t xml:space="preserve"> </w:t>
      </w:r>
      <w:r w:rsidR="001E082C" w:rsidRPr="00442034">
        <w:rPr>
          <w:rFonts w:ascii="Times New Roman" w:hAnsi="Times New Roman" w:cs="Times New Roman"/>
          <w:sz w:val="24"/>
          <w:szCs w:val="24"/>
        </w:rPr>
        <w:t>that the child welfare system</w:t>
      </w:r>
      <w:r w:rsidR="00096E56" w:rsidRPr="00442034">
        <w:rPr>
          <w:rFonts w:ascii="Times New Roman" w:hAnsi="Times New Roman" w:cs="Times New Roman"/>
          <w:sz w:val="24"/>
          <w:szCs w:val="24"/>
        </w:rPr>
        <w:t xml:space="preserve"> is a system</w:t>
      </w:r>
      <w:r w:rsidR="001E082C" w:rsidRPr="00442034">
        <w:rPr>
          <w:rFonts w:ascii="Times New Roman" w:hAnsi="Times New Roman" w:cs="Times New Roman"/>
          <w:sz w:val="24"/>
          <w:szCs w:val="24"/>
        </w:rPr>
        <w:t xml:space="preserve"> </w:t>
      </w:r>
      <w:r w:rsidR="00313B4B" w:rsidRPr="00442034">
        <w:rPr>
          <w:rFonts w:ascii="Times New Roman" w:hAnsi="Times New Roman" w:cs="Times New Roman"/>
          <w:sz w:val="24"/>
          <w:szCs w:val="24"/>
        </w:rPr>
        <w:t>of poverty governance</w:t>
      </w:r>
      <w:r w:rsidR="00B219ED">
        <w:rPr>
          <w:rFonts w:ascii="Times New Roman" w:hAnsi="Times New Roman" w:cs="Times New Roman"/>
          <w:sz w:val="24"/>
          <w:szCs w:val="24"/>
        </w:rPr>
        <w:t>, or managing and surveilling families in poverty without making changes to their material circumstances</w:t>
      </w:r>
      <w:r w:rsidR="00313B4B" w:rsidRPr="00442034">
        <w:rPr>
          <w:rFonts w:ascii="Times New Roman" w:hAnsi="Times New Roman" w:cs="Times New Roman"/>
          <w:sz w:val="24"/>
          <w:szCs w:val="24"/>
        </w:rPr>
        <w:t xml:space="preserve"> </w:t>
      </w:r>
      <w:r w:rsidR="006404DA"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{"citationID":"gM1EPgcn","properties":{"formattedCitation":"(Fong 2023; Lee 2016)","plainCitation":"(Fong 2023; Lee 2016)","noteIndex":0},"citationItems":[{"id":2085,"uris":["http://zotero.org/users/7501598/items/JMXXW5RI"],"itemData":{"id":2085,"type":"book","abstract":"&lt;strong&gt;How our reliance on Child Protective Services makes motherhood precarious for those already marginalized&lt;/strong&gt; It's the knock on the door that many mothers fear: a visit from Child\nProtective Services (CPS), the state agency with the power to take their children away. Over the last half-century, these encounters have become an all-too-common way of trying to address family\npoverty and adversity. One in three children nationwide-and half of Black children-now encounter CPS during childhood. In\n &lt;i&gt;Investigating Families&lt;/i&gt; , Kelley Fong provides an\nunprecedented look at the inner workings of CPS and the experiences of families pulled into its orbit. Drawing on firsthand\nobservations of CPS investigations and hundreds of interviews with those involved, Fong traces the implications of invoking CPS as a \"first responder\" to family misfortune and hardship. She shows how relying on CPS-an entity fundamentally oriented around parental\nwrongdoing and empowered to separate families-organizes the\nresponse to adversity around surveilling, assessing, and correcting marginalized mothers. The agency's far-reaching investigative\napparatus undermines mothers' sense of security and shapes how they marshal resources for their families, reinforcing existing\ninequalities. And even before CPS comes knocking, mothers feel\nvulnerable to a system that jeopardizes their parenthood.\nCountering the usual narratives of punitive villains and hapless\nvictims, Fong's unique, behind-the-scenes account tells a revealing story of how we try to protect children by threatening mothers-and points the way to a more productive path for families facing\nadversity.","ISBN":"978-0-691-23571-4","note":"DOI: 10.2307/jj.2089634","publisher":"Princeton University Press","source":"JSTOR","title":"Investigating Families: Motherhood in the Shadow of Child Protective Services","title-short":"Investigating Families","URL":"https://www.jstor.org/stable/jj.2089634","author":[{"family":"Fong","given":"Kelley"}],"accessed":{"date-parts":[["2024",3,13]]},"issued":{"date-parts":[["2023"]]}}},{"id":2084,"uris":["http://zotero.org/users/7501598/items/27D2UXBF"],"itemData":{"id":2084,"type":"book","abstract":"Influenced by news reports of young children brutalized by their parents, most of us see the role of child services as the prevention of severe physical abuse. But as Tina Lee shows in &lt;i&gt;Catching a Case&lt;/i&gt; , most child welfare cases revolve around often ill-founded charges of neglect, and the parents swept into the system are generally struggling but loving, fighting to raise their children in the face of crushing poverty, violent crime, poor housing, lack of childcare, and failing schools.  Lee explored the child welfare system in New York City, observing family courts, interviewing parents and following them through the system, asking caseworkers for descriptions of their work and their decision-making processes, and discussing cases with attorneys on all sides. What she discovered about the system is troubling. Lee reveals that, in the face of draconian budget cuts and a political climate that blames the poor for their own poverty, child welfare practices have become punitive, focused on removing children from their families and on parental compliance with rules. Rather than provide needed help for families, case workers often hold parents to standards almost impossible for working-class and poor parents to meet. For instance, parents can be accused of neglect for providing inadequate childcare or housing even when they cannot afford anything better. In many cases, child welfare exacerbates family problems and sometimes drives parents further into poverty while the family court system does little to protect their rights.   &lt;i&gt;Catching a Case&lt;/i&gt; is a much-needed wake-up call to improve the child welfare system, and to offer more comprehensive social services that will allow all children to thrive.","ISBN":"978-0-8135-7614-5","publisher":"Rutgers University Press","source":"JSTOR","title":"Catching a Case: Inequality and Fear in New York City's Child Welfare System","title-short":"Catching a Case","URL":"https://www.jstor.org/stable/j.ctt1btbvw0","author":[{"family":"Lee","given":"Tina"}],"accessed":{"date-parts":[["2024",3,13]]},"issued":{"date-parts":[["2016"]]}}}],"schema":"https://github.com/citation-style-language/schema/raw/master/csl-citation.json"} </w:instrText>
      </w:r>
      <w:r w:rsidR="006404DA" w:rsidRPr="00442034">
        <w:rPr>
          <w:rFonts w:ascii="Times New Roman" w:hAnsi="Times New Roman" w:cs="Times New Roman"/>
          <w:sz w:val="24"/>
          <w:szCs w:val="24"/>
        </w:rPr>
        <w:fldChar w:fldCharType="separate"/>
      </w:r>
      <w:r w:rsidR="001B0443" w:rsidRPr="00442034">
        <w:rPr>
          <w:rFonts w:ascii="Times New Roman" w:hAnsi="Times New Roman" w:cs="Times New Roman"/>
          <w:noProof/>
          <w:sz w:val="24"/>
          <w:szCs w:val="24"/>
        </w:rPr>
        <w:t>(Fong 2023; Lee 2016)</w:t>
      </w:r>
      <w:r w:rsidR="006404DA" w:rsidRPr="00442034">
        <w:rPr>
          <w:rFonts w:ascii="Times New Roman" w:hAnsi="Times New Roman" w:cs="Times New Roman"/>
          <w:sz w:val="24"/>
          <w:szCs w:val="24"/>
        </w:rPr>
        <w:fldChar w:fldCharType="end"/>
      </w:r>
      <w:r w:rsidR="001B0443" w:rsidRPr="00442034">
        <w:rPr>
          <w:rFonts w:ascii="Times New Roman" w:hAnsi="Times New Roman" w:cs="Times New Roman"/>
          <w:sz w:val="24"/>
          <w:szCs w:val="24"/>
        </w:rPr>
        <w:t>.</w:t>
      </w:r>
      <w:r w:rsidR="00306724" w:rsidRPr="00442034">
        <w:rPr>
          <w:rFonts w:ascii="Times New Roman" w:hAnsi="Times New Roman" w:cs="Times New Roman"/>
          <w:sz w:val="24"/>
          <w:szCs w:val="24"/>
        </w:rPr>
        <w:t xml:space="preserve"> </w:t>
      </w:r>
    </w:p>
    <w:p w14:paraId="70407C02" w14:textId="4C60EAC7" w:rsidR="00D45203" w:rsidRPr="00442034" w:rsidRDefault="00D45203" w:rsidP="00D45203">
      <w:pPr>
        <w:rPr>
          <w:rFonts w:ascii="Times New Roman" w:hAnsi="Times New Roman" w:cs="Times New Roman"/>
          <w:i/>
          <w:iCs/>
          <w:sz w:val="24"/>
          <w:szCs w:val="24"/>
        </w:rPr>
      </w:pPr>
      <w:r w:rsidRPr="00442034">
        <w:rPr>
          <w:rFonts w:ascii="Times New Roman" w:hAnsi="Times New Roman" w:cs="Times New Roman"/>
          <w:i/>
          <w:iCs/>
          <w:sz w:val="24"/>
          <w:szCs w:val="24"/>
        </w:rPr>
        <w:t>Youth of Color</w:t>
      </w:r>
    </w:p>
    <w:p w14:paraId="74E24A51" w14:textId="0DDEA2ED" w:rsidR="00D45203" w:rsidRPr="00442034" w:rsidRDefault="00D45203" w:rsidP="00D45203">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In addition to the overrepresentation of youth from disadvantaged neighborhoods stemming from conditions of poverty, there is an overrepresentation of marginalized </w:t>
      </w:r>
      <w:r w:rsidR="00600BFD">
        <w:rPr>
          <w:rFonts w:ascii="Times New Roman" w:hAnsi="Times New Roman" w:cs="Times New Roman"/>
          <w:sz w:val="24"/>
          <w:szCs w:val="24"/>
        </w:rPr>
        <w:t xml:space="preserve">individualized </w:t>
      </w:r>
      <w:r w:rsidRPr="00442034">
        <w:rPr>
          <w:rFonts w:ascii="Times New Roman" w:hAnsi="Times New Roman" w:cs="Times New Roman"/>
          <w:sz w:val="24"/>
          <w:szCs w:val="24"/>
        </w:rPr>
        <w:t>communities within the child welfare system. According to Dettlaff and Boyd (2020), the removal of Black children from their parents began during the slave trade, and it is through this historical lens that the practices of the current child welfare system are viewed</w:t>
      </w:r>
      <w:r w:rsidR="00D115CD" w:rsidRPr="00442034">
        <w:rPr>
          <w:rFonts w:ascii="Times New Roman" w:hAnsi="Times New Roman" w:cs="Times New Roman"/>
          <w:sz w:val="24"/>
          <w:szCs w:val="24"/>
        </w:rPr>
        <w:t xml:space="preserve"> by </w:t>
      </w:r>
      <w:r w:rsidR="00D115CD" w:rsidRPr="00442034">
        <w:rPr>
          <w:rFonts w:ascii="Times New Roman" w:hAnsi="Times New Roman" w:cs="Times New Roman"/>
          <w:sz w:val="24"/>
          <w:szCs w:val="24"/>
        </w:rPr>
        <w:lastRenderedPageBreak/>
        <w:t>those critical of the child welfare system</w:t>
      </w:r>
      <w:r w:rsidRPr="00442034">
        <w:rPr>
          <w:rFonts w:ascii="Times New Roman" w:hAnsi="Times New Roman" w:cs="Times New Roman"/>
          <w:sz w:val="24"/>
          <w:szCs w:val="24"/>
        </w:rPr>
        <w:t>. For Black families, forced family separation through the child welfare system heightens the trauma associated with the legacy of slavery and continues to add to the disparate treatment of Black families. For example, though Black children comprise 14% of the general population, they make up 2</w:t>
      </w:r>
      <w:r w:rsidR="00B960DA" w:rsidRPr="00442034">
        <w:rPr>
          <w:rFonts w:ascii="Times New Roman" w:hAnsi="Times New Roman" w:cs="Times New Roman"/>
          <w:sz w:val="24"/>
          <w:szCs w:val="24"/>
        </w:rPr>
        <w:t>2</w:t>
      </w:r>
      <w:r w:rsidRPr="00442034">
        <w:rPr>
          <w:rFonts w:ascii="Times New Roman" w:hAnsi="Times New Roman" w:cs="Times New Roman"/>
          <w:sz w:val="24"/>
          <w:szCs w:val="24"/>
        </w:rPr>
        <w:t>% of the child welfare population</w:t>
      </w:r>
      <w:r w:rsidR="00B960DA" w:rsidRPr="00442034">
        <w:rPr>
          <w:rFonts w:ascii="Times New Roman" w:hAnsi="Times New Roman" w:cs="Times New Roman"/>
          <w:sz w:val="24"/>
          <w:szCs w:val="24"/>
        </w:rPr>
        <w:t xml:space="preserve"> </w:t>
      </w:r>
      <w:r w:rsidR="00B960DA"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{"citationID":"fvXu08av","properties":{"formattedCitation":"(Administration for Children and Families 2022)","plainCitation":"(Administration for Children and Families 2022)","noteIndex":0},"citationItems":[{"id":2070,"uris":["http://zotero.org/users/7501598/items/Q936M5XD"],"itemData":{"id":2070,"type":"webpage","abstract":"This Report to Congress provides information on the performance of states on seven national outcome categories and also includes data on contextual factors and findings of analyses conducted across states.","language":"en","title":"Child Welfare Outcomes 2020: Report to Congress","title-short":"Child Welfare Outcomes 2020","URL":"https://www.acf.hhs.gov/cb/report/cwo-2020","author":[{"family":"Administration for Children and Families","given":""}],"accessed":{"date-parts":[["2024",3,11]]},"issued":{"date-parts":[["2022"]]}}}],"schema":"https://github.com/citation-style-language/schema/raw/master/csl-citation.json"} </w:instrText>
      </w:r>
      <w:r w:rsidR="00B960DA" w:rsidRPr="00442034">
        <w:rPr>
          <w:rFonts w:ascii="Times New Roman" w:hAnsi="Times New Roman" w:cs="Times New Roman"/>
          <w:sz w:val="24"/>
          <w:szCs w:val="24"/>
        </w:rPr>
        <w:fldChar w:fldCharType="separate"/>
      </w:r>
      <w:r w:rsidR="00B960DA" w:rsidRPr="00442034">
        <w:rPr>
          <w:rFonts w:ascii="Times New Roman" w:hAnsi="Times New Roman" w:cs="Times New Roman"/>
          <w:noProof/>
          <w:sz w:val="24"/>
          <w:szCs w:val="24"/>
        </w:rPr>
        <w:t>(Administration for Children and Families 2022)</w:t>
      </w:r>
      <w:r w:rsidR="00B960DA" w:rsidRPr="00442034">
        <w:rPr>
          <w:rFonts w:ascii="Times New Roman" w:hAnsi="Times New Roman" w:cs="Times New Roman"/>
          <w:sz w:val="24"/>
          <w:szCs w:val="24"/>
        </w:rPr>
        <w:fldChar w:fldCharType="end"/>
      </w:r>
      <w:r w:rsidRPr="00442034">
        <w:rPr>
          <w:rFonts w:ascii="Times New Roman" w:hAnsi="Times New Roman" w:cs="Times New Roman"/>
          <w:sz w:val="24"/>
          <w:szCs w:val="24"/>
        </w:rPr>
        <w:t>. Additionally, there are racialized differences in child maltreatment rates, such that Black families are more likely to be reported for child abuse and neglect, more likely to be investigated, and more likely to have these reports substantiated. As a result, Black children have a higher likelihood of being placed into foster or out-of-home care</w:t>
      </w:r>
      <w:r w:rsidR="005E73E4">
        <w:rPr>
          <w:rFonts w:ascii="Times New Roman" w:hAnsi="Times New Roman" w:cs="Times New Roman"/>
          <w:sz w:val="24"/>
          <w:szCs w:val="24"/>
        </w:rPr>
        <w:t>,</w:t>
      </w:r>
      <w:r w:rsidRPr="00442034">
        <w:rPr>
          <w:rFonts w:ascii="Times New Roman" w:hAnsi="Times New Roman" w:cs="Times New Roman"/>
          <w:sz w:val="24"/>
          <w:szCs w:val="24"/>
        </w:rPr>
        <w:t xml:space="preserve"> remaining in care</w:t>
      </w:r>
      <w:r w:rsidR="005E73E4">
        <w:rPr>
          <w:rFonts w:ascii="Times New Roman" w:hAnsi="Times New Roman" w:cs="Times New Roman"/>
          <w:sz w:val="24"/>
          <w:szCs w:val="24"/>
        </w:rPr>
        <w:t xml:space="preserve"> longer</w:t>
      </w:r>
      <w:r w:rsidRPr="00442034">
        <w:rPr>
          <w:rFonts w:ascii="Times New Roman" w:hAnsi="Times New Roman" w:cs="Times New Roman"/>
          <w:sz w:val="24"/>
          <w:szCs w:val="24"/>
        </w:rPr>
        <w:t xml:space="preserve">, and ultimately </w:t>
      </w:r>
      <w:r w:rsidR="00012D02">
        <w:rPr>
          <w:rFonts w:ascii="Times New Roman" w:hAnsi="Times New Roman" w:cs="Times New Roman"/>
          <w:sz w:val="24"/>
          <w:szCs w:val="24"/>
        </w:rPr>
        <w:t xml:space="preserve">are </w:t>
      </w:r>
      <w:r w:rsidRPr="00442034">
        <w:rPr>
          <w:rFonts w:ascii="Times New Roman" w:hAnsi="Times New Roman" w:cs="Times New Roman"/>
          <w:sz w:val="24"/>
          <w:szCs w:val="24"/>
        </w:rPr>
        <w:t xml:space="preserve">less likely to be reunified with their family of origin compared to white youth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{"citationID":"SN8bcE0X","properties":{"formattedCitation":"(Dettlaff and Boyd 2020; Hill 2004)","plainCitation":"(Dettlaff and Boyd 2020; Hill 2004)","noteIndex":0},"citationItems":[{"id":682,"uris":["http://zotero.org/users/7501598/items/PYERLVMU"],"itemData":{"id":682,"type":"article-journal","abstract":"Children of color are overrepresented in the child welfare system, and Black children have been most significantly impacted by this racial disproportionality. Racial disproportionality in child welfare exists because of influences that are both external to child welfare systems and part of the child welfare system. We summarize the causes of racial disproportionality, arguing that internal and external causes of disproportional involvement originate from a common underlying factor: structural and institutional racism that is both within child welfare systems and part of society at large. Further, we review options for addressing racial disproportionality, arguing that it needs to be rectified because of the harm it causes Black children and families and that forcible separation of children from their parents can no longer be viewed as an acceptable form of intervention for families in need.","container-title":"The ANNALS of the American Academy of Political and Social Science","DOI":"10.1177/0002716220980329","ISSN":"0002-7162","issue":"1","language":"en","note":"publisher: SAGE Publications Inc","page":"253-274","source":"SAGE Journals","title":"Racial Disproportionality and Disparities in the Child Welfare System: Why Do They Exist, and What Can Be Done to Address Them?","title-short":"Racial Disproportionality and Disparities in the Child Welfare System","volume":"692","author":[{"family":"Dettlaff","given":"Alan J."},{"family":"Boyd","given":"Reiko"}],"issued":{"date-parts":[["2020",11,1]]}}},{"id":688,"uris":["http://zotero.org/users/7501598/items/M5B255CD"],"itemData":{"id":688,"type":"article-journal","abstract":"Three reasons are most often provided to explain the persistent overrepresentation of black children in the child welfare system. One, since black families have more risk factors (unemployment, single-parent families, poverty, etc) that cause them to abuse and neglect their children more than white families, the higher representation of blacks is appropriate. Two, since blacks are more highly concentrated among the poor than whites, blacks are expected to be overrepresented in child welfare due to their lower class status—not because of their race. But this article focuses on a third explanation—institutional racism. This thesis holds that systemic discrimination, which emanates from decision-making processes in child welfare, is a major contributor to the disparate representation of black children. This analysis examines how institutional racism influences the operation of the child welfare system to result in disparate adverse effects on black children and their families. The evolution of blacks in child welfare is viewed from an historical perspective. It assesses the impact of other systems (notably mental health, special education and juvenile justice) on the child welfare system. It examines the extent to which decision-making processes at various stages of child welfare screen in black children and screen out white children. It describes how systemic racism denies vital social and economic supports to kin caregivers who are responsible for their related children. This assessment ends with practice, policy and research recommendations to reduce the overrepresentation of black children in child welfare.","container-title":"Race and Society","DOI":"10.1016/j.racsoc.2004.11.004","ISSN":"1090-9524","issue":"1","journalAbbreviation":"Race and Society","language":"en","page":"17-33","source":"ScienceDirect","title":"Institutional racism in child welfare","volume":"7","author":[{"family":"Hill","given":"Robert B."}],"issued":{"date-parts":[["2004",1,1]]}}}],"schema":"https://github.com/citation-style-language/schema/raw/master/csl-citation.json"}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(Dettlaff and Boyd 2020; Hill 2004)</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r w:rsidR="00EE143C" w:rsidRPr="00442034">
        <w:rPr>
          <w:rFonts w:ascii="Times New Roman" w:hAnsi="Times New Roman" w:cs="Times New Roman"/>
          <w:sz w:val="24"/>
          <w:szCs w:val="24"/>
        </w:rPr>
        <w:t xml:space="preserve"> As a result of these disparities, there has been ongoing debate among scholars regarding whether th</w:t>
      </w:r>
      <w:r w:rsidR="00E102EF" w:rsidRPr="00442034">
        <w:rPr>
          <w:rFonts w:ascii="Times New Roman" w:hAnsi="Times New Roman" w:cs="Times New Roman"/>
          <w:sz w:val="24"/>
          <w:szCs w:val="24"/>
        </w:rPr>
        <w:t xml:space="preserve">e disproportionate representation of marginalized youth is the result of institutional racism and bias within the </w:t>
      </w:r>
      <w:r w:rsidR="003401B1" w:rsidRPr="00442034">
        <w:rPr>
          <w:rFonts w:ascii="Times New Roman" w:hAnsi="Times New Roman" w:cs="Times New Roman"/>
          <w:sz w:val="24"/>
          <w:szCs w:val="24"/>
        </w:rPr>
        <w:t xml:space="preserve">child welfare </w:t>
      </w:r>
      <w:r w:rsidR="00E102EF" w:rsidRPr="00442034">
        <w:rPr>
          <w:rFonts w:ascii="Times New Roman" w:hAnsi="Times New Roman" w:cs="Times New Roman"/>
          <w:sz w:val="24"/>
          <w:szCs w:val="24"/>
        </w:rPr>
        <w:t xml:space="preserve">system or whether it is the result of the </w:t>
      </w:r>
      <w:r w:rsidR="00E5723F" w:rsidRPr="00442034">
        <w:rPr>
          <w:rFonts w:ascii="Times New Roman" w:hAnsi="Times New Roman" w:cs="Times New Roman"/>
          <w:sz w:val="24"/>
          <w:szCs w:val="24"/>
        </w:rPr>
        <w:t xml:space="preserve">higher rates of poverty among minority families </w:t>
      </w:r>
      <w:r w:rsidR="004A31B0"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{"citationID":"eC0QXBO3","properties":{"formattedCitation":"(Fluke et al. 2011; Roberts 2022)","plainCitation":"(Fluke et al. 2011; Roberts 2022)","noteIndex":0},"citationItems":[{"id":520,"uris":["http://zotero.org/users/7501598/items/RYH2IB7K"],"itemData":{"id":520,"type":"article-journal","note":"publisher: Annie E. Casey Foundation","title":"Disparities and disproportionality in child welfare: Analysis of the research","author":[{"family":"Fluke","given":"John"},{"family":"Harden","given":"Brenda Jones"},{"family":"Jenkins","given":"Molly"},{"family":"Reuhrdanz","given":"Ashleigh"}],"issued":{"date-parts":[["2011"]]}}},{"id":685,"uris":["http://zotero.org/users/7501598/items/HH95MFA7"],"itemData":{"id":685,"type":"book","abstract":"An award-winning scholar exposes the foundational racism of the child welfare system and calls for radical change  Many believe the child welfare system protects children from abuse. But as Torn Apart uncovers, this system is designed to punish Black families. Drawing on decades of research, legal scholar and sociologist Dorothy Roberts reveals that the child welfare system is better understood as a “family policing system” that collaborates with law enforcement and prisons to oppress Black communities. Child protection investigations ensnare a majority of Black children, putting their families under intense state surveillance and regulation. Black children are disproportionately likely to be torn from their families and placed in foster care, driving many to juvenile detention and imprisonment.  The only way to stop the destruction caused by family policing, Torn Apart argues, is to abolish the child welfare system and liberate Black communities.","ISBN":"978-1-5416-7545-2","language":"en","note":"Google-Books-ID: 7i87EAAAQBAJ","number-of-pages":"351","publisher":"Basic Books","source":"Google Books","title":"Torn Apart: How the Child Welfare System Destroys Black Families--and How Abolition Can Build a Safer World","title-short":"Torn Apart","author":[{"family":"Roberts","given":"Dorothy"}],"issued":{"date-parts":[["2022",4,5]]}}}],"schema":"https://github.com/citation-style-language/schema/raw/master/csl-citation.json"} </w:instrText>
      </w:r>
      <w:r w:rsidR="004A31B0" w:rsidRPr="00442034">
        <w:rPr>
          <w:rFonts w:ascii="Times New Roman" w:hAnsi="Times New Roman" w:cs="Times New Roman"/>
          <w:sz w:val="24"/>
          <w:szCs w:val="24"/>
        </w:rPr>
        <w:fldChar w:fldCharType="separate"/>
      </w:r>
      <w:r w:rsidR="00B6609B" w:rsidRPr="00442034">
        <w:rPr>
          <w:rFonts w:ascii="Times New Roman" w:hAnsi="Times New Roman" w:cs="Times New Roman"/>
          <w:noProof/>
          <w:sz w:val="24"/>
          <w:szCs w:val="24"/>
        </w:rPr>
        <w:t>(Fluke et al. 2011; Roberts 2022)</w:t>
      </w:r>
      <w:r w:rsidR="004A31B0" w:rsidRPr="00442034">
        <w:rPr>
          <w:rFonts w:ascii="Times New Roman" w:hAnsi="Times New Roman" w:cs="Times New Roman"/>
          <w:sz w:val="24"/>
          <w:szCs w:val="24"/>
        </w:rPr>
        <w:fldChar w:fldCharType="end"/>
      </w:r>
      <w:r w:rsidR="00B6609B" w:rsidRPr="00442034">
        <w:rPr>
          <w:rFonts w:ascii="Times New Roman" w:hAnsi="Times New Roman" w:cs="Times New Roman"/>
          <w:sz w:val="24"/>
          <w:szCs w:val="24"/>
        </w:rPr>
        <w:t>.</w:t>
      </w:r>
      <w:r w:rsidR="0093066D">
        <w:rPr>
          <w:rFonts w:ascii="Times New Roman" w:hAnsi="Times New Roman" w:cs="Times New Roman"/>
          <w:sz w:val="24"/>
          <w:szCs w:val="24"/>
        </w:rPr>
        <w:t xml:space="preserve"> An explanation focused on both is probably most accurate.</w:t>
      </w:r>
    </w:p>
    <w:p w14:paraId="2849ED5A" w14:textId="579D5ED6" w:rsidR="00D45203" w:rsidRPr="00442034" w:rsidRDefault="00D45203" w:rsidP="00D45203">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Similarly, child removal from American Indian tribes can be traced back to colonialism and the Eurocentric view that American Indian communities were ill-equipped to care for their children. Instead, white settlers forcibly removed American Indian children from their tribal lands and placed them in boarding schools or with white families where they were stripped of their cultural identities and practices and were assimilated into white beliefs and practices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{"citationID":"iim2aSTf","properties":{"formattedCitation":"(Crofoot and Harris 2012)","plainCitation":"(Crofoot and Harris 2012)","noteIndex":0},"citationItems":[{"id":687,"uris":["http://zotero.org/users/7501598/items/G63FEHXA"],"itemData":{"id":687,"type":"article-journal","abstract":"American Indians and Alaska Natives have struggled with outplacement of children from their families and communities since the beginning of colonization of North America. American Indian and Alaska Native efforts to keep children in their families, communities and tribal nations have created an Indian Child Welfare perspective that is vital to understanding disparities and disproportionalities in child welfare. The history of Indian Child Welfare consists of repeated documentation of institutional bias and institutional racism confirming that United States policies were designed to remove American Indian and Alaska Native children from tribes to undermine indigenous nations and to benefit non-native peoples. From an Indian Child Welfare perspective this means that institutional racism and institutional bias are the primary causes of disparities and disproportionalities in child welfare. The implication for other communities is the need to do their own research and documentation of the participation of their children and families in child welfare.","container-title":"Children and Youth Services Review","DOI":"10.1016/j.childyouth.2012.04.028","ISSN":"0190-7409","issue":"9","journalAbbreviation":"Children and Youth Services Review","language":"en","page":"1667-1674","source":"ScienceDirect","title":"An Indian Child Welfare perspective on disproportionality in child welfare","volume":"34","author":[{"family":"Crofoot","given":"Thomas L."},{"family":"Harris","given":"Marian S."}],"issued":{"date-parts":[["2012",9,1]]}}}],"schema":"https://github.com/citation-style-language/schema/raw/master/csl-citation.json"}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(Crofoot and Harris 2012)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Systemic and institutional biases from state and federal policies continued to enforce these practices. Beginning in the 1960s in Canada and the United States, the child welfare system served as a replacement for boarding schools and was characterized as an </w:t>
      </w:r>
      <w:r w:rsidRPr="00442034">
        <w:rPr>
          <w:rFonts w:ascii="Times New Roman" w:hAnsi="Times New Roman" w:cs="Times New Roman"/>
          <w:sz w:val="24"/>
          <w:szCs w:val="24"/>
        </w:rPr>
        <w:lastRenderedPageBreak/>
        <w:t xml:space="preserve">“agent of colonization” by </w:t>
      </w:r>
      <w:r w:rsidR="00B824D2">
        <w:rPr>
          <w:rFonts w:ascii="Times New Roman" w:hAnsi="Times New Roman" w:cs="Times New Roman"/>
          <w:sz w:val="24"/>
          <w:szCs w:val="24"/>
        </w:rPr>
        <w:t>normalizing</w:t>
      </w:r>
      <w:r w:rsidR="00B824D2" w:rsidRPr="00442034">
        <w:rPr>
          <w:rFonts w:ascii="Times New Roman" w:hAnsi="Times New Roman" w:cs="Times New Roman"/>
          <w:sz w:val="24"/>
          <w:szCs w:val="24"/>
        </w:rPr>
        <w:t xml:space="preserve"> </w:t>
      </w:r>
      <w:r w:rsidRPr="00442034">
        <w:rPr>
          <w:rFonts w:ascii="Times New Roman" w:hAnsi="Times New Roman" w:cs="Times New Roman"/>
          <w:sz w:val="24"/>
          <w:szCs w:val="24"/>
        </w:rPr>
        <w:t xml:space="preserve">the removal of Indigenous children and blaming Indigenous mothers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{"citationID":"P4jpkhos","properties":{"formattedCitation":"(Pon, Gosine, and Phillips 2011)","plainCitation":"(Pon, Gosine, and Phillips 2011)","noteIndex":0},"citationItems":[{"id":669,"uris":["http://zotero.org/users/7501598/items/QGRIGYVA"],"itemData":{"id":669,"type":"article-journal","abstract":"Anti-oppression emerged in the 1990s as a perspective for challenging inequalities and accommodating diversity within the field of social work, including child welfare in Canada. Using the concepts of white supremacy, anti-Black, and anti-Native racism in conjunction with the notion of the exalted national subject (Thobani, 2007), we contend that any understanding of the overrepresentation of Aboriginal and Black children in the care of child welfare services must be located within the wider narrative of white supremacy that has underpinned the formation of the post-war welfare state. This overrepresentation highlights the need to shift from anti-oppression to critical race feminism and anti-colonialism perspectives in order to address more effectively anti-Black and anti-Native racism and the economy of child welfare.","container-title":"International Journal of Child, Youth and Family Studies","DOI":"10.18357/ijcyfs23/420117763","ISSN":"1920-7298","issue":"3/4","language":"en","license":"Copyright (c)","note":"number: 3/4","page":"385-409","source":"journals.uvic.ca","title":"IMMEDIATE RESPONSE: ADDRESSING ANTI-NATIVE AND ANTI-BLACK RACISM IN CHILD WELFARE","title-short":"IMMEDIATE RESPONSE","volume":"2","author":[{"family":"Pon","given":"Gordon"},{"family":"Gosine","given":"Kevin"},{"family":"Phillips","given":"Doret"}],"issued":{"date-parts":[["2011",7,8]]}}}],"schema":"https://github.com/citation-style-language/schema/raw/master/csl-citation.json"}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(Pon, Gosine, and Phillips 2011)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Advocates and scholars have worked to push legislation to eliminate institutional racism for this population, resulting in the Indian Child Welfare Act (ICWA). While the goal of ICWA is to prioritize American Indian children remaining with their tribe or a tribe with similar values, this legislation has not been successful in decreasing the overrepresentation of American Indian children in child welfare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{"citationID":"aK2GoNj2","properties":{"formattedCitation":"(Edwards, Rocha Beardall, and Curtis 2023)","plainCitation":"(Edwards, Rocha Beardall, and Curtis 2023)","noteIndex":0},"citationItems":[{"id":540,"uris":["http://zotero.org/users/7501598/items/WSGX6J53"],"itemData":{"id":540,"type":"article-journal","abstract":"Following a long history of forced assimilation through family separation, American Indian and Alaska Native (AIAN) children continue to be separated from their families by state child welfare agencies at exceptionally high rates. This study identifies those states with high levels of contemporary AIAN family separation through non-tribal state and local foster care systems. We describe how these risks vary over childhood and vary in magnitude relative to white children. We then examine three states with exceptionally high rates of AIAN foster care placement, Minnesota, Alaska, and Montana, in detail. We evaluate how child maltreatment reporting contributes to upstream inequalities in family separation through an examination of sources of maltreatment reports and types of alleged maltreatment across childhood. We conclude by arguing that child welfare scholars should understand contemporary AIAN child welfare system contact in the context of historical and ongoing settler colonialism. In order to reduce AIAN inequalities, child protective services should observe tribal sovereignty by deferring to the authority of tribes in caring for Native children and families and increasing the capacity tribes have to help their communities.","container-title":"Children and Youth Services Review","DOI":"10.1016/j.childyouth.2023.106915","ISSN":"0190-7409","journalAbbreviation":"Children and Youth Services Review","language":"en","page":"106915","source":"ScienceDirect","title":"American Indian and Alaska Native overexposure to foster care and family surveillance in the US: A quantitative overview of contemporary system contact","title-short":"American Indian and Alaska Native overexposure to foster care and family surveillance in the US","volume":"149","author":[{"family":"Edwards","given":"Frank"},{"family":"Rocha Beardall","given":"Theresa"},{"family":"Curtis","given":"Hannah"}],"issued":{"date-parts":[["2023",6,1]]}}}],"schema":"https://github.com/citation-style-language/schema/raw/master/csl-citation.json"}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(Edwards, Rocha Beardall, and Curtis 2023)</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651EB094" w14:textId="6D3A8EEC" w:rsidR="00D45203" w:rsidRPr="00442034" w:rsidRDefault="00D45203" w:rsidP="00D45203">
      <w:pPr>
        <w:rPr>
          <w:rFonts w:ascii="Times New Roman" w:hAnsi="Times New Roman" w:cs="Times New Roman"/>
          <w:i/>
          <w:iCs/>
          <w:sz w:val="24"/>
          <w:szCs w:val="24"/>
        </w:rPr>
      </w:pPr>
      <w:r w:rsidRPr="00442034">
        <w:rPr>
          <w:rFonts w:ascii="Times New Roman" w:hAnsi="Times New Roman" w:cs="Times New Roman"/>
          <w:i/>
          <w:iCs/>
          <w:sz w:val="24"/>
          <w:szCs w:val="24"/>
        </w:rPr>
        <w:t>LGBQ Youth</w:t>
      </w:r>
    </w:p>
    <w:p w14:paraId="656907F0" w14:textId="7F091EB5" w:rsidR="00D45203" w:rsidRPr="00442034" w:rsidRDefault="00D45203" w:rsidP="004E0B1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My target population for this dissertation, LGBQ youth, are understudied among youth in the child welfare system, though like other marginalized youth, they are disproportionately represented within it. Though LGBQ youth account for only 8% of America’s youth grades 9-12, they represent 14% to 19% of youth in the child welfare system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{"citationID":"WPrNgpey","properties":{"formattedCitation":"(Dettlaff and Washburn 2018; Fish et al. 2019)","plainCitation":"(Dettlaff and Washburn 2018; Fish et al. 2019)","noteIndex":0},"citationItems":[{"id":152,"uris":["http://zotero.org/users/7501598/items/ICVZWQ4R"],"itemData":{"id":152,"type":"article-journal","container-title":"Child abuse &amp; neglect","note":"ISBN: 0145-2134\npublisher: Elsevier","page":"183-193","title":"Lesbian, gay, and bisexual (LGB) youth within in welfare: Prevalence, risk and outcomes","volume":"80","author":[{"family":"Dettlaff","given":"Alan J."},{"family":"Washburn","given":"Micki"}],"issued":{"date-parts":[["2018"]]}}},{"id":150,"uris":["http://zotero.org/users/7501598/items/LFVXHAYH"],"itemData":{"id":150,"type":"article-journal","abstract":"Background\nPreliminary evidence suggests that sexual minority (e.g. lesbian, gay, bisexual, and same-sex attracted) youth are overrepresented in child welfare services. Yet, no study to date has been able to test this hypothesis with national data.\nObjective\nUsing a two-study design, we test whether sexual minority youth are overrepresented in child welfare, foster care, and out-of-home placement using nationally representative data from the United States.\nParticipants and setting\nStudy 1 data are from the National Longitudinal Study of Adolescent to Adult Health (n = 14,154; Mean age = 15.4). Study 2 data are from wave three of the National Survey of Child and Adolescent Well-Being II (n = 1309; Mean age = 15.0).\nMethods\nFor Study 1, we use adjusted logistic regression models to test differences in lifetime foster care involvement between sexual minority and heterosexual youth. In Study 2, we calculate a Disproportionality Representation Index (DRI) – a ratio of sample prevalence relative to the general population – to estimate whether sexual minority youth were overrepresented in child welfare and out-of-home care.\nResults\nStudy 1 results indicate that sexual minority youth are nearly 2.5 times as likely as heterosexual youth to experience foster care placement (aOR = 2.43, 95% CI 1.40, 4.21, p = .002). Results from Study 2 show that sexual minority youth were largely overrepresented in child welfare services (DRI = 1.95–2.48) and out-of-home placement (DRI = 3.69–4.68).\nConclusions\nFindings are the first to demonstrate sexual minority youth’s overrepresentation in child welfare, foster care, and out-of-home placement using nationally representative data and emphasizes the need for focused research on sexual minority youth involved in the child welfare system.","container-title":"Child Abuse &amp; Neglect","DOI":"10.1016/j.chiabu.2019.01.005","ISSN":"0145-2134","journalAbbreviation":"Child Abuse &amp; Neglect","page":"203-211","title":"Are sexual minority youth overrepresented in foster care, child welfare, and out-of-home placement? Findings from nationally representative data","volume":"89","author":[{"family":"Fish","given":"Jessica N."},{"family":"Baams","given":"Laura"},{"family":"Wojciak","given":"Armeda Stevenson"},{"family":"Russell","given":"Stephen T."}],"issued":{"date-parts":[["2019",3,1]]}}}],"schema":"https://github.com/citation-style-language/schema/raw/master/csl-citation.json"}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(Dettlaff and Washburn 2018; Fish et al.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Even as these youth are over-represented in the child welfare system and in foster care placements, their experiences are less accounted for in research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{"citationID":"M5xfMd9X","properties":{"formattedCitation":"(Martin, Down, and Erney 2016)","plainCitation":"(Martin, Down, and Erney 2016)","noteIndex":0},"citationItems":[{"id":435,"uris":["http://zotero.org/users/7501598/items/SJ84E644"],"itemData":{"id":435,"type":"document","publisher":"Center for the Study of Social Policy","title":"Out of the Shadows: Supporting LGBTQ youth in child welfare through cross-system collaboration","author":[{"family":"Martin","given":"M"},{"family":"Down","given":"L"},{"family":"Erney","given":"R"}],"issued":{"date-parts":[["2016"]]}}}],"schema":"https://github.com/citation-style-language/schema/raw/master/csl-citation.json"}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(Martin, Down, and Erney 2016)</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Youth who identify as LGBQ often encounter the child welfare system due to family rejection, homelessness (associated with family rejection), and high rates of physical and sexual abuse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{"citationID":"kBvGpKvG","properties":{"formattedCitation":"(Button 2019; Saewyc et al. 2006)","plainCitation":"(Button 2019; Saewyc et al. 2006)","noteIndex":0},"citationItems":[{"id":139,"uris":["http://zotero.org/users/7501598/items/LCT4YMDL",["http://zotero.org/users/7501598/items/LCT4YMDL"]],"itemData":{"id":139,"type":"article-journal","abstract":"This study uses 20 in-depth interviews with lesbian, gay, and bisexual (LGB) young adults aged 18 to 25 years to integrate theoretical constructs from the sociology of sexuality with Agnew’s general strain theory (GST). This approach provides theoretical context to LGB youth’s experiences with victimization and risky behaviors. The use of qualitative data provides a deeper understanding of LGB youth’s experiences with heteronormativity, heterosexism, and homophobia, and how these structural-level processes shape interactional- and individual-level experiences. Integrating sexuality research and GST helps clarify interconnected processes that occur at multiple levels of social life, providing a more complete picture of LGB experiences.","container-title":"Feminist criminology","DOI":"10.1177/1557085118789792","ISSN":"1557-0851","issue":"4","note":"publisher-place: Los Angeles, CA\npublisher: Los Angeles, CA: SAGE Publications","page":"441-465","title":"Contextualizing LGB Youth’s Experiences With Victimization and Risky Behaviors: A Qualitative Approach to General Strain Theory","volume":"14","author":[{"family":"Button","given":"Deeanna M"}],"issued":{"date-parts":[["2019"]]}}},{"id":149,"uris":["http://zotero.org/users/7501598/items/YRQLUBTX"],"itemData":{"id":149,"type":"article-journal","container-title":"Child welfare","issue":"2","note":"ISBN: 0009-4021","title":"Hazards of stigma: the sexual and physical abuse of gay, lesbian, and bisexual adolescents in the United States and Canada.","volume":"85","author":[{"family":"Saewyc","given":"Elizabeth M."},{"family":"Skay","given":"Carol L."},{"family":"Pettingell","given":"Sandra L."},{"family":"Reis","given":"Elizabeth A."},{"family":"Bearinger","given":"Linda"},{"family":"Resnick","given":"Michael"},{"family":"Murphy","given":"Aileen"},{"family":"Combs","given":"Leigh"}],"issued":{"date-parts":[["2006"]]}}}],"schema":"https://github.com/citation-style-language/schema/raw/master/csl-citation.json"} </w:instrText>
      </w:r>
      <w:r w:rsidRPr="00442034">
        <w:rPr>
          <w:rFonts w:ascii="Times New Roman" w:hAnsi="Times New Roman" w:cs="Times New Roman"/>
          <w:sz w:val="24"/>
          <w:szCs w:val="24"/>
        </w:rPr>
        <w:fldChar w:fldCharType="separate"/>
      </w:r>
      <w:r w:rsidR="007D7091" w:rsidRPr="00442034">
        <w:rPr>
          <w:rFonts w:ascii="Times New Roman" w:hAnsi="Times New Roman" w:cs="Times New Roman"/>
          <w:sz w:val="24"/>
          <w:szCs w:val="24"/>
        </w:rPr>
        <w:t>(Button 2019; Saewyc et al. 2006)</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Additionally, LGBQ youth in child welfare are more likely to meet the criteria for depression and substance use disorders compared to their heterosexual peers within the child welfare system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{"citationID":"HkOrT4h6","properties":{"formattedCitation":"(Dettlaff and Washburn 2018)","plainCitation":"(Dettlaff and Washburn 2018)","noteIndex":0},"citationItems":[{"id":152,"uris":["http://zotero.org/users/7501598/items/ICVZWQ4R"],"itemData":{"id":152,"type":"article-journal","container-title":"Child abuse &amp; neglect","note":"ISBN: 0145-2134\npublisher: Elsevier","page":"183-193","title":"Lesbian, gay, and bisexual (LGB) youth within in welfare: Prevalence, risk and outcomes","volume":"80","author":[{"family":"Dettlaff","given":"Alan J."},{"family":"Washburn","given":"Micki"}],"issued":{"date-parts":[["2018"]]}}}],"schema":"https://github.com/citation-style-language/schema/raw/master/csl-citation.json"}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(Dettlaff and Washburn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r w:rsidR="00CA5FA2" w:rsidRPr="00CA5FA2">
        <w:rPr>
          <w:rFonts w:ascii="Times New Roman" w:hAnsi="Times New Roman" w:cs="Times New Roman"/>
          <w:sz w:val="24"/>
          <w:szCs w:val="24"/>
        </w:rPr>
        <w:t xml:space="preserve"> </w:t>
      </w:r>
      <w:r w:rsidR="003D1502">
        <w:rPr>
          <w:rFonts w:ascii="Times New Roman" w:hAnsi="Times New Roman" w:cs="Times New Roman"/>
          <w:sz w:val="24"/>
          <w:szCs w:val="24"/>
        </w:rPr>
        <w:t>Furthermore</w:t>
      </w:r>
      <w:r w:rsidR="00CA5FA2" w:rsidRPr="00442034">
        <w:rPr>
          <w:rFonts w:ascii="Times New Roman" w:hAnsi="Times New Roman" w:cs="Times New Roman"/>
          <w:sz w:val="24"/>
          <w:szCs w:val="24"/>
        </w:rPr>
        <w:t xml:space="preserve">, LGBQ youth are significantly more likely to experience school-based victimization such as bullying, sexual harassment, and verbal assault based on their sexual orientation </w:t>
      </w:r>
      <w:r w:rsidR="00CA5FA2"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{"citationID":"123Qyz9i","properties":{"formattedCitation":"(Coulter et al. 2018; Kosciw et al. 2020)","plainCitation":"(Coulter et al. 2018; Kosciw et al. 2020)","noteIndex":0},"citationItems":[{"id":2045,"uris":["http://zotero.org/users/7501598/items/VWZ8CMY9"],"itemData":{"id":2045,"type":"article-journal","abstract":"Purpose\nWe tested three competing models about whether gender- and sexuality-based harassment at school have nonindependent, additive, or interactive effects on adolescents' electronic cigarette use (i.e., vaping), cigarette smoking, alcohol use, and heavy episodic drinking (HED). We also tested whether harassment mediated substance use disparities between lesbian, gay, bisexual, transgender (LGBT) adolescents and their cisgender heterosexual peers.\nMethods\nWe analyzed cross-sectional data from the 2013–2014 California Healthy Kids Survey, including 316,766 students in grades 7, 9, and 11 from more than 1,500 middle and high schools. We used logistic regression models and interaction terms to estimate associations of past-year gender- and sexuality-based harassment at school on past-month substance use, and the Karlson-Holm-Breen method to test whether harassment mediated LGBT disparities in substance use.\nResults\nVaping, smoking, drinking, HED, and gender- and sexuality-based harassment were higher for transgender adolescents than for cisgender males and females, and for adolescents who were lesbian, gay, or bisexual only versus heterosexual only. Gender- and sexuality-based harassments were independently associated with greater odds of using each substance in every grade. These two types of harassment had positive interactions with each other for vaping in grade 11, smoking in grade 11, and HED in grades 9 and 11. Gender- and sexuality-based harassment significantly mediated many of the LGBT disparities in substance use.\nConclusions\nGender- and sexuality-based harassment at school independently or interactively produced LGBT disparities in substance use. Reducing these types of discrimination in schools will likely mitigate these disparities.","container-title":"Journal of Adolescent Health","DOI":"10.1016/j.jadohealth.2017.10.004","ISSN":"1054-139X","issue":"6","journalAbbreviation":"Journal of Adolescent Health","page":"688-700","source":"ScienceDirect","title":"The Effects of Gender- and Sexuality-Based Harassment on Lesbian, Gay, Bisexual, and Transgender Substance Use Disparities","volume":"62","author":[{"family":"Coulter","given":"Robert W. S."},{"family":"Bersamin","given":"Melina"},{"family":"Russell","given":"Stephen T."},{"family":"Mair","given":"Christina"}],"issued":{"date-parts":[["2018",6,1]]}}},{"id":2044,"uris":["http://zotero.org/users/7501598/items/97S342TX"],"itemData":{"id":2044,"type":"report","abstract":"The Gay, Lesbian and Straight Education Network (GLSEN) National School Climate Survey is our flagship report on the school experiences of LGBTQ youth in schools, including the extent of the challenges that they face at school and the school-based resources that support LGBTQ students' well-being. The survey has consistently indicated that specific school-based supports are related to a safer and more inclusive school climate, including: supportive educators, LGBTQ-inclusive curriculum, inclusive and supportive policies, and supportive student clubs, such as Gay-Straight Alliances or Gender and Sexuality Alliances (GSAs). The full GLSEN 2019 National School Climate Survey report includes information on LGBTQ middle and high school students' experiences, including: (1) Hearing biased language, from both students and educators; (2) Experiences of harassment and assault; (3) Anti-LGBTQ discrimination; (4) Effects of a hostile school climate on educational outcomes and psychological well-being; and (5) The availability and utility of supportive school resources. This report also examines demographic and school differences in students' experiences, and explores LGBTQ students' experiences with GSAs. In addition, this installment of GLSEN's National School Climate Survey also includes an extensive exploration of how school climate has changed since we began conducting this survey, including insights into how racist remarks and harassment, feelings of safety regarding citizenship, gender-based discrimination, and LGBTQ student identities have all changed over time. [For the 2019 executive summary, see ED608535. For \"The 2017 National School Climate Survey: The Experiences of Lesbian, Gay, Bisexual, Transgender, and Queer Youth in Our Nation's Schools\", see ED590243.]","language":"en","note":"ISBN: 9781934092330\ncontainer-title: Gay, Lesbian and Straight Education Network (GLSEN)\nERIC Number: ED608534","publisher":"Gay, Lesbian and Straight Education Network (GLSEN)","source":"ERIC","title":"The 2019 National School Climate Survey: The Experiences of Lesbian, Gay, Bisexual, Transgender, and Queer Youth in Our Nation's Schools. A Report from GLSEN","title-short":"The 2019 National School Climate Survey","URL":"https://eric.ed.gov/?id=ED608534","author":[{"family":"Kosciw","given":"Joseph G."},{"family":"Clark","given":"Caitlin M."},{"family":"Truong","given":"Nhan L."},{"family":"Zongrone","given":"Adrian D."}],"accessed":{"date-parts":[["2024",2,9]]},"issued":{"date-parts":[["2020"]]}}}],"schema":"https://github.com/citation-style-language/schema/raw/master/csl-citation.json"} </w:instrText>
      </w:r>
      <w:r w:rsidR="00CA5FA2" w:rsidRPr="00442034">
        <w:rPr>
          <w:rFonts w:ascii="Times New Roman" w:hAnsi="Times New Roman" w:cs="Times New Roman"/>
          <w:sz w:val="24"/>
          <w:szCs w:val="24"/>
        </w:rPr>
        <w:fldChar w:fldCharType="separate"/>
      </w:r>
      <w:r w:rsidR="00CA5FA2" w:rsidRPr="00442034">
        <w:rPr>
          <w:rFonts w:ascii="Times New Roman" w:hAnsi="Times New Roman" w:cs="Times New Roman"/>
          <w:sz w:val="24"/>
          <w:szCs w:val="24"/>
        </w:rPr>
        <w:t>(Coulter et al. 2018; Kosciw et al. 2020)</w:t>
      </w:r>
      <w:r w:rsidR="00CA5FA2" w:rsidRPr="00442034">
        <w:rPr>
          <w:rFonts w:ascii="Times New Roman" w:hAnsi="Times New Roman" w:cs="Times New Roman"/>
          <w:sz w:val="24"/>
          <w:szCs w:val="24"/>
        </w:rPr>
        <w:fldChar w:fldCharType="end"/>
      </w:r>
      <w:r w:rsidR="00CA5FA2" w:rsidRPr="00442034">
        <w:rPr>
          <w:rFonts w:ascii="Times New Roman" w:hAnsi="Times New Roman" w:cs="Times New Roman"/>
          <w:sz w:val="24"/>
          <w:szCs w:val="24"/>
        </w:rPr>
        <w:t>.</w:t>
      </w:r>
      <w:r w:rsidR="008B1019">
        <w:rPr>
          <w:rFonts w:ascii="Times New Roman" w:hAnsi="Times New Roman" w:cs="Times New Roman"/>
          <w:sz w:val="24"/>
          <w:szCs w:val="24"/>
        </w:rPr>
        <w:t xml:space="preserve"> According to sexual minority stress theory, elaborated on below, LGBQ youth face additional stressors as they face discrimination and </w:t>
      </w:r>
      <w:r w:rsidR="00752E2D">
        <w:rPr>
          <w:rFonts w:ascii="Times New Roman" w:hAnsi="Times New Roman" w:cs="Times New Roman"/>
          <w:sz w:val="24"/>
          <w:szCs w:val="24"/>
        </w:rPr>
        <w:t xml:space="preserve">limited economic </w:t>
      </w:r>
      <w:r w:rsidR="00752E2D">
        <w:rPr>
          <w:rFonts w:ascii="Times New Roman" w:hAnsi="Times New Roman" w:cs="Times New Roman"/>
          <w:sz w:val="24"/>
          <w:szCs w:val="24"/>
        </w:rPr>
        <w:lastRenderedPageBreak/>
        <w:t xml:space="preserve">opportunities that threaten their self-esteem and lead to </w:t>
      </w:r>
      <w:r w:rsidR="009524F5">
        <w:rPr>
          <w:rFonts w:ascii="Times New Roman" w:hAnsi="Times New Roman" w:cs="Times New Roman"/>
          <w:sz w:val="24"/>
          <w:szCs w:val="24"/>
        </w:rPr>
        <w:t xml:space="preserve">worsened </w:t>
      </w:r>
      <w:r w:rsidR="006C4E99">
        <w:rPr>
          <w:rFonts w:ascii="Times New Roman" w:hAnsi="Times New Roman" w:cs="Times New Roman"/>
          <w:sz w:val="24"/>
          <w:szCs w:val="24"/>
        </w:rPr>
        <w:t>physical and emotional well-being (Meyer and Frost, 2013).</w:t>
      </w:r>
    </w:p>
    <w:p w14:paraId="09626ACB" w14:textId="28A3EB12" w:rsidR="00D45203" w:rsidRPr="00442034" w:rsidRDefault="00D45203" w:rsidP="004E0B1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Youth who identify as LGBQ </w:t>
      </w:r>
      <w:r w:rsidR="00416F67">
        <w:rPr>
          <w:rFonts w:ascii="Times New Roman" w:hAnsi="Times New Roman" w:cs="Times New Roman"/>
          <w:sz w:val="24"/>
          <w:szCs w:val="24"/>
        </w:rPr>
        <w:t xml:space="preserve">also </w:t>
      </w:r>
      <w:r w:rsidRPr="00442034">
        <w:rPr>
          <w:rFonts w:ascii="Times New Roman" w:hAnsi="Times New Roman" w:cs="Times New Roman"/>
          <w:sz w:val="24"/>
          <w:szCs w:val="24"/>
        </w:rPr>
        <w:t xml:space="preserve">report high rates of adverse childhood experiences (ACEs) compared to their heterosexual peers. </w:t>
      </w:r>
      <w:r w:rsidR="009D1595" w:rsidRPr="00442034">
        <w:rPr>
          <w:rFonts w:ascii="Times New Roman" w:hAnsi="Times New Roman" w:cs="Times New Roman"/>
          <w:sz w:val="24"/>
          <w:szCs w:val="24"/>
        </w:rPr>
        <w:t>Studies on ACEs reveal a dose-response relationship between childhood trauma exposure and adverse effects on well-being and long</w:t>
      </w:r>
      <w:r w:rsidR="002E2757" w:rsidRPr="00442034">
        <w:rPr>
          <w:rFonts w:ascii="Times New Roman" w:hAnsi="Times New Roman" w:cs="Times New Roman"/>
          <w:sz w:val="24"/>
          <w:szCs w:val="24"/>
        </w:rPr>
        <w:t>-</w:t>
      </w:r>
      <w:r w:rsidR="009D1595" w:rsidRPr="00442034">
        <w:rPr>
          <w:rFonts w:ascii="Times New Roman" w:hAnsi="Times New Roman" w:cs="Times New Roman"/>
          <w:sz w:val="24"/>
          <w:szCs w:val="24"/>
        </w:rPr>
        <w:t>term health outcomes in adulthood, including</w:t>
      </w:r>
      <w:r w:rsidR="002E2757" w:rsidRPr="00442034">
        <w:rPr>
          <w:rFonts w:ascii="Times New Roman" w:hAnsi="Times New Roman" w:cs="Times New Roman"/>
          <w:sz w:val="24"/>
          <w:szCs w:val="24"/>
        </w:rPr>
        <w:t xml:space="preserve"> </w:t>
      </w:r>
      <w:r w:rsidR="004E0273" w:rsidRPr="00442034">
        <w:rPr>
          <w:rFonts w:ascii="Times New Roman" w:hAnsi="Times New Roman" w:cs="Times New Roman"/>
          <w:sz w:val="24"/>
          <w:szCs w:val="24"/>
        </w:rPr>
        <w:t xml:space="preserve">higher prevalence of </w:t>
      </w:r>
      <w:r w:rsidR="009C10AC" w:rsidRPr="00442034">
        <w:rPr>
          <w:rFonts w:ascii="Times New Roman" w:hAnsi="Times New Roman" w:cs="Times New Roman"/>
          <w:sz w:val="24"/>
          <w:szCs w:val="24"/>
        </w:rPr>
        <w:t xml:space="preserve">substance use, </w:t>
      </w:r>
      <w:r w:rsidR="004E0273" w:rsidRPr="00442034">
        <w:rPr>
          <w:rFonts w:ascii="Times New Roman" w:hAnsi="Times New Roman" w:cs="Times New Roman"/>
          <w:sz w:val="24"/>
          <w:szCs w:val="24"/>
        </w:rPr>
        <w:t>heart disease, cancer, obesity, and</w:t>
      </w:r>
      <w:r w:rsidR="009D1595" w:rsidRPr="00442034">
        <w:rPr>
          <w:rFonts w:ascii="Times New Roman" w:hAnsi="Times New Roman" w:cs="Times New Roman"/>
          <w:sz w:val="24"/>
          <w:szCs w:val="24"/>
        </w:rPr>
        <w:t xml:space="preserve"> </w:t>
      </w:r>
      <w:r w:rsidR="002E2757" w:rsidRPr="00442034">
        <w:rPr>
          <w:rFonts w:ascii="Times New Roman" w:hAnsi="Times New Roman" w:cs="Times New Roman"/>
          <w:sz w:val="24"/>
          <w:szCs w:val="24"/>
        </w:rPr>
        <w:t>early mortality</w:t>
      </w:r>
      <w:r w:rsidR="009D1595" w:rsidRPr="00442034">
        <w:rPr>
          <w:rFonts w:ascii="Times New Roman" w:hAnsi="Times New Roman" w:cs="Times New Roman"/>
          <w:sz w:val="24"/>
          <w:szCs w:val="24"/>
        </w:rPr>
        <w:t xml:space="preserve"> </w:t>
      </w:r>
      <w:r w:rsidR="009D1595"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{"citationID":"OjGJcFmI","properties":{"formattedCitation":"(Felitti et al. 1998)","plainCitation":"(Felitti et al. 1998)","noteIndex":0},"citationItems":[{"id":133,"uris":["http://zotero.org/users/7501598/items/X4WHYZPQ"],"itemData":{"id":133,"type":"article-journal","abstract":"&lt;h2&gt;Abstract&lt;/h2&gt;&lt;p&gt;Background: The relationship of health risk behavior and disease in adulthood to the breadth of exposure to childhood emotional, physical, or sexual abuse, and household dysfunction during childhood has not previously been described.&lt;/p&gt;&lt;p&gt;Methods: A questionnaire about adverse childhood experiences was mailed to 13,494 adults who had completed a standardized medical evaluation at a large HMO; 9,508 (70.5%) responded. Seven categories of adverse childhood experiences were studied: psychological, physical, or sexual abuse; violence against mother; or living with household members who were substance abusers, mentally ill or suicidal, or ever imprisoned. The number of categories of these adverse childhood experiences was then compared to measures of adult risk behavior, health status, and disease. Logistic regression was used to adjust for effects of demographic factors on the association between the cumulative number of categories of childhood exposures (range: 0–7) and risk factors for the leading causes of death in adult life.&lt;/p&gt;&lt;p&gt;Results: More than half of respondents reported at least one, and one-fourth reported ≥2 categories of childhood exposures. We found a graded relationship between the number of categories of childhood exposure and each of the adult health risk behaviors and diseases that were studied (&lt;i&gt;P&lt;/i&gt; &lt; .001). Persons who had experienced four or more categories of childhood exposure, compared to those who had experienced none, had 4- to 12-fold increased health risks for alcoholism, drug abuse, depression, and suicide attempt; a 2- to 4-fold increase in smoking, poor self-rated health, ≥50 sexual intercourse partners, and sexually transmitted disease; and a 1.4- to 1.6-fold increase in physical inactivity and severe obesity. The number of categories of adverse childhood exposures showed a graded relationship to the presence of adult diseases including ischemic heart disease, cancer, chronic lung disease, skeletal fractures, and liver disease. The seven categories of adverse childhood experiences were strongly interrelated and persons with multiple categories of childhood exposure were likely to have multiple health risk factors later in life.&lt;/p&gt;&lt;p&gt;Conclusions: We found a strong graded relationship between the breadth of exposure to abuse or household dysfunction during childhood and multiple risk factors for several of the leading causes of death in adults.&lt;/p&gt;","container-title":"American Journal of Preventive Medicine","DOI":"10.1016/S0749-3797(98)00017-8","ISSN":"0749-3797, 1873-2607","issue":"4","journalAbbreviation":"American Journal of Preventive Medicine","language":"English","note":"publisher: Elsevier","page":"245-258","source":"www.ajpmonline.org","title":"Relationship of Childhood Abuse and Household Dysfunction to Many of the Leading Causes of Death in Adults: The Adverse Childhood Experiences (ACE) Study","title-short":"Relationship of Childhood Abuse and Household Dysfunction to Many of the Leading Causes of Death in Adults","volume":"14","author":[{"family":"Felitti","given":"Vincent J."},{"family":"Anda","given":"Robert F."},{"family":"Nordenberg","given":"Dale"},{"family":"Williamson","given":"David F."},{"family":"Spitz","given":"Alison M."},{"family":"Edwards","given":"Valerie"},{"family":"Koss","given":"Mary P."},{"family":"Marks","given":"James S."}],"issued":{"date-parts":[["1998",5,1]]}}}],"schema":"https://github.com/citation-style-language/schema/raw/master/csl-citation.json"} </w:instrText>
      </w:r>
      <w:r w:rsidR="009D1595" w:rsidRPr="00442034">
        <w:rPr>
          <w:rFonts w:ascii="Times New Roman" w:hAnsi="Times New Roman" w:cs="Times New Roman"/>
          <w:sz w:val="24"/>
          <w:szCs w:val="24"/>
        </w:rPr>
        <w:fldChar w:fldCharType="separate"/>
      </w:r>
      <w:r w:rsidR="009D1595" w:rsidRPr="00442034">
        <w:rPr>
          <w:rFonts w:ascii="Times New Roman" w:hAnsi="Times New Roman" w:cs="Times New Roman"/>
          <w:sz w:val="24"/>
          <w:szCs w:val="24"/>
        </w:rPr>
        <w:t>(Felitti et al. 1998)</w:t>
      </w:r>
      <w:r w:rsidR="009D1595" w:rsidRPr="00442034">
        <w:rPr>
          <w:rFonts w:ascii="Times New Roman" w:hAnsi="Times New Roman" w:cs="Times New Roman"/>
          <w:sz w:val="24"/>
          <w:szCs w:val="24"/>
        </w:rPr>
        <w:fldChar w:fldCharType="end"/>
      </w:r>
      <w:r w:rsidR="009D1595" w:rsidRPr="00442034">
        <w:rPr>
          <w:rFonts w:ascii="Times New Roman" w:hAnsi="Times New Roman" w:cs="Times New Roman"/>
          <w:sz w:val="24"/>
          <w:szCs w:val="24"/>
        </w:rPr>
        <w:t xml:space="preserve">. </w:t>
      </w:r>
      <w:r w:rsidRPr="00442034">
        <w:rPr>
          <w:rFonts w:ascii="Times New Roman" w:hAnsi="Times New Roman" w:cs="Times New Roman"/>
          <w:sz w:val="24"/>
          <w:szCs w:val="24"/>
        </w:rPr>
        <w:t xml:space="preserve">In a study examining the prevalence and patterns of ACEs among this population, researchers found that nearly half (43%) of LGBTQ+ youth in their sample experienced four or more ACEs, which is considered a high level of exposure to trauma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{"citationID":"oEnmf880","properties":{"formattedCitation":"(Craig et al. 2020)","plainCitation":"(Craig et al. 2020)","noteIndex":0},"citationItems":[{"id":2037,"uris":["http://zotero.org/users/7501598/items/Z2828PWK"],"itemData":{"id":2037,"type":"article-journal","abstract":"Background\nTrauma, specifically adverse childhood experiences (ACEs), predicts significant health and mental health disparities, yet there is a paucity of research with LGBTQ + youth.\nObjective\nThis study explored ACE prevalence in a large sample of LGBTQ+ youth; examined ACE patterns within and across subgroups; and compared results with the general population.\nParticipants and setting\nParticipant (n = 3,508) ages ranged between 14–18 (x̄ = 16.02) and represented a range of sexual orientations: pansexual (33.9 %), bisexual (26.6 %), and queer (16.2 %), and gender identities: female (39.9 %), non-conforming (38 %), male (14.9 %), and transgender (16.6 %).\nMethods\nAn online cross-sectional survey was conducted with LGBTQ+ youth ages 14–18 that self-identified as LGBTQ+ and resided in the US or Canada. Descriptive statistics generated the prevalence of ACEs, and ANOVAs and post-hoc tests were run for comparisons.\nResults\nParticipants reported multiple ACEs (M = 3.14, SD = 2.44) with emotional neglect (58 %), emotional abuse (56 %), and living with a family member with mental illness (51 %) as the most prevalent. Notably, 43 % of participants experienced 4+ ACEs, considered to be a high level of trauma exposure. Compared to national samples, LGBTQ + youth demonstrated unique patterns of ACEs and were higher in 9 of 10 categories. Significantly high (all p &lt; .001) ACEs were found in pansexual (t = 7.67), transgender and gender non-conforming (t = 5.19), American-Indian (t = 6.42), Latinx (t = 2.83) and rural youth (F = 12.12) while those with highly educated parents (F = 83.30, p &lt; .001), lived with a parent (t = 6.02), and in Canada (t = 6.14) reported fewer ACEs.\nConclusion\nLGBTQ+ youth experience significant childhood trauma with potential impact on their mental health. This study identifies implications for trauma-informed practice and research.","container-title":"Child Abuse &amp; Neglect","DOI":"10.1016/j.chiabu.2020.104623","ISSN":"0145-2134","journalAbbreviation":"Child Abuse &amp; Neglect","page":"104623","source":"ScienceDirect","title":"Frequencies and patterns of adverse childhood events in LGBTQ+ youth","volume":"107","author":[{"family":"Craig","given":"Shelley L."},{"family":"Austin","given":"Ashley"},{"family":"Levenson","given":"Jill"},{"family":"Leung","given":"Vivian W. Y."},{"family":"Eaton","given":"Andrew D."},{"family":"D’Souza","given":"Sandra A."}],"issued":{"date-parts":[["2020",9,1]]}}}],"schema":"https://github.com/citation-style-language/schema/raw/master/csl-citation.json"}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(Craig et al. 2020)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Not only are LGBQ youth more likely to experience ACEs compared to heterosexual youth, but the types of adverse experiences they experience also vary. Compared to their heterosexual peers, LGBQ youth are up to eight times more likely to experience physical, emotional, and sexual abuse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{"citationID":"u7UaOjzJ","properties":{"formattedCitation":"(Baams 2018)","plainCitation":"(Baams 2018)","noteIndex":0},"citationItems":[{"id":2039,"uris":["http://zotero.org/users/7501598/items/RT93K7AN"],"itemData":{"id":2039,"type":"article-journal","abstract":"To identify patterns of childhood adversity in a sample of adolescents and assess disparities in these experiences for lesbian, gay, bisexual, transgender, and questioning adolescents and by level of gender nonconformity.By using the cross-sectional, statewide, anonymous 2016 Minnesota Student Survey, 81 885 students were included in the current study (50.59% male; mean age = 15.51). Participants were enrolled in grades 9 and 11 in a total of 348 schools.Four patterns of childhood adversity were identified with sex-stratified latent class analyses (entropy = 0.833 males; 0.833 females), ranging from relatively low levels of abuse (85.3% males; 80.1% females) to polyvictimization (0.84% males; 1.98% females). A regression analysis showed that compared with heterosexual adolescents, gay, lesbian, bisexual, and questioning adolescents were more likely to be classified into profiles characterized by polyvictimization (odds ratio [OR] 1.81–7.53) and psychological and/or physical abuse (OR 1.29–3.12), than no or low adversity. Similarly, compared with nontransgender adolescents, transgender adolescents were more likely to be classified into profiles characterized by patterns of polyvictimization (OR 1.49–2.91) and psychological and/or physical abuse (OR 1.23–1.96). A higher level of gender nonconformity predicted a higher likelihood of being classified into each adversity profile compared with the no or low adversity profile (OR 1.14–1.45).Sexual minority adolescents and adolescents with high levels of gender nonconformity are vulnerable to experience adversity. The disparities for lesbian, gay, bisexual, transgender, and questioning adolescents and adolescents with high gender nonconformity highlight the variation in patterns of childhood adversity that these youth are at risk of experiencing. The findings reveal the need for further research on the benefits and harm of screening for childhood adversity by physicians and pediatricians.","container-title":"Pediatrics","DOI":"10.1542/peds.2017-3004","ISSN":"0031-4005","issue":"5","journalAbbreviation":"Pediatrics","page":"e20173004","source":"Silverchair","title":"Disparities for LGBTQ and Gender Nonconforming Adolescents","volume":"141","author":[{"family":"Baams","given":"Laura"}],"issued":{"date-parts":[["2018",5,1]]}}}],"schema":"https://github.com/citation-style-language/schema/raw/master/csl-citation.json"}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(Baams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and twice as likely to experience household dysfunction such as parental mental illness or substance use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{"citationID":"7EgzPrrN","properties":{"formattedCitation":"(Andersen and Blosnich 2013)","plainCitation":"(Andersen and Blosnich 2013)","noteIndex":0},"citationItems":[{"id":2042,"uris":["http://zotero.org/users/7501598/items/A4Y4GK87"],"itemData":{"id":2042,"type":"article-journal","abstract":"Background Adverse childhood experiences (e.g., physical, sexual and emotional abuse, neglect, exposure to domestic violence, parental discord, familial mental illness, incarceration and substance abuse) constitute a major public health problem in the United States. The Adverse Childhood Experiences (ACE) scale is a standardized measure that captures multiple developmental risk factors beyond sexual, physical and emotional abuse. Lesbian, gay, and bisexual (i.e., sexual minority) individuals may experience disproportionately higher prevalence of adverse childhood experiences. Purpose To examine, using the ACE scale, prevalence of childhood physical, emotional, and sexual abuse and childhood household dysfunction among sexual minority and heterosexual adults. Methods Analyses were conducted using a probability-based sample of data pooled from three U.S. states’ Behavioral Risk Factor Surveillance System (BRFSS) surveys (Maine, Washington, Wisconsin) that administered the ACE scale and collected information on sexual identity (n = 22,071). Results Compared with heterosexual respondents, gay/lesbian and bisexual individuals experienced increased odds of six of eight and seven of eight adverse childhood experiences, respectively. Sexual minority persons had higher rates of adverse childhood experiences (IRR = 1.66 gay/lesbian; 1.58 bisexual) compared to their heterosexual peers. Conclusions Sexual minority individuals have increased exposure to multiple developmental risk factors beyond physical, sexual and emotional abuse. We recommend the use of the Adverse Childhood Experiences scale in future research examining health disparities among this minority population.","container-title":"PLOS ONE","DOI":"10.1371/journal.pone.0054691","ISSN":"1932-6203","issue":"1","journalAbbreviation":"PLOS ONE","language":"en","note":"publisher: Public Library of Science","page":"e54691","source":"PLoS Journals","title":"Disparities in Adverse Childhood Experiences among Sexual Minority and Heterosexual Adults: Results from a Multi-State Probability-Based Sample","title-short":"Disparities in Adverse Childhood Experiences among Sexual Minority and Heterosexual Adults","volume":"8","author":[{"family":"Andersen","given":"Judith P."},{"family":"Blosnich","given":"John"}],"issued":{"date-parts":[["2013",1,23]]}}}],"schema":"https://github.com/citation-style-language/schema/raw/master/csl-citation.json"}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(Andersen and Blosnich 2013)</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r w:rsidR="004A00E0" w:rsidRPr="00442034">
        <w:rPr>
          <w:rFonts w:ascii="Times New Roman" w:hAnsi="Times New Roman" w:cs="Times New Roman"/>
          <w:sz w:val="24"/>
          <w:szCs w:val="24"/>
        </w:rPr>
        <w:t>These adverse experiences increase the likelihood that LGBQ youth will encounter the child welfare system and placement into foster care.</w:t>
      </w:r>
    </w:p>
    <w:p w14:paraId="1FA790BD" w14:textId="731DA988" w:rsidR="00D45203" w:rsidRPr="00442034" w:rsidRDefault="00D45203" w:rsidP="00D45203">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Once involved with the child welfare system, LGBQ youth experience additional abuse, discrimination, and rejection. These challenges include harassment by caregivers and other foster youth, placement instability, placement into group homes, and placement rejection by foster parents who don’t support their identity or have misconceptions that LGBQ youth are sexual predators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{"citationID":"rSl5HySr","properties":{"formattedCitation":"(Wilson and Kastanis 2015)","plainCitation":"(Wilson and Kastanis 2015)","noteIndex":0},"citationItems":[{"id":242,"uris":["http://zotero.org/users/7501598/items/5IKH5KVD"],"itemData":{"id":242,"type":"article-journal","abstract":"Empirical research is needed to support ongoing efforts to improve services for sexual and gender minority youth in foster care. Further, data on the presence of sexual and gender minority youth within the child welfare system are needed to encourage counties that have not yet begun to engage in any efforts to address the unique needs and barriers to permanency for these youth. The current study reports on the ﬁndings of the Los Angeles Foster Youth Survey (LAFYS) which was designed to assess the proportion of youth placed in the Los Angeles County public child welfare system who are LGBTQ and to examine their experiences in communities, schools, and foster care. Findings indicate that approximately 19% of Los Angeles foster youth are LGBTQ. This proportion of youth is signiﬁcantly higher than estimates of adolescent and young adult sexual and gender minority identiﬁcation rates in the general population. Further, analyses also indicate that sexual and gender minority youth in this study are less satisﬁed with their child welfare system experience, are more likely to experience homelessness, are moved around to more placements, and are experiencing higher levels of emotional distress compared to their nonLGBTQ counterparts.","container-title":"Children and Youth Services Review","DOI":"10.1016/j.childyouth.2015.08.016","ISSN":"01907409","journalAbbreviation":"Children and Youth Services Review","language":"en","page":"11-17","source":"DOI.org (Crossref)","title":"Sexual and gender minority disproportionality and disparities in child welfare: A population-based study","title-short":"Sexual and gender minority disproportionality and disparities in child welfare","volume":"58","author":[{"family":"Wilson","given":"Bianca D.M."},{"family":"Kastanis","given":"Angeliki A."}],"issued":{"date-parts":[["2015",11]]}}}],"schema":"https://github.com/citation-style-language/schema/raw/master/csl-citation.json"}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(Wilson and Kastanis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This is in addition to societal homophobia and the dearth of tailored resources available in the child welfare system to help these youth navigate the system. As a result, LGBQ youth often have multiple caregivers and placement changes that lead </w:t>
      </w:r>
      <w:r w:rsidRPr="00442034">
        <w:rPr>
          <w:rFonts w:ascii="Times New Roman" w:hAnsi="Times New Roman" w:cs="Times New Roman"/>
          <w:sz w:val="24"/>
          <w:szCs w:val="24"/>
        </w:rPr>
        <w:lastRenderedPageBreak/>
        <w:t>to a lower likelihood of achieving permanency compared to heterosexual youth</w:t>
      </w:r>
      <w:r w:rsidR="009168BF">
        <w:rPr>
          <w:rFonts w:ascii="Times New Roman" w:hAnsi="Times New Roman" w:cs="Times New Roman"/>
          <w:sz w:val="24"/>
          <w:szCs w:val="24"/>
        </w:rPr>
        <w:t xml:space="preserve">, </w:t>
      </w:r>
      <w:r w:rsidRPr="00442034">
        <w:rPr>
          <w:rFonts w:ascii="Times New Roman" w:hAnsi="Times New Roman" w:cs="Times New Roman"/>
          <w:sz w:val="24"/>
          <w:szCs w:val="24"/>
        </w:rPr>
        <w:t>often ag</w:t>
      </w:r>
      <w:r w:rsidR="009168BF">
        <w:rPr>
          <w:rFonts w:ascii="Times New Roman" w:hAnsi="Times New Roman" w:cs="Times New Roman"/>
          <w:sz w:val="24"/>
          <w:szCs w:val="24"/>
        </w:rPr>
        <w:t xml:space="preserve">ing </w:t>
      </w:r>
      <w:r w:rsidRPr="00442034">
        <w:rPr>
          <w:rFonts w:ascii="Times New Roman" w:hAnsi="Times New Roman" w:cs="Times New Roman"/>
          <w:sz w:val="24"/>
          <w:szCs w:val="24"/>
        </w:rPr>
        <w:t xml:space="preserve">out of the child welfare system </w:t>
      </w:r>
      <w:r w:rsidR="00012D02">
        <w:rPr>
          <w:rFonts w:ascii="Times New Roman" w:hAnsi="Times New Roman" w:cs="Times New Roman"/>
          <w:sz w:val="24"/>
          <w:szCs w:val="24"/>
        </w:rPr>
        <w:t xml:space="preserve">without a permanent family and </w:t>
      </w:r>
      <w:r w:rsidRPr="00442034">
        <w:rPr>
          <w:rFonts w:ascii="Times New Roman" w:hAnsi="Times New Roman" w:cs="Times New Roman"/>
          <w:sz w:val="24"/>
          <w:szCs w:val="24"/>
        </w:rPr>
        <w:t xml:space="preserve">with few attachments to social supports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{"citationID":"hu5gZB1i","properties":{"formattedCitation":"(Jacobs and Freundlich 2006; Mallon 2011)","plainCitation":"(Jacobs and Freundlich 2006; Mallon 2011)","noteIndex":0},"citationItems":[{"id":377,"uris":["http://zotero.org/users/7501598/items/FQW79IZW",["http://zotero.org/users/7501598/items/FQW79IZW"]],"itemData":{"id":377,"type":"article-journal","abstract":"This article brings together two significant efforts in the child welfare field: achieving permanence for youth in out-of-home care and meeting the needs of lesbian, gay, bisexual, transgender and questioning (LGBTQ) youth. During the past several years, a national movement has taken place to assure all children and youth have a permanent family connection before leaving the child welfare system; however, LGBTQ youth are not routinely included in the permanency discussions. At the same time, efforts in addressing the needs of LGBTQ youth have increased, but permanency is rarely mentioned as a need. This article offers models of permanence and practices to facilitate permanence with LGBTQ youth and their families. It also offers a youth-driven, individualized process, using youth development principles to achieve relational, physical, and legal permanence. Reunification efforts are discussed, including services, supports, and education required for youth to return to their family of origin. For those who cannot return home, other family resources are explored. The article also discusses cultural issues as they affect permanence for LGBTQ youth, and, finally, addresses the need for ongoing support services to sustain and support permanency.","container-title":"Child Welfare","ISSN":"0009-4021","issue":"2","journalAbbreviation":"Child Welfare","language":"eng","note":"PMID: 16846117","page":"299-316","source":"PubMed","title":"Achieving permanency for LGBTQ youth","volume":"85","author":[{"family":"Jacobs","given":"Jill"},{"family":"Freundlich","given":"Madelyn"}],"issued":{"date-parts":[["2006",4]]}}},{"id":389,"uris":["http://zotero.org/users/7501598/items/MQZNW7TN",["http://zotero.org/users/7501598/items/MQZNW7TN"]],"itemData":{"id":389,"type":"article-journal","abstract":"GLBT persons in the United States have been creating families through adoption, foster care, and the establishment of kinship networks for decades. For many GLBT persons, foster parenting or adopting is not a second choice as it may be for heterosexual men and women, but rather their preference from the start. Furthermore, a growing body of research shows that GLBT persons make good parents and raise children who show patterns of positive adjustment comparable to those of heterosexual parents. As a result, it is apparent that GLBT persons represent an untapped resource of potential parents for some of the tens of thousands of children and youths who need permanent and loving families. Although GLBT persons may have been historically discouraged from fostering or adopting, changes in legislation and policy over the past 10 years in some states and nationally reflect a more open attitude to GLBT persons as parents. The home study process, central to the certification and licensing for foster/adoptive parents, is discussed in detail in this article. Implications for competent social work practice with GLBT persons are detailed throughout.","container-title":"Journal of GLBT Family Studies","DOI":"10.1080/1550428X.2011.537229","ISSN":"1550-428X","issue":"1-2","note":"publisher: Routledge\n_eprint: https://doi.org/10.1080/1550428X.2011.537229","page":"9-29","source":"Taylor and Francis+NEJM","title":"The Home Study Assessment Process for Gay, Lesbian, Bisexual, and Transgender Prospective Foster and Adoptive Families","volume":"7","author":[{"family":"Mallon","given":"Gerald P."}],"issued":{"date-parts":[["2011",2,2]]}}}],"schema":"https://github.com/citation-style-language/schema/raw/master/csl-citation.json"}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(Jacobs and Freundlich 2006; Mallon 2011)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Even into adulthood, LGBQ individuals transitioning out of foster care report challenges and deficits in education, employment, </w:t>
      </w:r>
      <w:r w:rsidR="003D1502">
        <w:rPr>
          <w:rFonts w:ascii="Times New Roman" w:hAnsi="Times New Roman" w:cs="Times New Roman"/>
          <w:sz w:val="24"/>
          <w:szCs w:val="24"/>
        </w:rPr>
        <w:t>housing</w:t>
      </w:r>
      <w:r w:rsidRPr="00442034">
        <w:rPr>
          <w:rFonts w:ascii="Times New Roman" w:hAnsi="Times New Roman" w:cs="Times New Roman"/>
          <w:sz w:val="24"/>
          <w:szCs w:val="24"/>
        </w:rPr>
        <w:t xml:space="preserve">, and financial stability due to inadequate social support networks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{"citationID":"1sBIC1Fh","properties":{"formattedCitation":"(Mountz and Capous-Desyllas 2020)","plainCitation":"(Mountz and Capous-Desyllas 2020)","noteIndex":0},"citationItems":[{"id":147,"uris":["http://zotero.org/users/7501598/items/54P6L4GN"],"itemData":{"id":147,"type":"article-journal","abstract":"Lesbian, gay, bisexual, trans, or queer (LGBTQ) identified youth are overrepresented in the foster care system. Many experience discrimination, violence, and oppression related to their sexual orientation or gender identity/expression before, during, and after foster care. There is limited research regarding LGBTQ-identified youth who have aged out of the foster care system. Theoretically informed by intersectionality, queer, and feminist theories, the purpose of this community based qualitative research study was to gain a nuanced understanding of the experiences of 25 diverse LGBTQ former foster youth before, during, and after being in foster care. In-depth qualitative interviews with LGBTQ former foster youth between the ages of 18 and 26 provided participants with the opportunity to narrate their histories and pathways into and out of the foster care system. Consensual Qualitative Research (CQR) was used to analyze interview findings. This article presents one cluster of interview findings pertaining to: (1) LGBTQ former foster youth’s reasons for first entering foster care; (2) the effects of intergenerational mental health and substance abuse; (3) family and caregiver rejection as a barrier to permanency; and (4) experiences of transitioning from foster care.","container-title":"Children and Youth Services Review","DOI":"10.1016/j.childyouth.2019.104622","ISSN":"0190-7409","journalAbbreviation":"Children and Youth Services Review","page":"104622","title":"Exploring the families of origin of LGBTQ former foster youth and their trajectories throughout care","volume":"109","author":[{"family":"Mountz","given":"Sarah"},{"family":"Capous-Desyllas","given":"Moshoula"}],"issued":{"date-parts":[["2020",2,1]]}}}],"schema":"https://github.com/citation-style-language/schema/raw/master/csl-citation.json"}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(Mountz and Capous-Desyllas 2020)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7A6875D4" w14:textId="59FDE152" w:rsidR="00D45203" w:rsidRPr="00442034" w:rsidRDefault="00D45203" w:rsidP="00D45203">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Given these findings, there are several areas of need for effective interventions for LGBQ youth in child welfare. First, according to Prince et al (2022), there is a need for interventions to promote family acceptance for LGBQ youth as a step in reducing foster care placement. Additionally, there is a need to develop a sense of community belonging and understanding for these youth to increase sources of social support. Finally, child welfare policy needs to enact reforms that ensure interactions are affirming in nature and nondiscriminatory in the placements and services that LGBQ youth receive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{"citationID":"X66FBO1g","properties":{"formattedCitation":"(Prince et al. 2022)","plainCitation":"(Prince et al. 2022)","noteIndex":0},"citationItems":[{"id":1625,"uris":["http://zotero.org/users/7501598/items/TDDGS68Z"],"itemData":{"id":1625,"type":"article-journal","abstract":"Sexual and gender minority youth (SGMY) are overrepresented in the foster care system and experience greater foster-care-related stressors than their non-SGM peers. These factors may further elevate their risk of anxiety/depressive, post-traumatic stress disorder, self-harm, and suicidality. The system currently produces unequal and disproportionate adverse mental health outcomes for SGMY and needs points of intervention to disrupt this status quo. This article provides an empirically grounded conceptual–theoretical model of disproportionate representation and burden of psychological comorbidities experienced by SGMY in the foster care system. We apply findings from an integrated literature review of empirical research on factors related to overrepresentation and mental health burden among SGMY to minority stress theory to explicate how and why the foster care system exacerbates mental health comorbidities for SGMY. Searches were conducted in June 2020 in PubMed using MeSH terms and title/abstract terms for foster care, sexual or gender minorities, and psychological comorbidities. Inclusion criteria are studies conducted in the United States, published in English, focused on mental illness, and published between June 2010 and 2020. Developmental/intellectual and eating disorders were excluded. The initial search returned 490 results. After applying inclusion criteria, 229 results remained and are utilized to build our conceptual–theoretical model. We assert that the phenomenon of disproportionate psychological comorbidities for SGMY in foster care is best represented as a complex and dynamic system with multiple feedback loops. Extant empirical and theoretical literature identifies three critical areas for intervention: family acceptance, community belonging and queer chosen/constructed family, and affirming and nondiscriminatory child welfare policy.","container-title":"Trauma, Violence, &amp; Abuse","DOI":"10.1177/15248380211013129","ISSN":"1524-8380","issue":"5","language":"en","note":"publisher: SAGE Publications","page":"1643-1657","source":"SAGE Journals","title":"Sexual and Gender Minority Youth in Foster Care: An Evidence-Based Theoretical Conceptual Model of Disproportionality and Psychological Comorbidities","title-short":"Sexual and Gender Minority Youth in Foster Care","volume":"23","author":[{"family":"Prince","given":"Dana M."},{"family":"Ray-Novak","given":"Meagan"},{"family":"Gillani","given":"Braveheart"},{"family":"Peterson","given":"Emily"}],"issued":{"date-parts":[["2022",12,1]]}}}],"schema":"https://github.com/citation-style-language/schema/raw/master/csl-citation.json"}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(Prince et al. 2022)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The research proposed in this dissertation aims to recognize the different needs for and supports available to these youth to improve their well-being.</w:t>
      </w:r>
    </w:p>
    <w:p w14:paraId="22CDFD2F" w14:textId="6B6A3567" w:rsidR="00D45203" w:rsidRPr="00442034" w:rsidRDefault="00D45203" w:rsidP="00D45203">
      <w:pPr>
        <w:rPr>
          <w:rFonts w:ascii="Times New Roman" w:hAnsi="Times New Roman" w:cs="Times New Roman"/>
          <w:sz w:val="24"/>
          <w:szCs w:val="24"/>
        </w:rPr>
      </w:pPr>
      <w:r w:rsidRPr="00442034">
        <w:rPr>
          <w:rFonts w:ascii="Times New Roman" w:hAnsi="Times New Roman" w:cs="Times New Roman"/>
          <w:sz w:val="24"/>
          <w:szCs w:val="24"/>
        </w:rPr>
        <w:t>CHILD WELL-BEING AND SOURCES OF SUPPORT</w:t>
      </w:r>
    </w:p>
    <w:p w14:paraId="0A14FD40" w14:textId="5C1CA8E9" w:rsidR="00D45203" w:rsidRPr="00442034" w:rsidRDefault="00D45203" w:rsidP="00D45203">
      <w:pPr>
        <w:rPr>
          <w:rFonts w:ascii="Times New Roman" w:hAnsi="Times New Roman" w:cs="Times New Roman"/>
          <w:i/>
          <w:iCs/>
          <w:sz w:val="24"/>
          <w:szCs w:val="24"/>
        </w:rPr>
      </w:pPr>
      <w:r w:rsidRPr="00442034">
        <w:rPr>
          <w:rFonts w:ascii="Times New Roman" w:hAnsi="Times New Roman" w:cs="Times New Roman"/>
          <w:i/>
          <w:sz w:val="24"/>
          <w:szCs w:val="24"/>
        </w:rPr>
        <w:t>Child Well-Being</w:t>
      </w:r>
    </w:p>
    <w:p w14:paraId="62444508" w14:textId="62917003" w:rsidR="00D45203" w:rsidRPr="00442034" w:rsidRDefault="00D45203" w:rsidP="00D45203">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Youth involved in the child welfare system face numerous challenges, including strained relationships with their parents and caregivers due to adverse experiences such as abuse, neglect, and familial instability including poverty and parental substance use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{"citationID":"ZYkikEmt","properties":{"formattedCitation":"(Dickerson, Milojevich, and Quas 2019)","plainCitation":"(Dickerson, Milojevich, and Quas 2019)","noteIndex":0},"citationItems":[{"id":537,"uris":["http://zotero.org/users/7501598/items/65X6I76I"],"itemData":{"id":537,"type":"article-journal","abstract":"According to an evolutionary perspective, early environmental unpredictability induces expectations in youth that their future is uncertain and increases their likelihood of engaging in opportunistic, impulsive, and aggressive behaviors. Although considerable evidence supports the links between environmental unpredictability and such behaviors, less is known about how youth growing up in volatile environments actually perceive their lives and how these perceptions relate to their behavior. In this study, two samples of 10–17 year-olds, one with a history of maltreatment and removal from home (n = 90; 52% female; 67% Hispanic-American) and one without (n = 80; 54% female; 69% Hispanic-American), reported on their perceptions of unpredictability and social functioning. Maltreated youth endorsed greater perceptions of unpredictability than non-maltreated youth. For both groups, greater perceptions of unpredictability were associated with increased aggression and conduct problems and decreased prosociality. Findings advance understanding of a developmental pathway contributing to opportunistic and risky social behavior in youth.","container-title":"Journal of Youth and Adolescence","DOI":"10.1007/s10964-019-01052-9","ISSN":"1573-6601","issue":"9","journalAbbreviation":"J Youth Adolescence","language":"en","page":"1754-1764","source":"Springer Link","title":"Early Environmental Unpredictability: Implications for Youth’s Perceptions and Social Functioning","title-short":"Early Environmental Unpredictability","volume":"48","author":[{"family":"Dickerson","given":"Kelli L."},{"family":"Milojevich","given":"Helen M."},{"family":"Quas","given":"Jodi A."}],"issued":{"date-parts":[["2019",9,1]]}}}],"schema":"https://github.com/citation-style-language/schema/raw/master/csl-citation.json"}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(Dickerson, Milojevich, and Quas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As a result of these experiences, youth involved in the child welfare system are at higher risk for poor mental and physical health and negative developmental, emotional, and behavioral problems than youth in the general population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{"citationID":"649wAP72","properties":{"formattedCitation":"(Casanueva et al. 2012)","plainCitation":"(Casanueva et al. 2012)","noteIndex":0},"citationItems":[{"id":236,"uris":["http://zotero.org/users/7501598/items/LH8KU4BW"],"itemData":{"id":236,"type":"article-journal","abstract":"The second National Survey of Child and Adolescent Well-Being (NSCAW II) is a longitudinal study intended to answer a range of fundamental questions about the functioning, service needs, and service use of children who come in contact with the child welfare system. The study includes 5,873 children ranging in age from birth to 17.5 years old at the time of sampling. The current analysis summarizes the well-being of these children at NSCAW II baseline. Overall, children reported for maltreatment in 2008–2009 were at higher risk for poor health and negative developmental, behavioral/emotional, and cognitive outcomes than children in the general population. Overall, 32.2 % of children from birth to 5 years old had a score indicating developmental problems. Among school-aged children and adolescents, 10.3 % showed some risk of cognitive problems or low academic achievement and 41.6 % exhibited risk of emotional or behavioral problems. Child well-being outcomes differed by age and gender but not by substantiation status or type of maltreatment. Proactively providing needed services at an early age to all children in need in the CWS is urged, because early services may well preempt these children’s need for extensive future developmental, mental health, and educational services.","container-title":"Child Indicators Research","DOI":"10.1007/s12187-012-9148-4","ISSN":"1874-8988","issue":"3","journalAbbreviation":"Child Ind Res","language":"en","page":"547-565","source":"Springer Link","title":"Indicators of Well-Being Among Children in the United States Child Welfare System","volume":"5","author":[{"family":"Casanueva","given":"Cecilia"},{"family":"Dolan","given":"Melissa"},{"family":"Smith","given":"Keith"},{"family":"Ringeisen","given":"Heather"},{"family":"Dowd","given":"Kathryn"}],"issued":{"date-parts":[["2012",9,1]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(Casanueva et al. 2012)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Compared to youth in the general population, child welfare-involved youth have higher rates of loneliness and </w:t>
      </w:r>
      <w:r w:rsidRPr="00442034">
        <w:rPr>
          <w:rFonts w:ascii="Times New Roman" w:hAnsi="Times New Roman" w:cs="Times New Roman"/>
          <w:sz w:val="24"/>
          <w:szCs w:val="24"/>
        </w:rPr>
        <w:lastRenderedPageBreak/>
        <w:t xml:space="preserve">depression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{"citationID":"0OsluMjD","properties":{"formattedCitation":"(Lalayants and Prince 2015)","plainCitation":"(Lalayants and Prince 2015)","noteIndex":0},"citationItems":[{"id":62,"uris":["http://zotero.org/users/7501598/items/QJC85NK6"],"itemData":{"id":62,"type":"article-journal","abstract":"While there are well-documented connections between loneliness and depression, it is unclear whether loneliness leads to depression, whether depression leads to loneliness, or whether the relationship is bidirectional. This study therefore sought to disentangle the relationship: (1) between loneliness and depression, and (2) between loneliness and factors that are potentially related to depression, including school disengagement (e.g., depression-related lack of motivation or energy for schoolwork) and low future expectations (e.g., depression-related lack of hope or optimism). Child welfare-involved adolescents were studied, for in relation to other adolescents, they can have higher rates of both loneliness and depression, and females were studied because they can be lonelier and more depressed than males. Utilizing the National Survey of Child and Adolescent Well-Being II (N = 5,872 in Wave II: 2009–2011), adjusted logistic regression was used to predict depression in Wave II from loneliness in Wave I (18 months earlier), and then to predict loneliness in Wave II from depression in Wave I. Next, the same bidirectional analysis was repeated for loneliness and school disengagement, and for loneliness and low future expectations. Findings suggest that there are statistically significant and fairly substantial bidirectional relationships between loneliness and depression, between loneliness and school disengagement, and between loneliness and low future expectations. Interventions for child welfare-involved adolescent females are needed that screen for and treat depression (or depression-related factors of school disengagement or low future expectations) in order to help prevent loneliness, and that screen for and treat loneliness in order to prevent depression or depression-related factors.","container-title":"Child and Adolescent Social Work Journal","DOI":"10.1007/s10560-014-0344-6","ISSN":"1573-2797","issue":"2","journalAbbreviation":"Child Adolesc Soc Work J","language":"en","page":"167-176","source":"Springer Link","title":"Loneliness and Depression or Depression-Related Factors Among Child Welfare-Involved Adolescent Females","volume":"32","author":[{"family":"Lalayants","given":"Marina"},{"family":"Prince","given":"Jonathan D."}],"issued":{"date-parts":[["2015",4,1]]}}}],"schema":"https://github.com/citation-style-language/schema/raw/master/csl-citation.json"}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(Lalayants and Prince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substance use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{"citationID":"VyR6pO8Q","properties":{"formattedCitation":"(Pittenger et al. 2018)","plainCitation":"(Pittenger et al. 2018)","noteIndex":0},"citationItems":[{"id":103,"uris":["http://zotero.org/users/7501598/items/DMXUY8GL"],"itemData":{"id":103,"type":"article-journal","abstract":"Youth involved in child welfare services (CWS) are at elevated risk for substance use. CWS involvement may provide an opportunity for intervention to prevent subsequent use; however, little is known about mitigating substance use risk in this population. Using data from the second National Survey of Child and Adolescent Well-Being (NSCAW II), the present study examined individual, psychological, and contextual risk factors (e.g., prior substance use, depression, posttraumatic stress, maltreatment experiences) and protective factors (e.g., caregiver monitoring, peer relationships) following CWS involvement (Wave 1) in relation to alcohol, marijuana, and cocaine use 36 months later (Wave 3). The nationally-representative sample of CWS-involved youth was restricted to individuals who were aged 11 years or older at Wave 1 and had at least a partial interview at Wave 3 (N = 763). Three logistic regression models showed that Wave 1 substance use increased the likelihood of marijuana and cocaine use at Wave 3 [marijuana OR = 1.41 (1.19–1.68); cocaine OR = 1.26 (1.07–1.50)] but not binge alcohol use [OR = 1.44 (0.95–2.19)]. Other risk and protective factors had limited predictive value for Wave 3 substance use. The present findings suggest that initiating substance use prior to or at the time of CWS involvement is a critical risk factor for later substance use. Substance use screening and referral to treatment is imperative for CWS-involved youth.","container-title":"Children and Youth Services Review","DOI":"10.1016/j.childyouth.2018.09.037","ISSN":"0190-7409","journalAbbreviation":"Children and Youth Services Review","language":"en","page":"88-94","source":"ScienceDirect","title":"Risk and protective factors for alcohol, marijuana, and cocaine use among child welfare-involved youth","volume":"95","author":[{"family":"Pittenger","given":"Samantha L."},{"family":"Moore","given":"Kelly E."},{"family":"Dworkin","given":"Emily R."},{"family":"Crusto","given":"Cindy A."},{"family":"Connell","given":"Christian M."}],"issued":{"date-parts":[["2018",12,1]]}}}],"schema":"https://github.com/citation-style-language/schema/raw/master/csl-citation.json"}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(Pittenger et al.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aggressive behavior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{"citationID":"2S2AVSsY","properties":{"formattedCitation":"(Yoon, Tebben, and Lee 2017)","plainCitation":"(Yoon, Tebben, and Lee 2017)","noteIndex":0},"citationItems":[{"id":212,"uris":["http://zotero.org/users/7501598/items/J38AEXZL"],"itemData":{"id":212,"type":"article-journal","abstract":"The current study examined four types of maltreatment (i.e., physical, sexual, emotional, neglect) and ecological protective factors (i.e., child prosocial skills, parental warmth, parental well-being, neighborhood safety) as predictors of aggressive behavior among young children in the child welfare system. Further, this study explored interaction eﬀects between maltreatment types and protective factors on early childhood aggression. Ordinary least squares (OLS) hierarchical multiple regression was performed on a sample of 499 children (ages 4–5) drawn from the National Survey of Child and Adolescent Well-Being (NSCAW-I). Physical abuse was associated with higher levels of early childhood aggression whereas living in a neighborhood with fewer problems was associated with lower levels of aggression. Novel interaction eﬀects also emerged; the protective eﬀects of child prosocial skills and parental well-being on aggression were signiﬁcantly stronger in emotionally abused children than in children who were not emotionally abused. The ﬁndings suggest that interventions that address both the type of maltreatment and ecological protective factors may be eﬀective in reducing early childhood aggression among at-risk children.","container-title":"Children and Youth Services Review","DOI":"10.1016/j.childyouth.2017.07.030","ISSN":"01907409","journalAbbreviation":"Children and Youth Services Review","language":"en","page":"72-80","source":"DOI.org (Crossref)","title":"Early childhood aggression among child welfare involved children: The interplay between the type of child maltreatment and ecological protective factors","title-short":"Early childhood aggression among child welfare involved children","volume":"81","author":[{"family":"Yoon","given":"Susan"},{"family":"Tebben","given":"Erin"},{"family":"Lee","given":"Guijin"}],"issued":{"date-parts":[["2017",10]]}}}],"schema":"https://github.com/citation-style-language/schema/raw/master/csl-citation.json"}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(Yoon, Tebben, and Lee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and homelessness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{"citationID":"sm8jPIu7","properties":{"formattedCitation":"(Fowler et al. 2017)","plainCitation":"(Fowler et al. 2017)","noteIndex":0},"citationItems":[{"id":1835,"uris":["http://zotero.org/users/7501598/items/E63JC5VK"],"itemData":{"id":1835,"type":"article-journal","abstract":"The present study represents the first large-scale, prospective comparison to test whether aging out of foster care contributes to homelessness risk in emerging adulthood. A nationally representative sample of adolescents investigated by the child welfare system in 2008 to 2009 from the second cohort of the National Survey of Child and Adolescent Well-being Study (NSCAW II) reported experiences of housing problems at 18- and 36-month follow-ups. Latent class analyses identified subtypes of housing problems, including literal homelessness, housing instability, and stable housing. Regressions predicted subgroup membership based on aging out experiences, receipt of foster care services, and youth and county characteristics. Youth who reunified after out-of-home placement in adolescence exhibited the lowest probability of literal homelessness, while youth who aged out experienced similar rates of literal homelessness as youth investigated by child welfare but never placed out of home. No differences existed between groups on prevalence of unstable housing. Exposure to independent living services and extended foster care did not relate with homelessness prevention. Findings emphasize the developmental importance of families in promoting housing stability in the transition to adulthood, while questioning child welfare current focus on preparing foster youth to live.","container-title":"Children and Youth Services Review","DOI":"10.1016/j.childyouth.2017.03.017","ISSN":"0190-7409","journalAbbreviation":"Children and Youth Services Review","page":"27-33","source":"ScienceDirect","title":"Homelessness and aging out of foster care: A national comparison of child welfare-involved adolescents","title-short":"Homelessness and aging out of foster care","volume":"77","author":[{"family":"Fowler","given":"Patrick J."},{"family":"Marcal","given":"Katherine E."},{"family":"Zhang","given":"Jinjin"},{"family":"Day","given":"Orin"},{"family":"Landsverk","given":"John"}],"issued":{"date-parts":[["2017",6,1]]}}}],"schema":"https://github.com/citation-style-language/schema/raw/master/csl-citation.json"}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(Fowler et al.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These experiences impact their stability and sense of support, with profound implications for their overall well-being. For youth placed in foster care, risk factors that increase negative behaviors and reduce child well-being include placement instability, and placement into group homes or residential settings. Placement stability consistently shows a positive association with psychosocial well-being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{"citationID":"ueDrbtvF","properties":{"formattedCitation":"(Barber and Delfabbro 2003; O\\uc0\\u8217{}Neill et al. 2012)","plainCitation":"(Barber and Delfabbro 2003; O’Neill et al. 2012)","noteIndex":0},"citationItems":[{"id":383,"uris":["http://zotero.org/users/7501598/items/YR6SHHJJ",["http://zotero.org/users/7501598/items/YR6SHHJJ"]],"itemData":{"id":383,"type":"article-journal","abstract":"This article assesses one of the key assumptions underlying the philosophy of permanency planning—that placement instability adversely affects the psychosocial development of children in foster care. Method: The placement movements and psychosocial well-being of foster care were assessed over an 8-month period. Results: Most of the children who remained in care throughout the period could be assigned to one of three groups: 1 (stable throughout), 2 (unstable throughout), 3 (initially unstable, then stable) Results for these 120 children were generally consistent with a linear trend toward improvement in Groups 1 and 2, whereas Group 3 children displayed improvement only while their placements were unstable. Conclusions: Although results for Group 3 permit more than one interpretation, results for Group 2 suggest that placement instability up to at least the 8-month point is not necessarily damaging to the child.","container-title":"Research on Social Work Practice","DOI":"10.1177/1049731503013004001","ISSN":"1049-7315","issue":"4","journalAbbreviation":"Research on Social Work Practice","language":"en","note":"publisher: SAGE Publications Inc","page":"415-431","source":"SAGE Journals","title":"Placement Stability and the Psychosocial Well-Being of Children in Foster Care","volume":"13","author":[{"family":"Barber","given":"James G."},{"family":"Delfabbro","given":"Paul H."}],"issued":{"date-parts":[["2003",7,1]]}}},{"id":2069,"uris":["http://zotero.org/users/7501598/items/U68LFXSP"],"itemData":{"id":2069,"type":"article-journal","abstract":"Placement stability is important for children to find permanent families, and for social, emotional and educational development of children. This study used the National Survey of Child and Adolescent Well-being (NSCAW, long term foster care general sample) data set to examine foster child and caregiver characteristics, and the caregiver–child relationship as a predictor of placement stability. Logistic regression was performed to predict the odds of achieving placement stability. Due to differences across development, the sample was divided into two groups: early childhood and middle childhood. As expected, in the early childhood group more caregiver than child characteristics affected placement stability. In the middle childhood group it was expected that more child than caregiver characteristics would predict placement stability, however, only child problem behaviors and caregiver experience and age affected placement stability. It was noteworthy that marital status, caregiver education, and income did not. Implications for social work research and practice are discussed.","container-title":"Children and Youth Services Review","DOI":"10.1016/j.childyouth.2012.02.018","ISSN":"0190-7409","issue":"7","journalAbbreviation":"Children and Youth Services Review","page":"1251-1258","source":"ScienceDirect","title":"Placement stability in the context of child development","volume":"34","author":[{"family":"O'Neill","given":"Marissa"},{"family":"Risley-Curtiss","given":"Christina"},{"family":"Ayón","given":"Cecilia"},{"family":"Williams","given":"Lela Rankin"}],"issued":{"date-parts":[["2012",7,1]]}}}],"schema":"https://github.com/citation-style-language/schema/raw/master/csl-citation.json"} </w:instrText>
      </w:r>
      <w:r w:rsidRPr="00442034">
        <w:rPr>
          <w:rFonts w:ascii="Times New Roman" w:hAnsi="Times New Roman" w:cs="Times New Roman"/>
          <w:sz w:val="24"/>
          <w:szCs w:val="24"/>
        </w:rPr>
        <w:fldChar w:fldCharType="separate"/>
      </w:r>
      <w:r w:rsidR="00B77002" w:rsidRPr="00442034">
        <w:rPr>
          <w:rFonts w:ascii="Times New Roman" w:hAnsi="Times New Roman" w:cs="Times New Roman"/>
          <w:kern w:val="0"/>
          <w:sz w:val="24"/>
          <w:szCs w:val="24"/>
        </w:rPr>
        <w:t>(Barber and Delfabbro 2003; O’Neill et al. 2012)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Given that LGBQ youth are already at higher risk for these negative outcomes, child welfare involvement may compound these issues to reduce well-being even further. Therefore, it is crucial to examine characteristics that can improve well-being for these youth.</w:t>
      </w:r>
    </w:p>
    <w:p w14:paraId="12E108A9" w14:textId="0D5F82A1" w:rsidR="00D45203" w:rsidRPr="00442034" w:rsidRDefault="00D45203" w:rsidP="00D45203">
      <w:pPr>
        <w:rPr>
          <w:rFonts w:ascii="Times New Roman" w:hAnsi="Times New Roman" w:cs="Times New Roman"/>
          <w:i/>
          <w:iCs/>
          <w:sz w:val="24"/>
          <w:szCs w:val="24"/>
        </w:rPr>
      </w:pPr>
      <w:r w:rsidRPr="00442034">
        <w:rPr>
          <w:rFonts w:ascii="Times New Roman" w:hAnsi="Times New Roman" w:cs="Times New Roman"/>
          <w:i/>
          <w:iCs/>
          <w:sz w:val="24"/>
          <w:szCs w:val="24"/>
        </w:rPr>
        <w:t>Social Support</w:t>
      </w:r>
    </w:p>
    <w:p w14:paraId="1CD30C90" w14:textId="05F8B81E" w:rsidR="001D546D" w:rsidRPr="00442034" w:rsidRDefault="00D45203" w:rsidP="00D45203">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Social support has been thought of as one way to improve child well-being outcomes, particularly for youth in child welfare. Social support is defined as the perceived or received assistance that an individual has from other people in their lives, and is a well-established protective factor for mental illness and life satisfaction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{"citationID":"jhpsBe9p","properties":{"formattedCitation":"(Evans et al. 2022)","plainCitation":"(Evans et al. 2022)","noteIndex":0},"citationItems":[{"id":691,"uris":["http://zotero.org/users/7501598/items/ADLRA5YG"],"itemData":{"id":691,"type":"article-journal","abstract":"Young adults with a history of out-of-home care report poorer mental health and life satisfaction compared to non-care-experienced peers. Social support is a known protective factor for mental health. There is limited evidence, however, on the relationship between sources (e.g., family members) and types (e.g., information) of social support and mental health symptoms and life satisfaction in this population. Reporting cross-sectional survey data from 215 young adults aged 18–22 years with a history of out-of-home care, the current study conducted descriptive, bivariate, and linear regression analysis to examine the different sources and types of support young adults receive and their relation to mental health symptoms and life satisfaction. Participants had high levels of support from family members, friends, and other adults. Most participants had informational support, but less than half had consistent material support. Regression analyses demonstrated that having enough informational and material support were associated with fewer mental health symptoms. Having family support and material support were associated with greater life satisfaction. Further longitudinal research is needed to understand the trajectory between social supports and mental health functioning and life satisfaction.","container-title":"Children","DOI":"10.3390/children9040520","ISSN":"2227-9067","issue":"4","language":"en","license":"http://creativecommons.org/licenses/by/3.0/","note":"number: 4\npublisher: Multidisciplinary Digital Publishing Institute","page":"520","source":"www.mdpi.com","title":"Sources and Types of Social Supports and Their Association with Mental Health Symptoms and Life Satisfaction among Young Adults with a History of Out-of-Home Care","volume":"9","author":[{"family":"Evans","given":"Rhiannon"},{"family":"Katz","given":"Colleen C."},{"family":"Fulginiti","given":"Anthony"},{"family":"Taussig","given":"Heather"}],"issued":{"date-parts":[["2022",4]]}}}],"schema":"https://github.com/citation-style-language/schema/raw/master/csl-citation.json"}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(Evans et al. 2022)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Research has shown that social support is associated with positive health and well-being outcomes, particularly for youth who have been reported for child maltreatment or who are in foster care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{"citationID":"iHeg4AIc","properties":{"formattedCitation":"(Collins, Spencer, and Ward 2010)","plainCitation":"(Collins, Spencer, and Ward 2010)","noteIndex":0},"citationItems":[{"id":434,"uris":["http://zotero.org/users/7501598/items/8FTLU6W7"],"itemData":{"id":434,"type":"article-journal","abstract":"Social support is needed by everyone, but particularly by vulnerable populations at times of transition. This study utilizes data collected from 96 former foster youth regarding supports they received during the transition from care. The report addresses three questions: (1) What types of supportive relationships did the sample report? (2) What are the characteristics of supportive relationships? (3) What is the relationship of social support to outcomes? Based on the analysis, the authors draw implications for intervention and research.","container-title":"Child welfare","journalAbbreviation":"Child welfare","page":"125-43","source":"ResearchGate","title":"Supporting Youth in the Transition from Foster Care: Formal and Informal Connections","title-short":"Supporting Youth in the Transition from Foster Care","volume":"89","author":[{"family":"Collins","given":"Mary"},{"family":"Spencer","given":"Renée"},{"family":"Ward","given":"Rolanda"}],"issued":{"date-parts":[["2010",1,1]]}}}],"schema":"https://github.com/citation-style-language/schema/raw/master/csl-citation.json"}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(Collins, Spencer, and Ward 2010)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Social support from parents and peers has been found to promote well-being among youth who have experienced maltreatment, but may also be challenging to maintain as they face placement instability, difficulties with adjustment and behavior, and potential attachment issues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{"citationID":"PyIFmlZS","properties":{"formattedCitation":"(Corwin et al. 2020; Hershberger and Jones 2018)","plainCitation":"(Corwin et al. 2020; Hershberger and Jones 2018)","noteIndex":0},"citationItems":[{"id":1986,"uris":["http://zotero.org/users/7501598/items/NR2C7LM5"],"itemData":{"id":1986,"type":"article-journal","abstract":"Social support networks can provide instrumental and emotional support that buffer against child maltreatment. Family Group Conferencing, in part, aims to develop support networks in the interest of child safety. This study uses a randomised controlled trial to examine the impact of Family Group Conferencing on caseworkers’ perceptions of families’ levels of social support. The analytical sample included 287 families with a substantiated report of child abuse or neglect assigned to receive in-home services in two counties. Ordinal logistic regression analyses demonstrated family meeting participation and, Family Group Conference participation in particular, jurisdiction, and the number of children on the case record significantly predicted perceived improvement in social support. This study provides evidence that family meetings may increase levels of social support and provide a protective factor for child safety.","container-title":"The British Journal of Social Work","DOI":"10.1093/bjsw/bcz036","ISSN":"0045-3102","issue":"1","journalAbbreviation":"The British Journal of Social Work","page":"137-156","source":"Silverchair","title":"Increasing Social Support for Child Welfare-Involved Families Through Family Group Conferencing","volume":"50","author":[{"family":"Corwin","given":"Tyler W"},{"family":"Maher","given":"Erin J"},{"family":"Merkel-Holguin","given":"Lisa"},{"family":"Allan","given":"Heather"},{"family":"Hollinshead","given":"Dana M"},{"family":"Fluke","given":"John D"}],"issued":{"date-parts":[["2020",1,1]]}}},{"id":535,"uris":["http://zotero.org/users/7501598/items/QUHCVWEX"],"itemData":{"id":535,"type":"article-journal","abstract":"Adolescents who have experienced maltreatment face many developmental and educational challenges compared with their non-maltreated peers. Research demonstrates the importance of social relationships in academic achievement among non-maltreated youth, and suggests the influence of parent and peer relationships for academic success in maltreated youth as well, including the potential benefit of school engagement. Data for the study comes from the first wave of the second National Survey of Child and Adolescent Well-Being (NSCAW II), a nationally-representative sample of children involved in Child Protective Services in the United States. The study finds that maltreated adolescents' perceptions of relationship quality with both parents and peers significantly predict academic achievement. In addition, results demonstrate a mediating effect of school engagement between parent and peer variables and some academic achievement outcomes.","container-title":"Journal of Adolescence","DOI":"10.1016/j.adolescence.2018.06.003","ISSN":"0140-1971","journalAbbreviation":"Journal of Adolescence","language":"en","page":"98-108","source":"ScienceDirect","title":"The influence of social relationships and school engagement on academic achievement in maltreated adolescents","volume":"67","author":[{"family":"Hershberger","given":"Mary A."},{"family":"Jones","given":"Martin H."}],"issued":{"date-parts":[["2018",8,1]]}}}],"schema":"https://github.com/citation-style-language/schema/raw/master/csl-citation.json"}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(Corwin et al. 2020; Hershberger and Jones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Social support from parents or caregivers has been found to increase child well-being by reducing internalizing behaviors and increasing placement stability and life satisfaction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{"citationID":"regbrm5o","properties":{"formattedCitation":"(Cusumano 2022; Evans et al. 2022)","plainCitation":"(Cusumano 2022; Evans et al. 2022)","noteIndex":0},"citationItems":[{"id":539,"uris":["http://zotero.org/users/7501598/items/GWULPRGF"],"itemData":{"id":539,"type":"thesis","abstract":"High rates of youth in the child welfare system (CWS) experience placement instability, or frequent moves between household, institution, or placement (Fisher et al., 2013). Placement instability has been shown to predict subsequent internalizing symptoms regardless of the maltreatment type, severity, or frequency experienced by the child in foster care (McGuire et al., 2018). Frequent moves between biological parents, foster or kinship caregivers, or group homes may detrimentally affect youth’s social support networks, which are known to serve as a protective factor for maltreated children and adolescents (Folger &amp; Wright, 2013). The current study aims to examine longitudinally whether perceived support from current primary caregivers and/or peers mediate the link between number of home placement moves and internalizing symptoms in youth referred to the child welfare system. It was hypothesized that there would be significant indirect effects from placement instability to internalizing symptoms via both perceived current caregiver support and perceived peer support. Secondary data analysis was performed using data collected from 1,333 adolescents as part of the National Survey of Child and Adolescent Wellbeing (NSCAW). Perceived current caregiver support was assessed using project-developed questions and perceived peer support was measured using an adapted version of the Children’s Loneliness and Dissatisfaction Scale (Asher et al., 1984). A structural equation model (SEM) was utilized to test whether there were indirect effects of placement instability (reported by the child’s caseworker) between baseline and Wave 3 (18 months after initial CWS investigation) and internalizing symptoms at Wave 4 (36 months after initial CWS investigation) via perceived current caregiver support and perceived peer support (both measured at Wave 3). Results showed a significant indirect effect from placement instability to internalizing symptoms via current caregiver support only. Training and intervention implications for biological parents and substitute caregivers involved with the child welfare system are discussed.","event-place":"United States -- New York","genre":"M.A.","language":"English","license":"Database copyright ProQuest LLC; ProQuest does not claim copyright in the individual underlying works.","note":"ISBN: 9798209886693","number-of-pages":"45","publisher":"St. John's University (New York)","publisher-place":"United States -- New York","source":"ProQuest","title":"Placement Instability, Perceived Social Support, and Internalizing Symptoms in Youth in the Child Welfare System","URL":"https://www.proquest.com/docview/2640384196/abstract/8538F62C82FA46E9PQ/1","author":[{"family":"Cusumano","given":"Michelle"}],"accessed":{"date-parts":[["2023",4,16]]},"issued":{"date-parts":[["2022"]]}}},{"id":691,"uris":["http://zotero.org/users/7501598/items/ADLRA5YG"],"itemData":{"id":691,"type":"article-journal","abstract":"Young adults with a history of out-of-home care report poorer mental health and life satisfaction compared to non-care-experienced peers. Social support is a known protective factor for mental health. There is limited evidence, however, on the relationship between sources (e.g., family members) and types (e.g., information) of social support and mental health symptoms and life satisfaction in this population. Reporting cross-sectional survey data from 215 young adults aged 18–22 years with a history of out-of-home care, the current study conducted descriptive, bivariate, and linear regression analysis to examine the different sources and types of support young adults receive and their relation to mental health symptoms and life satisfaction. Participants had high levels of support from family members, friends, and other adults. Most participants had informational support, but less than half had consistent material support. Regression analyses demonstrated that having enough informational and material support were associated with fewer mental health symptoms. Having family support and material support were associated with greater life satisfaction. Further longitudinal research is needed to understand the trajectory between social supports and mental health functioning and life satisfaction.","container-title":"Children","DOI":"10.3390/children9040520","ISSN":"2227-9067","issue":"4","language":"en","license":"http://creativecommons.org/licenses/by/3.0/","note":"number: 4\npublisher: Multidisciplinary Digital Publishing Institute","page":"520","source":"www.mdpi.com","title":"Sources and Types of Social Supports and Their Association with Mental Health Symptoms and Life Satisfaction among Young Adults with a History of Out-of-Home Care","volume":"9","author":[{"family":"Evans","given":"Rhiannon"},{"family":"Katz","given":"Colleen C."},{"family":"Fulginiti","given":"Anthony"},{"family":"Taussig","given":"Heather"}],"issued":{"date-parts":[["2022",4]]}}}],"schema":"https://github.com/citation-style-language/schema/raw/master/csl-citation.json"}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(Cusumano 2022; Evans et al. 2022)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Studies that have looked at peer support among maltreated youth or youth in the child welfare system </w:t>
      </w:r>
      <w:r w:rsidRPr="00442034">
        <w:rPr>
          <w:rFonts w:ascii="Times New Roman" w:hAnsi="Times New Roman" w:cs="Times New Roman"/>
          <w:sz w:val="24"/>
          <w:szCs w:val="24"/>
        </w:rPr>
        <w:lastRenderedPageBreak/>
        <w:t xml:space="preserve">have found that positive peer relations can improve school experiences and improve educational outcomes, reduce problem behaviors, and reduce loneliness and depression,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{"citationID":"MEfsPdYm","properties":{"formattedCitation":"(Cassidy and Asher 1992; Merritt 2015)","plainCitation":"(Cassidy and Asher 1992; Merritt 2015)","dontUpdate":true,"noteIndex":0},"citationItems":[{"id":532,"uris":["http://zotero.org/users/7501598/items/2SP8CLIS"],"itemData":{"id":532,"type":"article-journal","abstract":"440 kindergarten and 1st-grade children responded to a questionnaire about feelings of loneliness and social dissatisfaction in school. A subset of 46 children were individually interviewed to assess their understanding of loneliness. To assess sociometric status and behavior, peers were asked to respond to various sociometric measures and behavioral assessment items. Teachers also provided behavioral information about children using a newly developed instrument. Results indicate that nearly all the children understood loneliness, that loneliness was reliably assessed in these Ss, and that poorly accepted children were more lonely than other children. In addition, children who reported the most loneliness were found to differ from others on several behavioral dimensions. (PsycINFO Database Record (c) 2016 APA, all rights reserved)","container-title":"Child Development","DOI":"10.2307/1131484","ISSN":"1467-8624","note":"publisher-place: United Kingdom\npublisher: Blackwell Publishing","page":"350-365","source":"APA PsycNet","title":"Loneliness and peer relations in young children","volume":"63","author":[{"family":"Cassidy","given":"Jude"},{"family":"Asher","given":"Steven R."}],"issued":{"date-parts":[["1992"]]}}},{"id":553,"uris":["http://zotero.org/users/7501598/items/W3VHWYKK"],"itemData":{"id":553,"type":"paper-conference","event-title":"Society for Social Work and Research 19th Annual Conference: The Social and Behavioral Importance of Increased Longevity","language":"English","publisher":"Society for Social Work and Research","source":"sswr.confex.com","title":"The Impact of Positive Peer Relationships, School Experiences, and Future Outlook on Behavior Scores for Abused and Neglected Youth","URL":"https://sswr.confex.com/sswr/2015/webprogram/Paper24337.html","author":[{"family":"Merritt","given":"Darcey H."}],"accessed":{"date-parts":[["2021",8,18]]},"issued":{"date-parts":[["2015",1,15]]}}}],"schema":"https://github.com/citation-style-language/schema/raw/master/csl-citation.json"}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(Cassidy and Asher 1992; Merritt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Even support from professional staff within the child welfare system, such as the youth’s caseworker or service providers, may be instrumental in improving well-being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{"citationID":"9EeMlJAn","properties":{"formattedCitation":"(Paul 2020a)","plainCitation":"(Paul 2020a)","noteIndex":0},"citationItems":[{"id":298,"uris":["http://zotero.org/users/7501598/items/XK5KQFSI"],"itemData":{"id":298,"type":"article-journal","abstract":"Former foster youth are often uniquely disenfranchised, as many suffer from a lack of support (e.g., financial, informational, emotional) resulting from their involvement in foster care. Although all youth who exit foster care as adults may have difficulty accessing the support they need to become healthy-functioning adults, these issues may be exacerbated for LGBTQ (lesbian, gay, bisexual, transgender, queer and questioning) youth who face added health and wellbeing challenges associated with their sexual and/or gender minority statuses. This study used face-to-face, qualitative interviewing and eco-mapping techniques to explore the experiences and perspectives of 21 LGBTQ foster youth, ages 17–21, to identify and describe who provides them with support, the kinds of support they have received, and whether there were any specific support-related needs and challenges they may be experiencing during this critical time. Results revealed that although many LGBTQ foster youth included a variety of child welfare professionals (e.g., caseworkers, foster parents) and other service providers (e.g., teachers, therapists) within their support networks, the majority experienced several unmet needs and challenges—most of which were associated with their sexual and/or gender minority statuses. Multiple themes were identified, including a lack of attention to safety and protection from risks of harm and access to essential care and services (e.g., LGBTQ affirming health care, safe and supportive housing, LGBTQ community-based resources, guidance related to LGBTQ identity development). Results provide initial understanding and awareness of some of the support-related issues and challenges faced by these youth, and help to build a framework of knowledge from which to develop further hypotheses regarding how LGBTQ youth are faring in our nation’s child welfare system. Implications for child welfare policy, practice, and research are discussed.","container-title":"Children and Youth Services Review","DOI":"10.1016/j.childyouth.2020.105481","ISSN":"01907409","journalAbbreviation":"Children and Youth Services Review","language":"en","page":"105481","source":"DOI.org (Crossref)","title":"Exploring support for LGBTQ youth transitioning from foster care to emerging adulthood","volume":"119","author":[{"family":"Paul","given":"June C."}],"issued":{"date-parts":[["2020",12]]}}}],"schema":"https://github.com/citation-style-language/schema/raw/master/csl-citation.json"}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sz w:val="24"/>
          <w:szCs w:val="24"/>
        </w:rPr>
        <w:t>(Paul 2020a)</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p>
    <w:p w14:paraId="232ECF97" w14:textId="2393E49C" w:rsidR="00D45203" w:rsidRPr="00442034" w:rsidRDefault="00D45203" w:rsidP="00D45203">
      <w:pPr>
        <w:rPr>
          <w:rFonts w:ascii="Times New Roman" w:hAnsi="Times New Roman" w:cs="Times New Roman"/>
          <w:sz w:val="24"/>
          <w:szCs w:val="24"/>
        </w:rPr>
      </w:pPr>
      <w:r w:rsidRPr="00442034">
        <w:rPr>
          <w:rFonts w:ascii="Times New Roman" w:hAnsi="Times New Roman" w:cs="Times New Roman"/>
          <w:sz w:val="24"/>
          <w:szCs w:val="24"/>
        </w:rPr>
        <w:t>THEORETICAL FRAMEWORK</w:t>
      </w:r>
    </w:p>
    <w:p w14:paraId="55DE9917" w14:textId="7F1EDDDE" w:rsidR="00D45203" w:rsidRPr="00442034" w:rsidRDefault="00D45203" w:rsidP="004E0B1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To understand the well-being of LGBQ youth in child welfare, I utilize several theories throughout the empirical chapters of this dissertation. A primary framework that explains how interconnected relationships with family, peers, and institutions shape life outcomes for LGBQ youth in child welfare is the social-ecological theory of development. This theory suggests that factors at the individual, family, and community level shape adolescent development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{"citationID":"5UiAD7rm","properties":{"formattedCitation":"(Bronfenbrenner 1979; Brumley, Jaffee, and Brumley 2017)","plainCitation":"(Bronfenbrenner 1979; Brumley, Jaffee, and Brumley 2017)","noteIndex":0},"citationItems":[{"id":183,"uris":["http://zotero.org/users/7501598/items/XETY7K64"],"itemData":{"id":183,"type":"book","abstract":"Here is a book that challenges the very basis of the way psychologists have studied child development. According to Urie Bronfenbrenner, one of the world’s foremost developmental psychologists, laboratory studies of the child’s behavior sacrifice too much in order to gain experimental control and analytic rigor. Laboratory observations, he argues, too often lead to “the science of the strange behavior of children in strange situations with strange adults for the briefest possible periods of time.” To understand the way children actually develop, Bronfenbrenner believes that it will be necessary to observe their behavior in natural settings, while they are interacting with familiar adults over prolonged periods of time. This book offers an important blueprint for constructing such a new and ecologically valid psychology of development. The blueprint includes a complete conceptual framework for analysing the layers of the environment that have a formative influence on the child. This framework is applied to a variety of settings in which children commonly develop, ranging from the pediatric ward to daycare, school, and various family configurations. The result is a rich set of hypotheses about the developmental consequences of various types of environments. Where current research bears on these hypotheses, Bronfenbrenner marshals the data to show how an ecological theory can be tested. Where no relevant data exist, he suggests new and interesting ecological experiments that might be undertaken to resolve current unknowns. Bronfenbrenner’s groundbreaking program for reform in developmental psychology is certain to be controversial. His argument flies in the face of standard psychological procedures and challenges psychology to become more relevant to the ways in which children actually develop. It is a challenge psychology can ill-afford to ignore.","ISBN":"978-0-674-22457-5","language":"en","note":"Google-Books-ID: OCmbzWka6xUC","number-of-pages":"352","publisher":"Harvard University Press","source":"Google Books","title":"The Ecology of Human Development: Experiments by Nature and Design","title-short":"The Ecology of Human Development","author":[{"family":"Bronfenbrenner","given":"Urie"}],"issued":{"date-parts":[["1979"]]}}},{"id":60,"uris":["http://zotero.org/users/7501598/items/UPKPIBIY"],"itemData":{"id":60,"type":"article-journal","abstract":"Adverse childhood experiences and pessimistic future expectations about college attendance or mortality are established risk factors for problem behaviors among youth. Data were from the National Longitudinal Study of Adolescent to Adult Health (N = 14,800; 49 % female). Participants were 11–17-years-old at baseline and 24–32-years-old at outcome. Adolescents’ college expectations and fatalistic expectations mediated the effect of childhood adversity on violent behavior in young adulthood. Neither college nor fatalistic expectations were significant mediators in models predicting substance use and nonviolent antisocial behaviors. Although observed mediational effect sizes were small, they survived models that included multiple controls designed to rule-out alternative explanations. Intervening on adversity-exposed adolescents’ college and fatalistic expectations may reduce risk for violent behaviors.","container-title":"Journal of Youth and Adolescence","DOI":"10.1007/s10964-016-0597-9","ISSN":"1573-6601","issue":"1","journalAbbreviation":"J Youth Adolescence","language":"en","page":"1-14","source":"Springer Link","title":"Pathways from Childhood Adversity to Problem Behaviors in Young Adulthood: The Mediating Role of Adolescents’ Future Expectations","title-short":"Pathways from Childhood Adversity to Problem Behaviors in Young Adulthood","volume":"46","author":[{"family":"Brumley","given":"Lauren D."},{"family":"Jaffee","given":"Sara R."},{"family":"Brumley","given":"Benjamin P."}],"issued":{"date-parts":[["2017",1,1]]}}}],"schema":"https://github.com/citation-style-language/schema/raw/master/csl-citation.json"}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(Bronfenbrenner 1979; Brumley, Jaffee, and Brumley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Parenting practices, neighborhood influences, available community resources, </w:t>
      </w:r>
      <w:r w:rsidR="00C34347">
        <w:rPr>
          <w:rFonts w:ascii="Times New Roman" w:hAnsi="Times New Roman" w:cs="Times New Roman"/>
          <w:sz w:val="24"/>
          <w:szCs w:val="24"/>
        </w:rPr>
        <w:t>in addition to the</w:t>
      </w:r>
      <w:r w:rsidRPr="00442034">
        <w:rPr>
          <w:rFonts w:ascii="Times New Roman" w:hAnsi="Times New Roman" w:cs="Times New Roman"/>
          <w:sz w:val="24"/>
          <w:szCs w:val="24"/>
        </w:rPr>
        <w:t xml:space="preserve"> child welfare </w:t>
      </w:r>
      <w:r w:rsidR="00C34347">
        <w:rPr>
          <w:rFonts w:ascii="Times New Roman" w:hAnsi="Times New Roman" w:cs="Times New Roman"/>
          <w:sz w:val="24"/>
          <w:szCs w:val="24"/>
        </w:rPr>
        <w:t>system’s policies and practices</w:t>
      </w:r>
      <w:r w:rsidR="00C34347" w:rsidRPr="00442034">
        <w:rPr>
          <w:rFonts w:ascii="Times New Roman" w:hAnsi="Times New Roman" w:cs="Times New Roman"/>
          <w:sz w:val="24"/>
          <w:szCs w:val="24"/>
        </w:rPr>
        <w:t xml:space="preserve"> </w:t>
      </w:r>
      <w:r w:rsidRPr="00442034">
        <w:rPr>
          <w:rFonts w:ascii="Times New Roman" w:hAnsi="Times New Roman" w:cs="Times New Roman"/>
          <w:sz w:val="24"/>
          <w:szCs w:val="24"/>
        </w:rPr>
        <w:t xml:space="preserve">have implications on child well-being from this ecological perspective. Youth who experience maltreatment, harsh parenting, and low parental bonding often have more pessimistic views of their futures and engage in risky behaviors such as substance use and early pregnancy, continuing a cycle of harsh parenting, maltreatment, and lower well-being outcomes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{"citationID":"GwcWwXMX","properties":{"formattedCitation":"(Saupe et al. 2020)","plainCitation":"(Saupe et al. 2020)","noteIndex":0},"citationItems":[{"id":65,"uris":["http://zotero.org/users/7501598/items/N2U6GWI5"],"itemData":{"id":65,"type":"article-journal","abstract":"Background\nRecent research has identified high levels of child maltreatment and harsh parenting in post-war societies which have had detrimental effects on children's development. Future expectations are an important aspect of adolescents' development particularly in the challenging contexts of post-war societies where social instabilities and violence are prevalent. To date, however, the link between child maltreatment and adolescent future expectations remains understudied.\nObjective\nBy applying a socio-ecological perspective, this study aimed to investigate risk (internalizing symptoms) and protective factors (community integration) linking experiences of harsh parenting with adolescents' future expectations.\nParticipants and Setting\nData was collected from N = 199 northern Ugandan adolescents (40.2 % females, Mage = 14.56 years) with structured interviews.\nMethods\nSerial mediation analyses were calculated with child maltreatment as the predictor, future expectations as the outcome, and internalizing symptoms as well as community integration as mediating variables.\nResults\nResults of the mediation model (R2 = .22, F(5193) = 10.54, p &lt;  .001, total effect (b = -0.28, p &lt; .005) revealed a direct effect of child maltreatment on future expectations (effect size: -.20, 95 % bootstrap CI = -0.40, -.01) as well as an indirect effect of child maltreatment via internalizing symptoms and community integration on future expectations (effect size of -.07 (95 % bootstrap CI = -0.14, -0.01).\nConclusion\nChild maltreatment was found to be linked to negative future expectations among Northern Ugandan adolescents, and both internalizing symptoms as well as community integration played mediating roles in the associations. Interventions should take psychopathology and community factors into account.","container-title":"Child Abuse &amp; Neglect","DOI":"10.1016/j.chiabu.2020.104511","ISSN":"0145-2134","journalAbbreviation":"Child Abuse &amp; Neglect","language":"en","page":"104511","source":"ScienceDirect","title":"Understanding the link between child maltreatment and adolescent future expectations in Northern Uganda: A serial mediation analysis","title-short":"Understanding the link between child maltreatment and adolescent future expectations in Northern Uganda","volume":"106","author":[{"family":"Saupe","given":"Laura B."},{"family":"Gößmann","given":"Katharina"},{"family":"Catani","given":"Claudia"},{"family":"Neuner","given":"Frank"}],"issued":{"date-parts":[["2020",8,1]]}}}],"schema":"https://github.com/citation-style-language/schema/raw/master/csl-citation.json"}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(Saupe et al. 2020)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Neighborhood disadvantage and lack of economic resources contribute to a higher risk of child maltreatment and continued system involvement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{"citationID":"5L770Bp3","properties":{"formattedCitation":"(Coulton et al. 1995; Fong 2017)","plainCitation":"(Coulton et al. 1995; Fong 2017)","noteIndex":0},"citationItems":[{"id":1836,"uris":["http://zotero.org/users/7501598/items/UEUY48J4"],"itemData":{"id":1836,"type":"article-journal","abstract":"Using census and administrative agency data for 177 urban census tracts, variation in rates of officially reported child maltreatment is found to be related to structural determinants of community social organization: economic and family resources, residential instability, household and age structure, and geographic proximity of neighborhoods to concentrated poverty. Furthermore, child maltreatment rates are found to be intercorrelated with other indicators of the breakdown of community social control and organization. These other indicators are similarly affected by the structural dimensions of neighborhood context. Children who live in neighborhoods that are characterized by poverty, excessive numbers of children per adult resident, population turnover, and the concentration of female-headed families are at highest risk of maltreatment. This analysis suggests that child maltreatment is but one manifestation of community social organization and that its occurrence is related to some of the same underlying macro-social conditions that foster other urban problems.","container-title":"Child Development","DOI":"10.2307/1131646","ISSN":"0009-3920","issue":"5","note":"publisher: [Wiley, Society for Research in Child Development]","page":"1262-1276","source":"JSTOR","title":"Community Level Factors and Child Maltreatment Rates","volume":"66","author":[{"family":"Coulton","given":"Claudia J."},{"family":"Korbin","given":"Jill E."},{"family":"Su","given":"Marilyn"},{"family":"Chow","given":"Julian"}],"issued":{"date-parts":[["1995"]]}}},{"id":186,"uris":["http://zotero.org/users/7501598/items/T3777VAI"],"itemData":{"id":186,"type":"article-journal","abstract":"Research documents a link between poverty and child welfare involvement, but the nature of this relationship is unclear. By providing in-depth accounts of situations leading to child welfare involvement, parents' perspectives can enrich our understanding of how poverty matters for child welfare involvement. Based on in-depth interviews with 40 poor parents previously investigated for child maltreatment, I discuss contexts of poverty that provided pathways to child welfare involvement. Poverty created environments of desperation and disadvantage, combined with reliance on supports that reported parents to child welfare agencies. The vast majority of incidents parents described implicated in their involvement parental adversities related to poverty; embeddedness in disadvantaged networks or volatile personal relationships; and/or involvement in, or need for, social services. These ﬁndings suggest a research approach that interrogates this complexity and maltreatment prevention policies that broadly strengthen supports for families and communities.","container-title":"Children and Youth Services Review","DOI":"10.1016/j.childyouth.2016.10.011","ISSN":"01907409","journalAbbreviation":"Children and Youth Services Review","language":"en","page":"5-13","source":"DOI.org (Crossref)","title":"Child welfare involvement and contexts of poverty: The role of parental adversities, social networks, and social services","title-short":"Child welfare involvement and contexts of poverty","volume":"72","author":[{"family":"Fong","given":"Kelley"}],"issued":{"date-parts":[["2017",1]]}}}],"schema":"https://github.com/citation-style-language/schema/raw/master/csl-citation.json"}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(Coulton et al. 1995; Fong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Child welfare policies and practices shape the trajectories for youth in care through established timelines for reunification and decision-making processes for referring youth and families to services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{"citationID":"nd1eYWVl","properties":{"formattedCitation":"(Raghavan and Alexandrova 2015; Thompson et al. 2021)","plainCitation":"(Raghavan and Alexandrova 2015; Thompson et al. 2021)","noteIndex":0},"citationItems":[{"id":1904,"uris":["http://zotero.org/groups/4698059/items/RHP6KL8I"],"itemData":{"id":1904,"type":"article-journal","abstract":"Assuring the well-being of children has emerged over the past several decades as an important goal for health and social policymakers. Although the concept of child well-being has been operationalized and measured in different ways by different child-serving entities, there are few unifying theories that could undergird and inform these various conceptual and measurement efforts. In this paper, we attempt to construct a theory of child well-being. We first review the social and policy history of the concept of child well-being, and briefly review its measurement based on these conceptualizations. We then examine three types of theories of well-being extant in philosophy—mental states theories, desire-based theories and needs-based theories—and investigate their suitability to serve as prototypes of a theory of child well-being. We develop a constraint that child well-being is important in and of itself and not merely as a way station to future adult well-being (we call this a non-reduction constraint). Using this constraint, we identify the limitations of each of the three sets of theories to serve as a basis for a theory of child well-being. Based on a developmentalist approach, we then articulate a theory of child well-being that contains two conditions. First, a child’s stage-appropriate capacities that equip her for successful adulthood, given her environment; and, second, an engagement with the world in child-appropriate ways. We conclude by reviewing seven implications of this theoretical approach for the measurement of child well-being.","container-title":"Social Indicators Research","DOI":"10.1007/s11205-014-0665-z","ISSN":"1573-0921","issue":"3","journalAbbreviation":"Soc Indic Res","language":"en","page":"887-902","source":"Springer Link","title":"Toward a Theory of Child Well-Being","volume":"121","author":[{"family":"Raghavan","given":"Ramesh"},{"family":"Alexandrova","given":"Anna"}],"issued":{"date-parts":[["2015",4,1]]}}},{"id":76,"uris":["http://zotero.org/users/7501598/items/6E8Q4DYW"],"itemData":{"id":76,"type":"article-journal","abstract":"Youth involved in the child welfare system and specifically those in foster care disproportionately experience concerns related to their psychosocial needs compared to youth who are not in care; consequently, assessment of those needs and referral to appropriate services is critical. The purpose of this study was to examine whether needs (i.e. behaviors) of youth involved in the child welfare and foster care systems and organizational culture and climate are associated with caseworkers’ recommendations for services, considering youth and caregiver report, as well as other individual and family factors. The sample came from Wave 2 of the National Survey of Child and Adolescent Well-Being II and weighted data were used for the analyses (n = 462). Logistic regression was used to analyze factors, such as youth behavior and organizational culture and climate, that predict a referral for various youth services for youth who experienced maltreatment and remained in home or were placed in foster care. Results indicate that youth behavior was most likely to predict referral services, as well as other youth characteristics, but organizational culture and climate of agencies did not influence referral recommendations. These findings highlight the need for more research examining the decision-making and assessment practices of child welfare caseworkers and use of appropriate assessments for youth involved in the child welfare system.","container-title":"Child and Adolescent Social Work Journal","DOI":"10.1007/s10560-021-00760-1","ISSN":"1573-2797","journalAbbreviation":"Child Adolesc Soc Work J","language":"en","source":"Springer Link","title":"Factors Predicting Service Referrals for Youth in the Child Welfare System","URL":"https://doi.org/10.1007/s10560-021-00760-1","author":[{"family":"Thompson","given":"Heather M."},{"family":"Colvin","given":"Marianna L."},{"family":"Cooley","given":"Morgan E."},{"family":"Womack","given":"Bethany"}],"accessed":{"date-parts":[["2022",5,24]]},"issued":{"date-parts":[["2021",4,27]]}}}],"schema":"https://github.com/citation-style-language/schema/raw/master/csl-citation.json"}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(Raghavan and Alexandrova 2015; Thompson et al. 2021)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The social-ecological theory of development also </w:t>
      </w:r>
      <w:r w:rsidR="00B35D81">
        <w:rPr>
          <w:rFonts w:ascii="Times New Roman" w:hAnsi="Times New Roman" w:cs="Times New Roman"/>
          <w:sz w:val="24"/>
          <w:szCs w:val="24"/>
        </w:rPr>
        <w:t>helps explain the influence of social support</w:t>
      </w:r>
      <w:r w:rsidR="00E41827">
        <w:rPr>
          <w:rFonts w:ascii="Times New Roman" w:hAnsi="Times New Roman" w:cs="Times New Roman"/>
          <w:sz w:val="24"/>
          <w:szCs w:val="24"/>
        </w:rPr>
        <w:t>.</w:t>
      </w:r>
      <w:r w:rsidRPr="00442034">
        <w:rPr>
          <w:rFonts w:ascii="Times New Roman" w:hAnsi="Times New Roman" w:cs="Times New Roman"/>
          <w:sz w:val="24"/>
          <w:szCs w:val="24"/>
        </w:rPr>
        <w:t xml:space="preserve"> Adolescents in child welfare often report three main sources of social support </w:t>
      </w:r>
      <w:r w:rsidR="00B35D81">
        <w:rPr>
          <w:rFonts w:ascii="Times New Roman" w:hAnsi="Times New Roman" w:cs="Times New Roman"/>
          <w:sz w:val="24"/>
          <w:szCs w:val="24"/>
        </w:rPr>
        <w:t>aligned</w:t>
      </w:r>
      <w:r w:rsidRPr="00442034">
        <w:rPr>
          <w:rFonts w:ascii="Times New Roman" w:hAnsi="Times New Roman" w:cs="Times New Roman"/>
          <w:sz w:val="24"/>
          <w:szCs w:val="24"/>
        </w:rPr>
        <w:t xml:space="preserve"> with the social-ecological model: </w:t>
      </w:r>
      <w:r w:rsidRPr="00442034">
        <w:rPr>
          <w:rFonts w:ascii="Times New Roman" w:hAnsi="Times New Roman" w:cs="Times New Roman"/>
          <w:sz w:val="24"/>
          <w:szCs w:val="24"/>
        </w:rPr>
        <w:lastRenderedPageBreak/>
        <w:t xml:space="preserve">parents, peers, and professional staff including caseworkers and foster parents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{"citationID":"7qAEsSK9","properties":{"formattedCitation":"(Courtney et al. 2014)","plainCitation":"(Courtney et al. 2014)","noteIndex":0},"citationItems":[{"id":530,"uris":["http://zotero.org/users/7501598/items/QFRT8U86"],"itemData":{"id":530,"type":"report","abstract":"This report presents findings from the \"Baseline Youth Survey of the California\" Youth Transitions to Adulthood Study (CalYOUTH). CalYOUTH is an evaluation of the impact of the California Fostering Connections to Success Act on outcomes during the transition to adulthood for foster youth. CalYOUTH includes collection and analysis of information from three sources: (1) transition-age youth; (2) child welfare workers; and (3) government program data. The study, directed by Dr. Mark Courtney at the University of Chicago and conducted in collaboration with the California Department of Social Services and County Welfare Directors Association of California (CWDA), is being carried out over a 5-year period from 2012-17. The study addresses three research questions: (1) Does extending foster care past age 18 influence youths' outcomes during the transition to adulthood (e.g., education, employment, health, housing, parenting, and general well-being)?; (2) What factors influence the types of support youth receive during the transition to adulthood in the context of extended foster care?; and (3) How do living arrangements and other services that result from extending foster care influence the relationship between extending care and youth outcomes? Results from the baseline survey of youth, before the youth reach the age of majority and become eligible for extended care, are summarized in this report. The report provides food for thought for policymakers and program administrators considering extending care to young adults by summarizing youths' descriptions of their assets, aspirations, and needs as they approach the transition to adulthood.","language":"en","note":"ISSN: 1097-3125\ncontainer-title: Chapin Hall at the University of Chicago\nERIC Number: ED614174","publisher":"Chapin Hall at the University of Chicago","source":"ERIC","title":"Findings from the California Youth Transitions to Adulthood Study (CalYOUTH): Conditions of Foster Youth at Age 17","title-short":"Findings from the California Youth Transitions to Adulthood Study (CalYOUTH)","author":[{"family":"Courtney","given":"Mark E."},{"family":"Charles","given":"Pajarita"},{"family":"Okpych","given":"Nathanael J."},{"family":"Napolitano","given":"Laura"},{"family":"Halsted","given":"Katherine"}],"accessed":{"date-parts":[["2023",4,18]]},"issued":{"date-parts":[["2014"]]}}}],"schema":"https://github.com/citation-style-language/schema/raw/master/csl-citation.json"}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(Courtney et al. 2014)</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Each of the following empirical chapters explores these sources of support and how they influence youth’s sense of hope, their well-being, </w:t>
      </w:r>
      <w:r w:rsidR="000E3E31">
        <w:rPr>
          <w:rFonts w:ascii="Times New Roman" w:hAnsi="Times New Roman" w:cs="Times New Roman"/>
          <w:sz w:val="24"/>
          <w:szCs w:val="24"/>
        </w:rPr>
        <w:t>and/or</w:t>
      </w:r>
      <w:r w:rsidR="000E3E31" w:rsidRPr="00442034">
        <w:rPr>
          <w:rFonts w:ascii="Times New Roman" w:hAnsi="Times New Roman" w:cs="Times New Roman"/>
          <w:sz w:val="24"/>
          <w:szCs w:val="24"/>
        </w:rPr>
        <w:t xml:space="preserve"> </w:t>
      </w:r>
      <w:r w:rsidRPr="00442034">
        <w:rPr>
          <w:rFonts w:ascii="Times New Roman" w:hAnsi="Times New Roman" w:cs="Times New Roman"/>
          <w:sz w:val="24"/>
          <w:szCs w:val="24"/>
        </w:rPr>
        <w:t>their expectations for their future beyond the child welfare system.</w:t>
      </w:r>
    </w:p>
    <w:p w14:paraId="57A3DAE6" w14:textId="1E53D165" w:rsidR="00D45203" w:rsidRPr="00442034" w:rsidRDefault="00D45203" w:rsidP="004E0B1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A second theory I rely on in Chapters Two and </w:t>
      </w:r>
      <w:r w:rsidR="0077133F" w:rsidRPr="00442034">
        <w:rPr>
          <w:rFonts w:ascii="Times New Roman" w:hAnsi="Times New Roman" w:cs="Times New Roman"/>
          <w:sz w:val="24"/>
          <w:szCs w:val="24"/>
        </w:rPr>
        <w:t>Three</w:t>
      </w:r>
      <w:r w:rsidRPr="00442034">
        <w:rPr>
          <w:rFonts w:ascii="Times New Roman" w:hAnsi="Times New Roman" w:cs="Times New Roman"/>
          <w:sz w:val="24"/>
          <w:szCs w:val="24"/>
        </w:rPr>
        <w:t xml:space="preserve"> is the linked lives principle from life course theory. Life course theory is predominantly used to understand the trajectories adolescents may move through into adulthood and how early childhood development can significantly shape these trajectories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{"citationID":"fn1gNuda","properties":{"formattedCitation":"(Elder 1998)","plainCitation":"(Elder 1998)","noteIndex":0},"citationItems":[{"id":528,"uris":["http://zotero.org/users/7501598/items/SFEEJKG3"],"itemData":{"id":528,"type":"article-journal","abstract":"The pioneering longitudinal studies of child development (all launched in the 1920s and 1930s) were extended well beyond childhood. Indeed, they eventually followed their young study members up to the middle years and later life. In doing so, they generated issues that could not be addressed satisfactorily by available theories. These include the recognition that individual lives are influenced by their ever-changing historical context, that the study of human lives calls for new ways of thinking about their pattern and dynamic, and that concepts of human development should apply to processes across the life span. Life course theory has evolved since the 1960s through programmatic efforts to address such issues.","container-title":"Child Development","DOI":"10.2307/1132065","ISSN":"0009-3920","issue":"1","note":"publisher: [Wiley, Society for Research in Child Development]","page":"1-12","source":"JSTOR","title":"The Life Course as Developmental Theory","volume":"69","author":[{"family":"Elder","given":"Glen H."}],"issued":{"date-parts":[["1998"]]}}}],"schema":"https://github.com/citation-style-language/schema/raw/master/csl-citation.json"}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(Elder 1998)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Based on life course theory, social bonds to family and school are important for counteracting negative life trajectories. The linked lives principle is a component of life course theory that suggests that an individual and their life course cannot be understood independently from their social relationships and is especially useful in exploring how support from family, peers, and institutions can counteract negative life trajectories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{"citationID":"ZmdU1bsU","properties":{"formattedCitation":"(Landes and Settersten 2019)","plainCitation":"(Landes and Settersten 2019)","noteIndex":0},"citationItems":[{"id":525,"uris":["http://zotero.org/users/7501598/items/48QAQ6VG"],"itemData":{"id":525,"type":"article-journal","abstract":"The notion that people make choices and take actions that determine the outcomes of their lives – human agency – is a central principle of the life course paradigm. Unfortunately, conceptualizations of agency, like larger developmental and sociological theories, often assume that agency is limited to individuals who are “developmentally normal.” We draw upon the thought of social scientists and disability scholars, as well as the life history of a woman with intellectual disability, to address the logical, ethical, and empirical flaws of this assumption. To rectify these problems, life course theory and research should pay greater attention to how agency is interwoven with another central principle of the life course paradigm: linked lives. This principle is that an individual’s life cannot be understood in isolation of their interdependencies with other persons. Although human agency and linked lives are discussed as separate principles of the life course, they are not separate in lived experience. We demonstrate that, for all people and at all times in life, human agency is dependent upon interpersonal relationships. It is therefore imperative to examine intersections of agency and linked lives in order to more fully and accurately understand life course dynamics in diverse populations. Human agency is profoundly affected by interpersonal relationships and other social factors. Because agency and linked lives are inseparable, agency cannot be conceptualized as an individual characteristic of ‘independent’ actors. We conclude by discussing how life course research can more fully attend to the relationship between agency and linked lives.","container-title":"Advances in Life Course Research","DOI":"10.1016/j.alcr.2019.100306","ISSN":"1040-2608","journalAbbreviation":"Advances in Life Course Research","language":"en","page":"100306","source":"ScienceDirect","title":"The inseparability of human agency and linked lives","volume":"42","author":[{"family":"Landes","given":"Scott D."},{"family":"Settersten","given":"Richard A."}],"issued":{"date-parts":[["2019",12,1]]}}}],"schema":"https://github.com/citation-style-language/schema/raw/master/csl-citation.json"}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(Landes and Settersten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In a study on maternal instability and poverty using a linked lives perspective, scholars found that youth develop within the context of their family relationships, as continuity and change in the life circumstances of mothers influences and exacerbates antisocial behavior among their children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{"citationID":"umkBKtCN","properties":{"formattedCitation":"(Macmillan, McMorris, and Kruttschnitt 2004)","plainCitation":"(Macmillan, McMorris, and Kruttschnitt 2004)","noteIndex":0},"citationItems":[{"id":523,"uris":["http://zotero.org/users/7501598/items/LB3ISMU4"],"itemData":{"id":523,"type":"article-journal","abstract":"Drawing on the notion of linked lives, this study examined the effects of stability and change in maternal circumstance on developmental trajectories of antisocial behavior in children 4 to 7 years of age. Using data from a national sample of young mothers and growth curve analysis, the study demonstrated that early maternal circumstances influences early antisocial behavior, whereas stability and change in these circumstances both exacerbate and ameliorate behavior problems. Of particular note, meaningful escape from poverty attenuates antisocial behavior whereas persistence in poverty or long-term movement into poverty intensifies such problems. These findings highlight the importance of structural context for parenting practices and the need to consider child development in light of dynamic and changing life-course fortunes of parents.","container-title":"Child Development","DOI":"10.1111/j.1467-8624.2004.00664.x","ISSN":"1467-8624","issue":"1","language":"en","note":"_eprint: https://onlinelibrary.wiley.com/doi/pdf/10.1111/j.1467-8624.2004.00664.x","page":"205-220","source":"Wiley Online Library","title":"Linked Lives: Stability and Change in Maternal Circumstances and Trajectories of Antisocial Behavior in Children","title-short":"Linked Lives","volume":"75","author":[{"family":"Macmillan","given":"Ross"},{"family":"McMorris","given":"Barbara J."},{"family":"Kruttschnitt","given":"Candace"}],"issued":{"date-parts":[["2004"]]}}}],"schema":"https://github.com/citation-style-language/schema/raw/master/csl-citation.json"}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(Macmillan, McMorris, and Kruttschnitt 2004)</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In another study of the parent-child relationship using a linked lives perspective, </w:t>
      </w:r>
      <w:proofErr w:type="spellStart"/>
      <w:r w:rsidRPr="00442034">
        <w:rPr>
          <w:rFonts w:ascii="Times New Roman" w:hAnsi="Times New Roman" w:cs="Times New Roman"/>
          <w:sz w:val="24"/>
          <w:szCs w:val="24"/>
        </w:rPr>
        <w:t>Bucx</w:t>
      </w:r>
      <w:proofErr w:type="spellEnd"/>
      <w:r w:rsidRPr="00442034">
        <w:rPr>
          <w:rFonts w:ascii="Times New Roman" w:hAnsi="Times New Roman" w:cs="Times New Roman"/>
          <w:sz w:val="24"/>
          <w:szCs w:val="24"/>
        </w:rPr>
        <w:t xml:space="preserve"> (2009) found that the parental bond remains important to youth even as they become adults</w:t>
      </w:r>
      <w:r w:rsidR="00882B08">
        <w:rPr>
          <w:rFonts w:ascii="Times New Roman" w:hAnsi="Times New Roman" w:cs="Times New Roman"/>
          <w:sz w:val="24"/>
          <w:szCs w:val="24"/>
        </w:rPr>
        <w:t>,</w:t>
      </w:r>
      <w:r w:rsidRPr="00442034">
        <w:rPr>
          <w:rFonts w:ascii="Times New Roman" w:hAnsi="Times New Roman" w:cs="Times New Roman"/>
          <w:sz w:val="24"/>
          <w:szCs w:val="24"/>
        </w:rPr>
        <w:t xml:space="preserve"> and major life transitions for both youth and adults impact their relationships throughout the</w:t>
      </w:r>
      <w:r w:rsidR="00882B08">
        <w:rPr>
          <w:rFonts w:ascii="Times New Roman" w:hAnsi="Times New Roman" w:cs="Times New Roman"/>
          <w:sz w:val="24"/>
          <w:szCs w:val="24"/>
        </w:rPr>
        <w:t xml:space="preserve"> rest of their lives</w:t>
      </w:r>
      <w:r w:rsidRPr="00442034">
        <w:rPr>
          <w:rFonts w:ascii="Times New Roman" w:hAnsi="Times New Roman" w:cs="Times New Roman"/>
          <w:sz w:val="24"/>
          <w:szCs w:val="24"/>
        </w:rPr>
        <w:t xml:space="preserve">. For youth in child welfare, </w:t>
      </w:r>
      <w:r w:rsidR="00426FC0">
        <w:rPr>
          <w:rFonts w:ascii="Times New Roman" w:hAnsi="Times New Roman" w:cs="Times New Roman"/>
          <w:sz w:val="24"/>
          <w:szCs w:val="24"/>
        </w:rPr>
        <w:t>their</w:t>
      </w:r>
      <w:r w:rsidR="00426FC0" w:rsidRPr="00442034">
        <w:rPr>
          <w:rFonts w:ascii="Times New Roman" w:hAnsi="Times New Roman" w:cs="Times New Roman"/>
          <w:sz w:val="24"/>
          <w:szCs w:val="24"/>
        </w:rPr>
        <w:t xml:space="preserve"> </w:t>
      </w:r>
      <w:r w:rsidRPr="00442034">
        <w:rPr>
          <w:rFonts w:ascii="Times New Roman" w:hAnsi="Times New Roman" w:cs="Times New Roman"/>
          <w:sz w:val="24"/>
          <w:szCs w:val="24"/>
        </w:rPr>
        <w:t>relationships</w:t>
      </w:r>
      <w:r w:rsidR="00426FC0">
        <w:rPr>
          <w:rFonts w:ascii="Times New Roman" w:hAnsi="Times New Roman" w:cs="Times New Roman"/>
          <w:sz w:val="24"/>
          <w:szCs w:val="24"/>
        </w:rPr>
        <w:t xml:space="preserve"> with parents</w:t>
      </w:r>
      <w:r w:rsidRPr="00442034">
        <w:rPr>
          <w:rFonts w:ascii="Times New Roman" w:hAnsi="Times New Roman" w:cs="Times New Roman"/>
          <w:sz w:val="24"/>
          <w:szCs w:val="24"/>
        </w:rPr>
        <w:t xml:space="preserve"> can often be disrupted or strained, contributing to poor well-being outcomes. In the context of LGBQ youth in child welfare, family and peer relationships are even more unstable given the high rates of family and </w:t>
      </w:r>
      <w:r w:rsidRPr="00442034">
        <w:rPr>
          <w:rFonts w:ascii="Times New Roman" w:hAnsi="Times New Roman" w:cs="Times New Roman"/>
          <w:sz w:val="24"/>
          <w:szCs w:val="24"/>
        </w:rPr>
        <w:lastRenderedPageBreak/>
        <w:t xml:space="preserve">peer rejection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{"citationID":"DZtyas14","properties":{"formattedCitation":"(Parra et al. 2018; Shilo and Savaya 2011)","plainCitation":"(Parra et al. 2018; Shilo and Savaya 2011)","noteIndex":0},"citationItems":[{"id":1601,"uris":["http://zotero.org/users/7501598/items/B5NPMBK4"],"itemData":{"id":1601,"type":"article-journal","abstract":"Lesbian, gay, and bisexual (LGB) emerging adults often seek support from their peers if they lack support from their family of origin. We predicted that peer social support would moderate the link between negative family relationships and psychosocial adjustment, such that in the context of family rejection, experiencing more peer support would predict lower levels of anxiety, depression, and internalized homonegativity (IH) and higher self-esteem. Sixty-two (27 females) LGB individuals (ages 17–27, M = 21.34 years, SD = 2.65) reported on their families’ attitudes toward homosexuality, experiences of family victimization, peer social support, anxiety and depression symptoms, IH, and self-esteem. Results showed that peer social support moderated the link between negative family attitudes and anxiety and also moderated the link between family victimization and depression. The moderating effects suggest that having a supportive peer group may protect against mental health problems for LGB emerging adults who lack support from their family of origin.","container-title":"Journal of Social and Personal Relationships","DOI":"10.1177/0265407517699713","ISSN":"0265-4075","issue":"6","language":"en","note":"publisher: SAGE Publications Ltd","page":"854-871","source":"SAGE Journals","title":"The buffering effect of peer support on the links between family rejection and psychosocial adjustment in LGB emerging adults","volume":"35","author":[{"family":"Parra","given":"Luis A."},{"family":"Bell","given":"Timothy S."},{"family":"Benibgui","given":"Michael"},{"family":"Helm","given":"Jonathan L."},{"family":"Hastings","given":"Paul D."}],"issued":{"date-parts":[["2018",7,1]]}}},{"id":1621,"uris":["http://zotero.org/users/7501598/items/LNH5MWBB"],"itemData":{"id":1621,"type":"article-journal","abstract":"This study examined the effects of social support components and providers on mental health and sexual orientation (SO) milestones of lesbian, gay, and bisexual (LGB) youths. Data were collected on 461 self-identified LGB adolescents and young adults. Family acceptance and support yielded the strongest positive effect on self-acceptance of SO, whereas friends' support and acceptance yielded the strongest positive effect on disclosure of SO. Family support had the strongest negative effect on youth's mental distress, whereas friends' and family support had the strongest positive effect on well-being. These findings highlight the importance of the daily perceptions of LGB youth within social and familial settings, indicating that both positive and negative aspects of support affect youths' mental health and identity development.","container-title":"Family Relations","DOI":"10.1111/j.1741-3729.2011.00648.x","ISSN":"1741-3729","issue":"3","language":"en","license":"© 2011 by the National Council on Family Relations","note":"_eprint: https://onlinelibrary.wiley.com/doi/pdf/10.1111/j.1741-3729.2011.00648.x","page":"318-330","source":"Wiley Online Library","title":"Effects of Family and Friend Support on LGB Youths' Mental Health and Sexual Orientation Milestones","volume":"60","author":[{"family":"Shilo","given":"Guy"},{"family":"Savaya","given":"Riki"}],"issued":{"date-parts":[["2011"]]}}}],"schema":"https://github.com/citation-style-language/schema/raw/master/csl-citation.json"}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(Parra et al. 2018; Shilo and Savaya 2011)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Instead, youth are often forced to rely on relationships with paid professionals to provide some of the guidance and support they need.</w:t>
      </w:r>
    </w:p>
    <w:p w14:paraId="441197B3" w14:textId="5E65F52E" w:rsidR="00D45203" w:rsidRPr="00442034" w:rsidRDefault="00D45203" w:rsidP="004E0B1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Another theory is sexual minority stress theory, which posits that cultural and social stressors such as prejudiced attitudes, discriminatory behaviors, and limited or restricted access to economic opportunities act as threats to self-esteem and security for individuals belonging to sexual minority populations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{"citationID":"S4puS3Rv","properties":{"formattedCitation":"(Rich et al. 2020)","plainCitation":"(Rich et al. 2020)","noteIndex":0},"citationItems":[{"id":269,"uris":["http://zotero.org/users/7501598/items/38DZGCWM"],"itemData":{"id":269,"type":"article-journal","container-title":"LGBT Health","DOI":"10.1089/lgbt.2019.0223","ISSN":"2325-8292, 2325-8306","issue":"3","journalAbbreviation":"LGBT Health","language":"en","page":"124-127","source":"DOI.org (Crossref)","title":"Sexual Minority Stress Theory: Remembering and Honoring the Work of Virginia Brooks","title-short":"Sexual Minority Stress Theory","volume":"7","author":[{"family":"Rich","given":"Ashleigh J."},{"family":"Salway","given":"Travis"},{"family":"Scheim","given":"Ayden"},{"family":"Poteat","given":"Tonia"}],"issued":{"date-parts":[["2020",4,1]]}}}],"schema":"https://github.com/citation-style-language/schema/raw/master/csl-citation.json"}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(Rich et al. 2020)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The experiences of stress and stigmatization during the period of adolescence can disrupt youth development and contribute to negative outcomes in adulthood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{"citationID":"dwBvMZgq","properties":{"formattedCitation":"(Radkowsky and Siegel 1997)","plainCitation":"(Radkowsky and Siegel 1997)","noteIndex":0},"citationItems":[{"id":392,"uris":["http://zotero.org/users/7501598/items/675WEP58"],"itemData":{"id":392,"type":"article-journal","abstract":"Examines literature and research studies on the effects of social stigmatization which may hinder gay adolescents' ability to achieve a sense of identity and self-esteem, and peer and familial relationships. Due to these factors, gay adolescents are susceptible to loneliness, isolation, depression, AIDS, and suicide. The authors suggest intervention strategies for clinicians working with gay youth including examining one's own biases about homosexuality, validation of affectional and erotic feelings to normalize their adolescence, providing education, and providing clients and their families with peer groups of other gay youth and parents of gay youth. (PsycInfo Database Record (c) 2020 APA, all rights reserved)","container-title":"Clinical Psychology Review","DOI":"10.1016/S0272-7358(97)00007-X","ISSN":"1873-7811","issue":"2","note":"publisher-place: Netherlands\npublisher: Elsevier Science","page":"191-216","source":"APA PsycNet","title":"The gay adolescent: Stressors, adaptations, and psychosocial interventions","title-short":"The gay adolescent","volume":"17","author":[{"family":"Radkowsky","given":"Michael"},{"family":"Siegel","given":"Lawrence J."}],"issued":{"date-parts":[["1997"]]}}}],"schema":"https://github.com/citation-style-language/schema/raw/master/csl-citation.json"}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(Radkowsky and Siegel 1997)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This is in addition to the experience of adverse childhood experiences (ACEs) such as child abuse and neglect, which have been shown to lead to a high prevalence of heart disease, substance use, and early mortality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{"citationID":"lE7JdDCW","properties":{"formattedCitation":"(Felitti et al. 1998)","plainCitation":"(Felitti et al. 1998)","noteIndex":0},"citationItems":[{"id":133,"uris":["http://zotero.org/users/7501598/items/X4WHYZPQ"],"itemData":{"id":133,"type":"article-journal","abstract":"&lt;h2&gt;Abstract&lt;/h2&gt;&lt;p&gt;Background: The relationship of health risk behavior and disease in adulthood to the breadth of exposure to childhood emotional, physical, or sexual abuse, and household dysfunction during childhood has not previously been described.&lt;/p&gt;&lt;p&gt;Methods: A questionnaire about adverse childhood experiences was mailed to 13,494 adults who had completed a standardized medical evaluation at a large HMO; 9,508 (70.5%) responded. Seven categories of adverse childhood experiences were studied: psychological, physical, or sexual abuse; violence against mother; or living with household members who were substance abusers, mentally ill or suicidal, or ever imprisoned. The number of categories of these adverse childhood experiences was then compared to measures of adult risk behavior, health status, and disease. Logistic regression was used to adjust for effects of demographic factors on the association between the cumulative number of categories of childhood exposures (range: 0–7) and risk factors for the leading causes of death in adult life.&lt;/p&gt;&lt;p&gt;Results: More than half of respondents reported at least one, and one-fourth reported ≥2 categories of childhood exposures. We found a graded relationship between the number of categories of childhood exposure and each of the adult health risk behaviors and diseases that were studied (&lt;i&gt;P&lt;/i&gt; &lt; .001). Persons who had experienced four or more categories of childhood exposure, compared to those who had experienced none, had 4- to 12-fold increased health risks for alcoholism, drug abuse, depression, and suicide attempt; a 2- to 4-fold increase in smoking, poor self-rated health, ≥50 sexual intercourse partners, and sexually transmitted disease; and a 1.4- to 1.6-fold increase in physical inactivity and severe obesity. The number of categories of adverse childhood exposures showed a graded relationship to the presence of adult diseases including ischemic heart disease, cancer, chronic lung disease, skeletal fractures, and liver disease. The seven categories of adverse childhood experiences were strongly interrelated and persons with multiple categories of childhood exposure were likely to have multiple health risk factors later in life.&lt;/p&gt;&lt;p&gt;Conclusions: We found a strong graded relationship between the breadth of exposure to abuse or household dysfunction during childhood and multiple risk factors for several of the leading causes of death in adults.&lt;/p&gt;","container-title":"American Journal of Preventive Medicine","DOI":"10.1016/S0749-3797(98)00017-8","ISSN":"0749-3797, 1873-2607","issue":"4","journalAbbreviation":"American Journal of Preventive Medicine","language":"English","note":"publisher: Elsevier","page":"245-258","source":"www.ajpmonline.org","title":"Relationship of Childhood Abuse and Household Dysfunction to Many of the Leading Causes of Death in Adults: The Adverse Childhood Experiences (ACE) Study","title-short":"Relationship of Childhood Abuse and Household Dysfunction to Many of the Leading Causes of Death in Adults","volume":"14","author":[{"family":"Felitti","given":"Vincent J."},{"family":"Anda","given":"Robert F."},{"family":"Nordenberg","given":"Dale"},{"family":"Williamson","given":"David F."},{"family":"Spitz","given":"Alison M."},{"family":"Edwards","given":"Valerie"},{"family":"Koss","given":"Mary P."},{"family":"Marks","given":"James S."}],"issued":{"date-parts":[["1998",5,1]]}}}],"schema":"https://github.com/citation-style-language/schema/raw/master/csl-citation.json"}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(Felitti et al. 1998)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Research on sexual minority stress theory has found that general stressors in the environment such as mental health problems, job loss, and loss of family can be exacerbated by minority stress. In addition to these general stressors, </w:t>
      </w:r>
      <w:proofErr w:type="gramStart"/>
      <w:r w:rsidRPr="00442034">
        <w:rPr>
          <w:rFonts w:ascii="Times New Roman" w:hAnsi="Times New Roman" w:cs="Times New Roman"/>
          <w:sz w:val="24"/>
          <w:szCs w:val="24"/>
        </w:rPr>
        <w:t>Meyer</w:t>
      </w:r>
      <w:proofErr w:type="gramEnd"/>
      <w:r w:rsidRPr="00442034">
        <w:rPr>
          <w:rFonts w:ascii="Times New Roman" w:hAnsi="Times New Roman" w:cs="Times New Roman"/>
          <w:sz w:val="24"/>
          <w:szCs w:val="24"/>
        </w:rPr>
        <w:t xml:space="preserve"> and Frost (2013) identified four stressors specific to LGBQ individuals such as heterosexist discrimination, expectations or anticipation of encountering homophobia and discrimination, internalized heterosexism, and concealment or </w:t>
      </w:r>
      <w:r w:rsidR="00613002">
        <w:rPr>
          <w:rFonts w:ascii="Times New Roman" w:hAnsi="Times New Roman" w:cs="Times New Roman"/>
          <w:sz w:val="24"/>
          <w:szCs w:val="24"/>
        </w:rPr>
        <w:t>non-disclosure of their sexual orientation or gender identity.</w:t>
      </w:r>
      <w:r w:rsidRPr="00442034">
        <w:rPr>
          <w:rFonts w:ascii="Times New Roman" w:hAnsi="Times New Roman" w:cs="Times New Roman"/>
          <w:sz w:val="24"/>
          <w:szCs w:val="24"/>
        </w:rPr>
        <w:t xml:space="preserve"> These </w:t>
      </w:r>
      <w:r w:rsidR="00B54380">
        <w:rPr>
          <w:rFonts w:ascii="Times New Roman" w:hAnsi="Times New Roman" w:cs="Times New Roman"/>
          <w:sz w:val="24"/>
          <w:szCs w:val="24"/>
        </w:rPr>
        <w:t xml:space="preserve">specific </w:t>
      </w:r>
      <w:r w:rsidRPr="00442034">
        <w:rPr>
          <w:rFonts w:ascii="Times New Roman" w:hAnsi="Times New Roman" w:cs="Times New Roman"/>
          <w:sz w:val="24"/>
          <w:szCs w:val="24"/>
        </w:rPr>
        <w:t xml:space="preserve">stressors </w:t>
      </w:r>
      <w:r w:rsidR="00B54380">
        <w:rPr>
          <w:rFonts w:ascii="Times New Roman" w:hAnsi="Times New Roman" w:cs="Times New Roman"/>
          <w:sz w:val="24"/>
          <w:szCs w:val="24"/>
        </w:rPr>
        <w:t>can have severe consequences. Fu</w:t>
      </w:r>
      <w:r w:rsidR="00B219ED">
        <w:rPr>
          <w:rFonts w:ascii="Times New Roman" w:hAnsi="Times New Roman" w:cs="Times New Roman"/>
          <w:sz w:val="24"/>
          <w:szCs w:val="24"/>
        </w:rPr>
        <w:t>rther</w:t>
      </w:r>
      <w:r w:rsidR="00B54380">
        <w:rPr>
          <w:rFonts w:ascii="Times New Roman" w:hAnsi="Times New Roman" w:cs="Times New Roman"/>
          <w:sz w:val="24"/>
          <w:szCs w:val="24"/>
        </w:rPr>
        <w:t>more, f</w:t>
      </w:r>
      <w:r w:rsidRPr="00442034">
        <w:rPr>
          <w:rFonts w:ascii="Times New Roman" w:hAnsi="Times New Roman" w:cs="Times New Roman"/>
          <w:sz w:val="24"/>
          <w:szCs w:val="24"/>
        </w:rPr>
        <w:t xml:space="preserve">or LGBQ youth in child welfare, compounding </w:t>
      </w:r>
      <w:r w:rsidR="00215F77">
        <w:rPr>
          <w:rFonts w:ascii="Times New Roman" w:hAnsi="Times New Roman" w:cs="Times New Roman"/>
          <w:sz w:val="24"/>
          <w:szCs w:val="24"/>
        </w:rPr>
        <w:t xml:space="preserve">and related </w:t>
      </w:r>
      <w:r w:rsidRPr="00442034">
        <w:rPr>
          <w:rFonts w:ascii="Times New Roman" w:hAnsi="Times New Roman" w:cs="Times New Roman"/>
          <w:sz w:val="24"/>
          <w:szCs w:val="24"/>
        </w:rPr>
        <w:t xml:space="preserve">stressors may include abuse and neglect, placement rejection and disruption, and family loss. Given that LGBQ youth experience higher rates of internalizing and externalizing behaviors compared to their peers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{"citationID":"e2vR6ISM","properties":{"formattedCitation":"(Fergusson, Horwood, and Beautrais 1999)","plainCitation":"(Fergusson, Horwood, and Beautrais 1999)","noteIndex":0},"citationItems":[{"id":391,"uris":["http://zotero.org/users/7501598/items/UMXYCKMW",["http://zotero.org/users/7501598/items/UMXYCKMW"]],"itemData":{"id":391,"type":"article-journal","abstract":"BACKGROUND: This study examines the extent to which gay, lesbian, and bisexual young people are at increased risk of psychiatric disorder and suicidal behaviors using data gathered on a New Zealand birth cohort studied to age 21 years.\nMETHODS: Data were gathered during the course of the Christchurch Health and Development Study, a 21-year longitudinal study of a birth cohort of 1265 children born in Christchurch, New Zealand. At 21 years of age, 1007 sample members were questioned about their sexual orientation and relationships with same-sex partners since the age of 16 years. Twenty-eight subjects (2.8%) were classified as being of gay, lesbian, or bisexual sexual orientation. Over the period from age 14 to 21 years, data were gathered on a range of psychiatric disorders that included major depression, generalized anxiety disorder, conduct disorder, and substance use disorders. Data were also gathered on suicidal ideation and suicide attempts.\nRESULTS: Gay, lesbian, and bisexual young people were at increased risks of major depression (odds ratio [OR], 4.0; 95% confidence interval [CI], 1.8-9.3), generalized anxiety disorder (OR, 2.8; 95% CI, 1.2-6.5), conduct disorder (OR, 3.8; 95% CI, 1.7-8.7), nicotine dependence (OR, 5.0; 95%, CI, 2.3-10.9), other substance abuse and/or dependence (OR, 1.9; 95% CI, 0.9-4.2), multiple disorders (OR, 5.9; 95% CI, 2.4-14.8), suicidal ideation (OR, 5.4; 95% CI, 2.4-12.2), and suicide attempts (OR, 6.2; 95% CI, 2.7-14.3).\nCONCLUSIONS: Findings support recent evidence suggesting that gay, lesbian, and bisexual young people are at increased risk of mental health problems, with these associations being particularly evident for measures of suicidal behavior and multiple disorder.","container-title":"Archives of General Psychiatry","DOI":"10.1001/archpsyc.56.10.876","ISSN":"0003-990X","issue":"10","journalAbbreviation":"Arch Gen Psychiatry","language":"eng","note":"PMID: 10530626","page":"876-880","source":"PubMed","title":"Is sexual orientation related to mental health problems and suicidality in young people?","volume":"56","author":[{"family":"Fergusson","given":"D. M."},{"family":"Horwood","given":"L. J."},{"family":"Beautrais","given":"A. L."}],"issued":{"date-parts":[["1999",10]]}}}],"schema":"https://github.com/citation-style-language/schema/raw/master/csl-citation.json"}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(Fergusson, Horwood, and Beautrais 1999)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sexual minority stress theory helps identify the mechanisms that exacerbate the stress experienced by these youth, particularly as they navigate the child welfare system. Chapters Two and </w:t>
      </w:r>
      <w:r w:rsidR="0077133F" w:rsidRPr="00442034">
        <w:rPr>
          <w:rFonts w:ascii="Times New Roman" w:hAnsi="Times New Roman" w:cs="Times New Roman"/>
          <w:sz w:val="24"/>
          <w:szCs w:val="24"/>
        </w:rPr>
        <w:t>Three</w:t>
      </w:r>
      <w:r w:rsidRPr="00442034">
        <w:rPr>
          <w:rFonts w:ascii="Times New Roman" w:hAnsi="Times New Roman" w:cs="Times New Roman"/>
          <w:sz w:val="24"/>
          <w:szCs w:val="24"/>
        </w:rPr>
        <w:t xml:space="preserve"> of my dissertation utilize sexual minority stress theory to understand how the unique </w:t>
      </w:r>
      <w:r w:rsidRPr="00442034">
        <w:rPr>
          <w:rFonts w:ascii="Times New Roman" w:hAnsi="Times New Roman" w:cs="Times New Roman"/>
          <w:sz w:val="24"/>
          <w:szCs w:val="24"/>
        </w:rPr>
        <w:lastRenderedPageBreak/>
        <w:t>experiences of LGBQ youth in child welfare may impact their sense of well-being and expectations for their future.</w:t>
      </w:r>
    </w:p>
    <w:p w14:paraId="71F58850" w14:textId="4B322DCF" w:rsidR="00D45203" w:rsidRPr="00442034" w:rsidRDefault="00D45203" w:rsidP="00D45203">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A fourth theory is </w:t>
      </w:r>
      <w:proofErr w:type="gramStart"/>
      <w:r w:rsidRPr="00442034">
        <w:rPr>
          <w:rFonts w:ascii="Times New Roman" w:hAnsi="Times New Roman" w:cs="Times New Roman"/>
          <w:sz w:val="24"/>
          <w:szCs w:val="24"/>
        </w:rPr>
        <w:t>hope</w:t>
      </w:r>
      <w:proofErr w:type="gramEnd"/>
      <w:r w:rsidRPr="00442034">
        <w:rPr>
          <w:rFonts w:ascii="Times New Roman" w:hAnsi="Times New Roman" w:cs="Times New Roman"/>
          <w:sz w:val="24"/>
          <w:szCs w:val="24"/>
        </w:rPr>
        <w:t xml:space="preserve"> theory, which I focus on in Chapter </w:t>
      </w:r>
      <w:r w:rsidR="0077133F" w:rsidRPr="00442034">
        <w:rPr>
          <w:rFonts w:ascii="Times New Roman" w:hAnsi="Times New Roman" w:cs="Times New Roman"/>
          <w:sz w:val="24"/>
          <w:szCs w:val="24"/>
        </w:rPr>
        <w:t>Four</w:t>
      </w:r>
      <w:r w:rsidRPr="00442034">
        <w:rPr>
          <w:rFonts w:ascii="Times New Roman" w:hAnsi="Times New Roman" w:cs="Times New Roman"/>
          <w:sz w:val="24"/>
          <w:szCs w:val="24"/>
        </w:rPr>
        <w:t xml:space="preserve">. Hope theory was developed by Snyder (1994) and defines hope as a positive motivational state based on an individual’s sense of agency and the pathways they use to meet their goals. Hope has been demonstrated to positively impact behaviors, relationships, and academic success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{"citationID":"YKsvhaJ4","properties":{"formattedCitation":"(Sulimani-Aidan, Melkman, and Hellman 2018)","plainCitation":"(Sulimani-Aidan, Melkman, and Hellman 2018)","noteIndex":0},"citationItems":[{"id":106,"uris":["http://zotero.org/users/7501598/items/WGDS4564",["http://zotero.org/users/7501598/items/WGDS4564"]],"itemData":{"id":106,"type":"article-journal","container-title":"American Journal of Orthopsychiatry","DOI":"10.1037/ort0000320","ISSN":"1939-0025","issue":"2","note":"publisher: US: Educational Publishing Foundation","page":"134","source":"psycnet.apa.org","title":"Nurturing the hope of youth in care: The contribution of mentoring.","title-short":"Nurturing the hope of youth in care","volume":"89","author":[{"family":"Sulimani-Aidan","given":"Yafit"},{"family":"Melkman","given":"Eran"},{"family":"Hellman","given":"Chan M."}],"issued":{"date-parts":[["2018"]]}}}],"schema":"https://github.com/citation-style-language/schema/raw/master/csl-citation.json"}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(Sulimani-Aidan, Melkman, and Hellman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Hope directly measures an individual’s goal-seeking and perceived abilities to achieve these goals, which is critical for youth in child welfare who are preparing to transition from the child welfare system into adulthood. According to hope theory, youth can use hope as a buffer from adverse childhood experiences such as child abuse and neglect to redirect their thinking toward coping skills and higher self-control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{"citationID":"LmbqWJqK","properties":{"formattedCitation":"(Hellman et al. 2018)","plainCitation":"(Hellman et al. 2018)","noteIndex":0},"citationItems":[{"id":156,"uris":["http://zotero.org/users/7501598/items/5ZRU57UM"],"itemData":{"id":156,"type":"article-journal","container-title":"Child Indicators Research","DOI":"10.1007/s12187-017-9467-6","ISSN":"1874-897X, 1874-8988","issue":"4","journalAbbreviation":"Child Ind Res","language":"en","page":"1193-1200","source":"DOI.org (Crossref)","title":"A Reliability Generalization on the Children’s Hope Scale","volume":"11","author":[{"family":"Hellman","given":"Chan M."},{"family":"Munoz","given":"Ricky T."},{"family":"Worley","given":"Jody A."},{"family":"Feeley","given":"Jessica A."},{"family":"Gillert","given":"Jeanne E."}],"issued":{"date-parts":[["2018",8]]}}}],"schema":"https://github.com/citation-style-language/schema/raw/master/csl-citation.json"}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(Hellman et al.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External agents such as parents, caregivers, peers, and child welfare workers can influence hope among youth in the child welfare system by helping identify and navigate goal attainment, which increases the probability of a successful transition into adulthood and therefore the overall well-being of these youth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{"citationID":"ZtQA7wGV","properties":{"formattedCitation":"(Pharris et al. 2023)","plainCitation":"(Pharris et al. 2023)","noteIndex":0},"citationItems":[{"id":556,"uris":["http://zotero.org/users/7501598/items/TQCZW95L"],"itemData":{"id":556,"type":"article-journal","abstract":"Research with youth has demonstrated that a hopeful mind-set is associated with resilience and well-being and is influenced by our supportive caregivers and adults. Lesbian, gay, and bisexual (LGB)...","archive_location":"world","container-title":"Journal of Public Child Welfare","ISSN":"1554-8732","language":"en","license":"© 2023 Taylor &amp; Francis Group, LLC","note":"publisher: Routledge","source":"www.tandfonline.com","title":"The caseworker as an external locus of hope for LGB youth in foster care","URL":"https://www.tandfonline.com/doi/abs/10.1080/15548732.2023.2193141","author":[{"family":"Pharris","given":"Angela B."},{"family":"Lepper-Pappan","given":"Heather"},{"family":"Maher","given":"Erin"},{"family":"Natale","given":"Anthony P."}],"accessed":{"date-parts":[["2023",3,30]]},"issued":{"date-parts":[["2023",3,22]]}}}],"schema":"https://github.com/citation-style-language/schema/raw/master/csl-citation.json"}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(Pharris et al. 2023)</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These external agents, particularly professional staff within the child welfare system, may be crucial supports for LGBQ youth within the system as they lack social support from caregivers and peers due to rejection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{"citationID":"xlMFqnGl","properties":{"formattedCitation":"(Shilo and Savaya 2011)","plainCitation":"(Shilo and Savaya 2011)","noteIndex":0},"citationItems":[{"id":1621,"uris":["http://zotero.org/users/7501598/items/LNH5MWBB"],"itemData":{"id":1621,"type":"article-journal","abstract":"This study examined the effects of social support components and providers on mental health and sexual orientation (SO) milestones of lesbian, gay, and bisexual (LGB) youths. Data were collected on 461 self-identified LGB adolescents and young adults. Family acceptance and support yielded the strongest positive effect on self-acceptance of SO, whereas friends' support and acceptance yielded the strongest positive effect on disclosure of SO. Family support had the strongest negative effect on youth's mental distress, whereas friends' and family support had the strongest positive effect on well-being. These findings highlight the importance of the daily perceptions of LGB youth within social and familial settings, indicating that both positive and negative aspects of support affect youths' mental health and identity development.","container-title":"Family Relations","DOI":"10.1111/j.1741-3729.2011.00648.x","ISSN":"1741-3729","issue":"3","language":"en","license":"© 2011 by the National Council on Family Relations","note":"_eprint: https://onlinelibrary.wiley.com/doi/pdf/10.1111/j.1741-3729.2011.00648.x","page":"318-330","source":"Wiley Online Library","title":"Effects of Family and Friend Support on LGB Youths' Mental Health and Sexual Orientation Milestones","volume":"60","author":[{"family":"Shilo","given":"Guy"},{"family":"Savaya","given":"Riki"}],"issued":{"date-parts":[["2011"]]}}}],"schema":"https://github.com/citation-style-language/schema/raw/master/csl-citation.json"}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(Shilo and Savaya 2011)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5F339B85" w14:textId="510F890D" w:rsidR="00D45203" w:rsidRDefault="00D45203" w:rsidP="00D45203">
      <w:pPr>
        <w:contextualSpacing/>
        <w:rPr>
          <w:rFonts w:ascii="Times New Roman" w:hAnsi="Times New Roman" w:cs="Times New Roman"/>
          <w:sz w:val="24"/>
          <w:szCs w:val="24"/>
        </w:rPr>
      </w:pPr>
      <w:r w:rsidRPr="00442034">
        <w:rPr>
          <w:rFonts w:ascii="Times New Roman" w:hAnsi="Times New Roman" w:cs="Times New Roman"/>
          <w:sz w:val="24"/>
          <w:szCs w:val="24"/>
        </w:rPr>
        <w:t>OVERVIEW OF ANALYTIC CHAPTERS</w:t>
      </w:r>
    </w:p>
    <w:p w14:paraId="6798C793" w14:textId="77777777" w:rsidR="00BD7E5F" w:rsidRDefault="00BD7E5F" w:rsidP="00D45203">
      <w:pPr>
        <w:contextualSpacing/>
        <w:rPr>
          <w:rFonts w:ascii="Times New Roman" w:hAnsi="Times New Roman" w:cs="Times New Roman"/>
          <w:sz w:val="24"/>
          <w:szCs w:val="24"/>
        </w:rPr>
      </w:pPr>
    </w:p>
    <w:p w14:paraId="60025EAE" w14:textId="77777777" w:rsidR="00260D43" w:rsidRDefault="00BD7E5F" w:rsidP="00400DF6">
      <w:pPr>
        <w:pStyle w:val="ListParagraph"/>
        <w:numPr>
          <w:ilvl w:val="0"/>
          <w:numId w:val="33"/>
        </w:num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Two: What’s Love </w:t>
      </w:r>
      <w:r w:rsidR="00134907">
        <w:rPr>
          <w:rFonts w:ascii="Times New Roman" w:hAnsi="Times New Roman" w:cs="Times New Roman"/>
          <w:sz w:val="24"/>
          <w:szCs w:val="24"/>
        </w:rPr>
        <w:t xml:space="preserve">Got to do With It? </w:t>
      </w:r>
      <w:r w:rsidR="00546E1F">
        <w:rPr>
          <w:rFonts w:ascii="Times New Roman" w:hAnsi="Times New Roman" w:cs="Times New Roman"/>
          <w:sz w:val="24"/>
          <w:szCs w:val="24"/>
        </w:rPr>
        <w:t>How LGBQ Youth’s Relationship with their Caregiver Impacts their Well-Being</w:t>
      </w:r>
    </w:p>
    <w:p w14:paraId="6E11DDA4" w14:textId="77777777" w:rsidR="00260D43" w:rsidRDefault="00260D43" w:rsidP="00400DF6">
      <w:pPr>
        <w:pStyle w:val="ListParagraph"/>
        <w:numPr>
          <w:ilvl w:val="0"/>
          <w:numId w:val="33"/>
        </w:numPr>
        <w:spacing w:line="480" w:lineRule="auto"/>
        <w:rPr>
          <w:rFonts w:ascii="Times New Roman" w:hAnsi="Times New Roman" w:cs="Times New Roman"/>
          <w:sz w:val="24"/>
          <w:szCs w:val="24"/>
        </w:rPr>
      </w:pPr>
      <w:r>
        <w:rPr>
          <w:rFonts w:ascii="Times New Roman" w:hAnsi="Times New Roman" w:cs="Times New Roman"/>
          <w:sz w:val="24"/>
          <w:szCs w:val="24"/>
        </w:rPr>
        <w:t>Chapter Three: Supporting the Future: Future Expectations for LGBQ Youth in Child Welfare and How Social Support Shapes Them</w:t>
      </w:r>
    </w:p>
    <w:p w14:paraId="6B63926F" w14:textId="77777777" w:rsidR="00400DF6" w:rsidRPr="00EF7BF6" w:rsidRDefault="00260D43" w:rsidP="00400DF6">
      <w:pPr>
        <w:pStyle w:val="ListParagraph"/>
        <w:numPr>
          <w:ilvl w:val="0"/>
          <w:numId w:val="33"/>
        </w:numPr>
        <w:spacing w:line="480" w:lineRule="auto"/>
        <w:rPr>
          <w:rFonts w:ascii="Times New Roman" w:hAnsi="Times New Roman" w:cs="Times New Roman"/>
          <w:i/>
          <w:iCs/>
          <w:sz w:val="24"/>
          <w:szCs w:val="24"/>
        </w:rPr>
      </w:pPr>
      <w:r w:rsidRPr="00400DF6">
        <w:rPr>
          <w:rFonts w:ascii="Times New Roman" w:hAnsi="Times New Roman" w:cs="Times New Roman"/>
          <w:sz w:val="24"/>
          <w:szCs w:val="24"/>
        </w:rPr>
        <w:lastRenderedPageBreak/>
        <w:t>Chapter Four: The Caseworker as an External Locus of Hope for LGB Youth in Foster Care</w:t>
      </w:r>
    </w:p>
    <w:p w14:paraId="55FA7906" w14:textId="3E4154EB" w:rsidR="00D45203" w:rsidRPr="00EF7BF6" w:rsidRDefault="00D45203" w:rsidP="00EF7BF6">
      <w:pPr>
        <w:spacing w:line="480" w:lineRule="auto"/>
        <w:contextualSpacing/>
        <w:rPr>
          <w:rFonts w:ascii="Times New Roman" w:hAnsi="Times New Roman" w:cs="Times New Roman"/>
          <w:i/>
          <w:iCs/>
          <w:sz w:val="24"/>
          <w:szCs w:val="24"/>
        </w:rPr>
      </w:pPr>
      <w:r w:rsidRPr="00EF7BF6">
        <w:rPr>
          <w:rFonts w:ascii="Times New Roman" w:hAnsi="Times New Roman" w:cs="Times New Roman"/>
          <w:i/>
          <w:iCs/>
          <w:sz w:val="24"/>
          <w:szCs w:val="24"/>
        </w:rPr>
        <w:t>Data</w:t>
      </w:r>
    </w:p>
    <w:p w14:paraId="0501C0DC" w14:textId="226F799C" w:rsidR="00D45203" w:rsidRPr="00442034" w:rsidRDefault="00D45203" w:rsidP="004E0B1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Chapters Two and </w:t>
      </w:r>
      <w:r w:rsidR="00940497" w:rsidRPr="00442034">
        <w:rPr>
          <w:rFonts w:ascii="Times New Roman" w:hAnsi="Times New Roman" w:cs="Times New Roman"/>
          <w:sz w:val="24"/>
          <w:szCs w:val="24"/>
        </w:rPr>
        <w:t>Three</w:t>
      </w:r>
      <w:r w:rsidRPr="00442034">
        <w:rPr>
          <w:rFonts w:ascii="Times New Roman" w:hAnsi="Times New Roman" w:cs="Times New Roman"/>
          <w:sz w:val="24"/>
          <w:szCs w:val="24"/>
        </w:rPr>
        <w:t xml:space="preserve"> will use data from the National Survey of Child and Adolescent Well-Being (NSCAW II).</w:t>
      </w:r>
      <w:r w:rsidR="00360ED7">
        <w:rPr>
          <w:rFonts w:ascii="Times New Roman" w:hAnsi="Times New Roman" w:cs="Times New Roman"/>
          <w:sz w:val="24"/>
          <w:szCs w:val="24"/>
        </w:rPr>
        <w:t xml:space="preserve"> </w:t>
      </w:r>
      <w:r w:rsidRPr="00442034">
        <w:rPr>
          <w:rFonts w:ascii="Times New Roman" w:hAnsi="Times New Roman" w:cs="Times New Roman"/>
          <w:sz w:val="24"/>
          <w:szCs w:val="24"/>
        </w:rPr>
        <w:t xml:space="preserve">NSCAW II is a longitudinal study designed to assess the functioning, service needs, service use, and well-being of 5,782 youth ages 0 to 17.5 years old who are involved in the child welfare system (CWS). </w:t>
      </w:r>
      <w:r w:rsidR="00724E1A">
        <w:rPr>
          <w:rFonts w:ascii="Times New Roman" w:hAnsi="Times New Roman" w:cs="Times New Roman"/>
          <w:sz w:val="24"/>
          <w:szCs w:val="24"/>
        </w:rPr>
        <w:t>Thi</w:t>
      </w:r>
      <w:r w:rsidR="00F2043E">
        <w:rPr>
          <w:rFonts w:ascii="Times New Roman" w:hAnsi="Times New Roman" w:cs="Times New Roman"/>
          <w:sz w:val="24"/>
          <w:szCs w:val="24"/>
        </w:rPr>
        <w:t xml:space="preserve">s sample includes </w:t>
      </w:r>
      <w:r w:rsidR="005F01B9">
        <w:rPr>
          <w:rFonts w:ascii="Times New Roman" w:hAnsi="Times New Roman" w:cs="Times New Roman"/>
          <w:sz w:val="24"/>
          <w:szCs w:val="24"/>
        </w:rPr>
        <w:t>youth who</w:t>
      </w:r>
      <w:r w:rsidR="00012D02">
        <w:rPr>
          <w:rFonts w:ascii="Times New Roman" w:hAnsi="Times New Roman" w:cs="Times New Roman"/>
          <w:sz w:val="24"/>
          <w:szCs w:val="24"/>
        </w:rPr>
        <w:t xml:space="preserve"> had contact with the child welfare system</w:t>
      </w:r>
      <w:r w:rsidR="00EA3B2F">
        <w:rPr>
          <w:rFonts w:ascii="Times New Roman" w:hAnsi="Times New Roman" w:cs="Times New Roman"/>
          <w:sz w:val="24"/>
          <w:szCs w:val="24"/>
        </w:rPr>
        <w:t>, including</w:t>
      </w:r>
      <w:r w:rsidR="00EA3B2F" w:rsidRPr="003A0AA0">
        <w:rPr>
          <w:rFonts w:ascii="Times New Roman" w:hAnsi="Times New Roman" w:cs="Times New Roman"/>
        </w:rPr>
        <w:t xml:space="preserve"> </w:t>
      </w:r>
      <w:r w:rsidR="00012D02">
        <w:rPr>
          <w:rFonts w:ascii="Times New Roman" w:hAnsi="Times New Roman" w:cs="Times New Roman"/>
          <w:sz w:val="24"/>
          <w:szCs w:val="24"/>
        </w:rPr>
        <w:t>investigations</w:t>
      </w:r>
      <w:r w:rsidR="00EA3B2F" w:rsidRPr="006644AB">
        <w:rPr>
          <w:rFonts w:ascii="Times New Roman" w:hAnsi="Times New Roman" w:cs="Times New Roman"/>
          <w:sz w:val="24"/>
          <w:szCs w:val="24"/>
        </w:rPr>
        <w:t xml:space="preserve"> that were and were not further </w:t>
      </w:r>
      <w:r w:rsidR="00012D02">
        <w:rPr>
          <w:rFonts w:ascii="Times New Roman" w:hAnsi="Times New Roman" w:cs="Times New Roman"/>
          <w:sz w:val="24"/>
          <w:szCs w:val="24"/>
        </w:rPr>
        <w:t>substantiated</w:t>
      </w:r>
      <w:r w:rsidR="00EA3B2F" w:rsidRPr="006644AB">
        <w:rPr>
          <w:rFonts w:ascii="Times New Roman" w:hAnsi="Times New Roman" w:cs="Times New Roman"/>
          <w:sz w:val="24"/>
          <w:szCs w:val="24"/>
        </w:rPr>
        <w:t xml:space="preserve"> and is stratified by service type to include cases that received no services, received in-home services, and received out-of-home services.</w:t>
      </w:r>
      <w:r w:rsidR="00EA3B2F" w:rsidRPr="006644AB">
        <w:rPr>
          <w:rFonts w:ascii="Times New Roman" w:hAnsi="Times New Roman" w:cs="Times New Roman"/>
          <w:sz w:val="28"/>
          <w:szCs w:val="28"/>
        </w:rPr>
        <w:t xml:space="preserve"> </w:t>
      </w:r>
      <w:r w:rsidRPr="00442034">
        <w:rPr>
          <w:rFonts w:ascii="Times New Roman" w:hAnsi="Times New Roman" w:cs="Times New Roman"/>
          <w:sz w:val="24"/>
          <w:szCs w:val="24"/>
        </w:rPr>
        <w:t xml:space="preserve">The panel survey collected data in three waves: a baseline (Wave 1: April 2008-December 2009), an 18-month follow-up (Wave 2: October 2009-January 2011), and a 36-month follow-up (Wave 3: June 2011-December 2012). NSCAW II used a two-stage stratified sampling design, with stage one sampling nine strata. Eight of these strata represent states with the largest population of child welfare-involved youth, and the ninth stratum represents the remaining states. Within these strata, 86 primary sampling units (PSUs) were randomly selected. The second stage sampled CWS cases within the primary sampling units, with infants, youth receiving services, or youth in out-of-home care placement oversampled. Due to this oversampling, NSCAW II included analytic survey weights to correct for the unequal probability of being sampled and allow for a nationally representative comparison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{"citationID":"p3AXZBIn","properties":{"formattedCitation":"(Dolan et al. 2011)","plainCitation":"(Dolan et al. 2011)","noteIndex":0},"citationItems":[{"id":205,"uris":["http://zotero.org/users/7501598/items/2NAMUBV7"],"itemData":{"id":205,"type":"article-journal","container-title":"Washington, DC: Office of Planning, Research and Evaluation, Administration for Children and Families, US Department of Health and Human Services","journalAbbreviation":"Washington, DC: Office of Planning, Research and Evaluation, Administration for Children and Families, US Department of Health and Human Services","title":"NSCAW II baseline report: Introduction to NSCAW II final report","author":[{"family":"Dolan","given":"Melissa"},{"family":"Smith","given":"Keith"},{"family":"Casanueva","given":"Cecilia"},{"family":"Ringeisen","given":"Heather"},{"family":"P2320062930YC","given":"HHS"},{"family":"Dolan","given":"M"},{"family":"Smith","given":"K"},{"family":"Casanueva","given":"C"},{"family":"Ringeisen","given":"H"}],"issued":{"date-parts":[["2011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(Dolan et al. 2011)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2F507E0E" w14:textId="1564DE86" w:rsidR="00D45203" w:rsidRPr="00442034" w:rsidRDefault="00D45203" w:rsidP="00D45203">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Chapter </w:t>
      </w:r>
      <w:r w:rsidR="00940497" w:rsidRPr="00442034">
        <w:rPr>
          <w:rFonts w:ascii="Times New Roman" w:hAnsi="Times New Roman" w:cs="Times New Roman"/>
          <w:sz w:val="24"/>
          <w:szCs w:val="24"/>
        </w:rPr>
        <w:t>Four</w:t>
      </w:r>
      <w:r w:rsidRPr="00442034">
        <w:rPr>
          <w:rFonts w:ascii="Times New Roman" w:hAnsi="Times New Roman" w:cs="Times New Roman"/>
          <w:sz w:val="24"/>
          <w:szCs w:val="24"/>
        </w:rPr>
        <w:t xml:space="preserve"> uses data from the Oklahoma Successful Adulthood (OKSA) survey, collected by Dr. </w:t>
      </w:r>
      <w:r w:rsidR="00B66842">
        <w:rPr>
          <w:rFonts w:ascii="Times New Roman" w:hAnsi="Times New Roman" w:cs="Times New Roman"/>
          <w:sz w:val="24"/>
          <w:szCs w:val="24"/>
        </w:rPr>
        <w:t xml:space="preserve">Angela </w:t>
      </w:r>
      <w:r w:rsidRPr="00442034">
        <w:rPr>
          <w:rFonts w:ascii="Times New Roman" w:hAnsi="Times New Roman" w:cs="Times New Roman"/>
          <w:sz w:val="24"/>
          <w:szCs w:val="24"/>
        </w:rPr>
        <w:t xml:space="preserve">Pharris and her team at the University of Oklahoma. These data were part of a longitudinal study under contract with Oklahoma Human Services (OKDHS) to gather </w:t>
      </w:r>
      <w:r w:rsidRPr="00442034">
        <w:rPr>
          <w:rFonts w:ascii="Times New Roman" w:hAnsi="Times New Roman" w:cs="Times New Roman"/>
          <w:sz w:val="24"/>
          <w:szCs w:val="24"/>
        </w:rPr>
        <w:lastRenderedPageBreak/>
        <w:t xml:space="preserve">information on youth in the foster care system and their goals for a successful transition out of the system. The analysis focuses on baseline data (2020). All youth </w:t>
      </w:r>
      <w:proofErr w:type="gramStart"/>
      <w:r w:rsidRPr="00442034">
        <w:rPr>
          <w:rFonts w:ascii="Times New Roman" w:hAnsi="Times New Roman" w:cs="Times New Roman"/>
          <w:sz w:val="24"/>
          <w:szCs w:val="24"/>
        </w:rPr>
        <w:t>ages</w:t>
      </w:r>
      <w:proofErr w:type="gramEnd"/>
      <w:r w:rsidRPr="00442034">
        <w:rPr>
          <w:rFonts w:ascii="Times New Roman" w:hAnsi="Times New Roman" w:cs="Times New Roman"/>
          <w:sz w:val="24"/>
          <w:szCs w:val="24"/>
        </w:rPr>
        <w:t xml:space="preserve"> 14-18 years old with an open case in the child welfare system and placed in foster care were contacted by DHS staff via telephone and invited to complete an online survey. Shelter staff and group home or residential facility staff were also contacted to distribute the survey link. Individual-level case record data from the Statewide Automated Child Welfare Information System (SACWIS) were merged into the dataset and de-identified.</w:t>
      </w:r>
    </w:p>
    <w:p w14:paraId="3CDA2CBC" w14:textId="46EA7D8C" w:rsidR="00D45203" w:rsidRPr="00442034" w:rsidRDefault="00D45203" w:rsidP="00D45203">
      <w:pPr>
        <w:rPr>
          <w:rFonts w:ascii="Times New Roman" w:hAnsi="Times New Roman" w:cs="Times New Roman"/>
          <w:i/>
          <w:iCs/>
          <w:sz w:val="24"/>
          <w:szCs w:val="24"/>
        </w:rPr>
      </w:pPr>
      <w:r w:rsidRPr="00442034">
        <w:rPr>
          <w:rFonts w:ascii="Times New Roman" w:hAnsi="Times New Roman" w:cs="Times New Roman"/>
          <w:i/>
          <w:iCs/>
          <w:sz w:val="24"/>
          <w:szCs w:val="24"/>
        </w:rPr>
        <w:t>Methods</w:t>
      </w:r>
    </w:p>
    <w:p w14:paraId="3E6381DA" w14:textId="7E61DE29" w:rsidR="00D45203" w:rsidRPr="00442034" w:rsidRDefault="00D45203" w:rsidP="004E0B1D">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Chapter Two uses logistic regression models to examine the following research question: how do youth’s sexual orientation and the quality of their relationship with their primary caregiver affect their well-being </w:t>
      </w:r>
      <w:r w:rsidR="001153DC">
        <w:rPr>
          <w:rFonts w:ascii="Times New Roman" w:hAnsi="Times New Roman" w:cs="Times New Roman"/>
          <w:sz w:val="24"/>
          <w:szCs w:val="24"/>
        </w:rPr>
        <w:t>within the child welfare system</w:t>
      </w:r>
      <w:r w:rsidRPr="00442034">
        <w:rPr>
          <w:rFonts w:ascii="Times New Roman" w:hAnsi="Times New Roman" w:cs="Times New Roman"/>
          <w:sz w:val="24"/>
          <w:szCs w:val="24"/>
        </w:rPr>
        <w:t xml:space="preserve">? </w:t>
      </w:r>
      <w:r w:rsidR="00EF7BF6">
        <w:rPr>
          <w:rFonts w:ascii="Times New Roman" w:hAnsi="Times New Roman" w:cs="Times New Roman"/>
          <w:sz w:val="24"/>
          <w:szCs w:val="24"/>
        </w:rPr>
        <w:t xml:space="preserve">We </w:t>
      </w:r>
      <w:r w:rsidR="001D1518">
        <w:rPr>
          <w:rFonts w:ascii="Times New Roman" w:hAnsi="Times New Roman" w:cs="Times New Roman"/>
          <w:sz w:val="24"/>
          <w:szCs w:val="24"/>
        </w:rPr>
        <w:t>first examined bivariate comparisons of internalizing and externalizing behavior problems</w:t>
      </w:r>
      <w:r w:rsidR="00A048C4">
        <w:rPr>
          <w:rFonts w:ascii="Times New Roman" w:hAnsi="Times New Roman" w:cs="Times New Roman"/>
          <w:sz w:val="24"/>
          <w:szCs w:val="24"/>
        </w:rPr>
        <w:t xml:space="preserve"> between LGBQ youth and non-LGBQ youth. We then </w:t>
      </w:r>
      <w:r w:rsidR="00EF7BF6">
        <w:rPr>
          <w:rFonts w:ascii="Times New Roman" w:hAnsi="Times New Roman" w:cs="Times New Roman"/>
          <w:sz w:val="24"/>
          <w:szCs w:val="24"/>
        </w:rPr>
        <w:t>used logistic regression analyses to examine whether youth’s sexual orientation and the quality of their relationship with their caregiver</w:t>
      </w:r>
      <w:r w:rsidR="00FF18BA">
        <w:rPr>
          <w:rFonts w:ascii="Times New Roman" w:hAnsi="Times New Roman" w:cs="Times New Roman"/>
          <w:sz w:val="24"/>
          <w:szCs w:val="24"/>
        </w:rPr>
        <w:t xml:space="preserve"> predicted differences in internalizing and externalizing behavior problems at Wave Three of the NSCAW II data</w:t>
      </w:r>
      <w:r w:rsidR="0029569A">
        <w:rPr>
          <w:rFonts w:ascii="Times New Roman" w:hAnsi="Times New Roman" w:cs="Times New Roman"/>
          <w:sz w:val="24"/>
          <w:szCs w:val="24"/>
        </w:rPr>
        <w:t xml:space="preserve">, controlling for age, sex, race, internalizing and externalizing behaviors at Wave </w:t>
      </w:r>
      <w:r w:rsidR="001D1518">
        <w:rPr>
          <w:rFonts w:ascii="Times New Roman" w:hAnsi="Times New Roman" w:cs="Times New Roman"/>
          <w:sz w:val="24"/>
          <w:szCs w:val="24"/>
        </w:rPr>
        <w:t xml:space="preserve">One, and whether the youth were currently in out-of-home care. </w:t>
      </w:r>
      <w:r w:rsidR="00A048C4">
        <w:rPr>
          <w:rFonts w:ascii="Times New Roman" w:hAnsi="Times New Roman" w:cs="Times New Roman"/>
          <w:sz w:val="24"/>
          <w:szCs w:val="24"/>
        </w:rPr>
        <w:t xml:space="preserve">Finally, we used an interaction term between youth’s sexual orientation and the quality of the relationship with their caregiver to determine whether </w:t>
      </w:r>
      <w:r w:rsidR="00B66842">
        <w:rPr>
          <w:rFonts w:ascii="Times New Roman" w:hAnsi="Times New Roman" w:cs="Times New Roman"/>
          <w:sz w:val="24"/>
          <w:szCs w:val="24"/>
        </w:rPr>
        <w:t xml:space="preserve">the effects of </w:t>
      </w:r>
      <w:r w:rsidR="00BF4ABC">
        <w:rPr>
          <w:rFonts w:ascii="Times New Roman" w:hAnsi="Times New Roman" w:cs="Times New Roman"/>
          <w:sz w:val="24"/>
          <w:szCs w:val="24"/>
        </w:rPr>
        <w:t xml:space="preserve">caregiver relationship </w:t>
      </w:r>
      <w:r w:rsidR="00B66842">
        <w:rPr>
          <w:rFonts w:ascii="Times New Roman" w:hAnsi="Times New Roman" w:cs="Times New Roman"/>
          <w:sz w:val="24"/>
          <w:szCs w:val="24"/>
        </w:rPr>
        <w:t xml:space="preserve">on </w:t>
      </w:r>
      <w:r w:rsidR="00BF4ABC">
        <w:rPr>
          <w:rFonts w:ascii="Times New Roman" w:hAnsi="Times New Roman" w:cs="Times New Roman"/>
          <w:sz w:val="24"/>
          <w:szCs w:val="24"/>
        </w:rPr>
        <w:t>behavior problems differ</w:t>
      </w:r>
      <w:r w:rsidR="00B66842">
        <w:rPr>
          <w:rFonts w:ascii="Times New Roman" w:hAnsi="Times New Roman" w:cs="Times New Roman"/>
          <w:sz w:val="24"/>
          <w:szCs w:val="24"/>
        </w:rPr>
        <w:t>s</w:t>
      </w:r>
      <w:r w:rsidR="00BF4ABC">
        <w:rPr>
          <w:rFonts w:ascii="Times New Roman" w:hAnsi="Times New Roman" w:cs="Times New Roman"/>
          <w:sz w:val="24"/>
          <w:szCs w:val="24"/>
        </w:rPr>
        <w:t xml:space="preserve"> for LGBQ youth compared to heterosexual youth.</w:t>
      </w:r>
    </w:p>
    <w:p w14:paraId="0A795E24" w14:textId="09828DB1" w:rsidR="00D45203" w:rsidRPr="00442034" w:rsidRDefault="00D45203" w:rsidP="00D45203">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Chapter </w:t>
      </w:r>
      <w:r w:rsidR="00940497" w:rsidRPr="00442034">
        <w:rPr>
          <w:rFonts w:ascii="Times New Roman" w:hAnsi="Times New Roman" w:cs="Times New Roman"/>
          <w:sz w:val="24"/>
          <w:szCs w:val="24"/>
        </w:rPr>
        <w:t>Three</w:t>
      </w:r>
      <w:r w:rsidRPr="00442034">
        <w:rPr>
          <w:rFonts w:ascii="Times New Roman" w:hAnsi="Times New Roman" w:cs="Times New Roman"/>
          <w:sz w:val="24"/>
          <w:szCs w:val="24"/>
        </w:rPr>
        <w:t xml:space="preserve"> asks two research questions. First, how do the future expectations of LGBQ youth involved in the child welfare system </w:t>
      </w:r>
      <w:proofErr w:type="gramStart"/>
      <w:r w:rsidRPr="00442034">
        <w:rPr>
          <w:rFonts w:ascii="Times New Roman" w:hAnsi="Times New Roman" w:cs="Times New Roman"/>
          <w:sz w:val="24"/>
          <w:szCs w:val="24"/>
        </w:rPr>
        <w:t>compare</w:t>
      </w:r>
      <w:proofErr w:type="gramEnd"/>
      <w:r w:rsidRPr="00442034">
        <w:rPr>
          <w:rFonts w:ascii="Times New Roman" w:hAnsi="Times New Roman" w:cs="Times New Roman"/>
          <w:sz w:val="24"/>
          <w:szCs w:val="24"/>
        </w:rPr>
        <w:t xml:space="preserve"> to their heterosexual peers? Second, how does social support from caregivers and peers moderate these future expectations for LGBQ and heterosexual youth? To examine this, we first analyzed bivariate comparisons for future </w:t>
      </w:r>
      <w:r w:rsidRPr="00442034">
        <w:rPr>
          <w:rFonts w:ascii="Times New Roman" w:hAnsi="Times New Roman" w:cs="Times New Roman"/>
          <w:sz w:val="24"/>
          <w:szCs w:val="24"/>
        </w:rPr>
        <w:lastRenderedPageBreak/>
        <w:t xml:space="preserve">expectations, sexual orientation, peer support, and youth’s relationship with their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Then, we use multinomial logistic regression analyses to measure whether sexual orientation predicts differences in future expectations, using interaction terms to examine whether peer and caregiver supports affect LGBQ youth differently. Rather than ordered logistic regression analyses, which often violate the parallel line assumption, multinomial logistic regression is most often used for dependent variables that have no inherent ordered structure but can also be used for ordered variables. These models fit multiple binary logistic regression models simultaneously for comparisons among each alternative of the dependent variable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{"citationID":"VJnp6Jiz","properties":{"formattedCitation":"(Long and Freese 2001)","plainCitation":"(Long and Freese 2001)","noteIndex":0},"citationItems":[{"id":1967,"uris":["http://zotero.org/users/7501598/items/E4HHKGLT"],"itemData":{"id":1967,"type":"book","abstract":"Regression Models for Categorical Dependent Variables Using Stata, 2nd Edition, by J. Scott Long and Jeremy Freese, shows how to fit and interpret regression models for categorical data with Stata. Nearly 50% longer than the previous edition, the book covers new topics for fitting and interpretating models included in Stata 9, such as multinomial probit models, the stereotype logistic model, and zero-truncated count models. Many of the interpretation techniques have been updated to include interval as well as point estimates.","source":"ResearchGate","title":"Regression Models for Categorical and Dependent Variables Using STATA","author":[{"family":"Long","given":"J Scott"},{"family":"Freese","given":"Jeremy"}],"issued":{"date-parts":[["2001",1,1]]}}}],"schema":"https://github.com/citation-style-language/schema/raw/master/csl-citation.json"}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(Long and Freese 2001)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After running these models for each of the </w:t>
      </w:r>
      <w:r w:rsidR="00360ED7">
        <w:rPr>
          <w:rFonts w:ascii="Times New Roman" w:hAnsi="Times New Roman" w:cs="Times New Roman"/>
          <w:sz w:val="24"/>
          <w:szCs w:val="24"/>
        </w:rPr>
        <w:t>three</w:t>
      </w:r>
      <w:r w:rsidR="00360ED7" w:rsidRPr="00442034">
        <w:rPr>
          <w:rFonts w:ascii="Times New Roman" w:hAnsi="Times New Roman" w:cs="Times New Roman"/>
          <w:sz w:val="24"/>
          <w:szCs w:val="24"/>
        </w:rPr>
        <w:t xml:space="preserve"> </w:t>
      </w:r>
      <w:r w:rsidRPr="00442034">
        <w:rPr>
          <w:rFonts w:ascii="Times New Roman" w:hAnsi="Times New Roman" w:cs="Times New Roman"/>
          <w:sz w:val="24"/>
          <w:szCs w:val="24"/>
        </w:rPr>
        <w:t xml:space="preserve">future expectations (having a family, getting married by twenty-five, and living to thirty-five), we also run subsequent models to examine whether peer support and youth’s relationship with their caregiver moderates these expectations. </w:t>
      </w:r>
    </w:p>
    <w:p w14:paraId="28DE2193" w14:textId="6E190FF1" w:rsidR="00940497" w:rsidRDefault="00940497" w:rsidP="00940497">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Chapter Four focuses on three research questions: (1) For youth in foster care, how do LGB youth compare to their non-LGB counterparts on ACEs and the relationship of the caseworker as an external locus of hope? (2) For youth in foster care, how is LGB identity associated with caseworkers as an external locus of hope controlling for other factors, including ACEs? (3) Finally, for youth in foster care, how do high ACEs and LGB status interact to influence hope in the caseworker?  To answer these questions, we first examined bivariate comparisons of both ACEs and hope in their caseworker between LGB youth and non-LGB youth. We used a two-sample test for significant differences in means between these two groups. We then conducted three stepwise OLS regression analyses. Our first model examined the association of youth’s sexual orientation with the caseworker as a source of hope, controlling for sex and race. We then examined the effect of having high ACEs (eight or more) on youth’s hope in their caseworker by including it in our second model. Finally, we examined the interaction </w:t>
      </w:r>
      <w:r w:rsidRPr="00442034">
        <w:rPr>
          <w:rFonts w:ascii="Times New Roman" w:hAnsi="Times New Roman" w:cs="Times New Roman"/>
          <w:sz w:val="24"/>
          <w:szCs w:val="24"/>
        </w:rPr>
        <w:lastRenderedPageBreak/>
        <w:t xml:space="preserve">effect of LGB status and having high ACEs on the caseworker as a source of hope in our final model. </w:t>
      </w:r>
    </w:p>
    <w:p w14:paraId="33B40501" w14:textId="7F05F84A" w:rsidR="007F7437" w:rsidRPr="00442034" w:rsidRDefault="007F7437" w:rsidP="0094049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Together these chapters focus on an understudied topic in sociology (child welfare), an understudied group in child welfare (LGBQ youth</w:t>
      </w:r>
      <w:r w:rsidR="007441F5">
        <w:rPr>
          <w:rFonts w:ascii="Times New Roman" w:hAnsi="Times New Roman" w:cs="Times New Roman"/>
          <w:sz w:val="24"/>
          <w:szCs w:val="24"/>
        </w:rPr>
        <w:t>) and</w:t>
      </w:r>
      <w:r w:rsidR="00BF4ABC">
        <w:rPr>
          <w:rFonts w:ascii="Times New Roman" w:hAnsi="Times New Roman" w:cs="Times New Roman"/>
          <w:sz w:val="24"/>
          <w:szCs w:val="24"/>
        </w:rPr>
        <w:t xml:space="preserve"> </w:t>
      </w:r>
      <w:r w:rsidR="0015174D">
        <w:rPr>
          <w:rFonts w:ascii="Times New Roman" w:hAnsi="Times New Roman" w:cs="Times New Roman"/>
          <w:sz w:val="24"/>
          <w:szCs w:val="24"/>
        </w:rPr>
        <w:t>utilize</w:t>
      </w:r>
      <w:r w:rsidR="00BF4ABC">
        <w:rPr>
          <w:rFonts w:ascii="Times New Roman" w:hAnsi="Times New Roman" w:cs="Times New Roman"/>
          <w:sz w:val="24"/>
          <w:szCs w:val="24"/>
        </w:rPr>
        <w:t xml:space="preserve"> a strengths-based approach to understanding </w:t>
      </w:r>
      <w:r w:rsidR="00D16D11">
        <w:rPr>
          <w:rFonts w:ascii="Times New Roman" w:hAnsi="Times New Roman" w:cs="Times New Roman"/>
          <w:sz w:val="24"/>
          <w:szCs w:val="24"/>
        </w:rPr>
        <w:t>how to improve well-being among this population</w:t>
      </w:r>
      <w:r w:rsidR="00674C25">
        <w:rPr>
          <w:rFonts w:ascii="Times New Roman" w:hAnsi="Times New Roman" w:cs="Times New Roman"/>
          <w:sz w:val="24"/>
          <w:szCs w:val="24"/>
        </w:rPr>
        <w:t>. They rely on quantitative methods appropriate for the question</w:t>
      </w:r>
      <w:r w:rsidR="00AD2B2F">
        <w:rPr>
          <w:rFonts w:ascii="Times New Roman" w:hAnsi="Times New Roman" w:cs="Times New Roman"/>
          <w:sz w:val="24"/>
          <w:szCs w:val="24"/>
        </w:rPr>
        <w:t>s being asked, and they contribute to our understanding of the well-being of a particularly vulnerable group of youth.</w:t>
      </w:r>
    </w:p>
    <w:p w14:paraId="17ECA8A1" w14:textId="31EF2F6C" w:rsidR="00D45203" w:rsidRPr="00442034" w:rsidRDefault="00D45203" w:rsidP="00D45203">
      <w:pPr>
        <w:rPr>
          <w:rFonts w:ascii="Times New Roman" w:hAnsi="Times New Roman" w:cs="Times New Roman"/>
          <w:sz w:val="24"/>
          <w:szCs w:val="24"/>
        </w:rPr>
      </w:pPr>
      <w:r w:rsidRPr="00442034">
        <w:rPr>
          <w:rFonts w:ascii="Times New Roman" w:hAnsi="Times New Roman" w:cs="Times New Roman"/>
          <w:sz w:val="24"/>
          <w:szCs w:val="24"/>
        </w:rPr>
        <w:t>CONCLUSION</w:t>
      </w:r>
    </w:p>
    <w:p w14:paraId="2691F21F" w14:textId="69EC92D3" w:rsidR="00FD0691" w:rsidRPr="00442034" w:rsidRDefault="00D45203" w:rsidP="00FD0691">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The goal of this dissertation is to bring attention to the disparities faced by LGBQ youth within the child welfare system, using a sociological lens. Sociology has established itself as a discipline focused on structural and institutional inequities, making this topic a ripe area to explore given the disproportionality and disparities faced by LGBQ youth within child welfare. </w:t>
      </w:r>
      <w:r w:rsidR="00E5316D" w:rsidRPr="00442034">
        <w:rPr>
          <w:rFonts w:ascii="Times New Roman" w:hAnsi="Times New Roman" w:cs="Times New Roman"/>
          <w:sz w:val="24"/>
          <w:szCs w:val="24"/>
        </w:rPr>
        <w:t>This chapter provides a history of the child welfare system and the inequities faced by marginalized youth</w:t>
      </w:r>
      <w:r w:rsidR="003B5717" w:rsidRPr="00442034">
        <w:rPr>
          <w:rFonts w:ascii="Times New Roman" w:hAnsi="Times New Roman" w:cs="Times New Roman"/>
          <w:sz w:val="24"/>
          <w:szCs w:val="24"/>
        </w:rPr>
        <w:t>, such as impoverished youth, youth of color, and LGBQ youth</w:t>
      </w:r>
      <w:r w:rsidR="004F5B55" w:rsidRPr="00442034">
        <w:rPr>
          <w:rFonts w:ascii="Times New Roman" w:hAnsi="Times New Roman" w:cs="Times New Roman"/>
          <w:sz w:val="24"/>
          <w:szCs w:val="24"/>
        </w:rPr>
        <w:t xml:space="preserve"> that gives insight into how sociolo</w:t>
      </w:r>
      <w:r w:rsidR="00DC765B" w:rsidRPr="00442034">
        <w:rPr>
          <w:rFonts w:ascii="Times New Roman" w:hAnsi="Times New Roman" w:cs="Times New Roman"/>
          <w:sz w:val="24"/>
          <w:szCs w:val="24"/>
        </w:rPr>
        <w:t xml:space="preserve">gy is well-equipped </w:t>
      </w:r>
      <w:r w:rsidR="00BB1411" w:rsidRPr="00442034">
        <w:rPr>
          <w:rFonts w:ascii="Times New Roman" w:hAnsi="Times New Roman" w:cs="Times New Roman"/>
          <w:sz w:val="24"/>
          <w:szCs w:val="24"/>
        </w:rPr>
        <w:t>to examine</w:t>
      </w:r>
      <w:r w:rsidR="00DC765B" w:rsidRPr="00442034">
        <w:rPr>
          <w:rFonts w:ascii="Times New Roman" w:hAnsi="Times New Roman" w:cs="Times New Roman"/>
          <w:sz w:val="24"/>
          <w:szCs w:val="24"/>
        </w:rPr>
        <w:t xml:space="preserve"> LGBQ youth in child welfare </w:t>
      </w:r>
      <w:r w:rsidR="00302870" w:rsidRPr="00442034">
        <w:rPr>
          <w:rFonts w:ascii="Times New Roman" w:hAnsi="Times New Roman" w:cs="Times New Roman"/>
          <w:sz w:val="24"/>
          <w:szCs w:val="24"/>
        </w:rPr>
        <w:t xml:space="preserve">and the issues they face </w:t>
      </w:r>
      <w:r w:rsidR="00DC765B" w:rsidRPr="00442034">
        <w:rPr>
          <w:rFonts w:ascii="Times New Roman" w:hAnsi="Times New Roman" w:cs="Times New Roman"/>
          <w:sz w:val="24"/>
          <w:szCs w:val="24"/>
        </w:rPr>
        <w:t xml:space="preserve">as </w:t>
      </w:r>
      <w:r w:rsidR="00BB1411" w:rsidRPr="00442034">
        <w:rPr>
          <w:rFonts w:ascii="Times New Roman" w:hAnsi="Times New Roman" w:cs="Times New Roman"/>
          <w:sz w:val="24"/>
          <w:szCs w:val="24"/>
        </w:rPr>
        <w:t>a structural issue</w:t>
      </w:r>
      <w:r w:rsidR="00101E1B" w:rsidRPr="00442034">
        <w:rPr>
          <w:rFonts w:ascii="Times New Roman" w:hAnsi="Times New Roman" w:cs="Times New Roman"/>
          <w:sz w:val="24"/>
          <w:szCs w:val="24"/>
        </w:rPr>
        <w:t xml:space="preserve">. Additionally, I hope to draw attention to the various characteristics such as social support that can improve this population’s well-being and transition from the system into adulthood. </w:t>
      </w:r>
      <w:r w:rsidR="00FD0691" w:rsidRPr="00442034">
        <w:rPr>
          <w:rFonts w:ascii="Times New Roman" w:hAnsi="Times New Roman" w:cs="Times New Roman"/>
          <w:sz w:val="24"/>
          <w:szCs w:val="24"/>
        </w:rPr>
        <w:t xml:space="preserve">Social support is considered a protective factor against the adverse outcomes of involvement in </w:t>
      </w:r>
      <w:r w:rsidR="007D2303" w:rsidRPr="00442034">
        <w:rPr>
          <w:rFonts w:ascii="Times New Roman" w:hAnsi="Times New Roman" w:cs="Times New Roman"/>
          <w:sz w:val="24"/>
          <w:szCs w:val="24"/>
        </w:rPr>
        <w:t>the system</w:t>
      </w:r>
      <w:r w:rsidR="00426098" w:rsidRPr="00442034">
        <w:rPr>
          <w:rFonts w:ascii="Times New Roman" w:hAnsi="Times New Roman" w:cs="Times New Roman"/>
          <w:sz w:val="24"/>
          <w:szCs w:val="24"/>
        </w:rPr>
        <w:t xml:space="preserve">, such as substance abuse, lower likelihoods of permanency, and </w:t>
      </w:r>
      <w:r w:rsidR="00D16C2E" w:rsidRPr="00442034">
        <w:rPr>
          <w:rFonts w:ascii="Times New Roman" w:hAnsi="Times New Roman" w:cs="Times New Roman"/>
          <w:sz w:val="24"/>
          <w:szCs w:val="24"/>
        </w:rPr>
        <w:t xml:space="preserve">higher rates of depression and anxiety </w:t>
      </w:r>
      <w:r w:rsidR="009944CB"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{"citationID":"5LUSInzJ","properties":{"formattedCitation":"(Collins et al. 2010; Traube et al. 2012)","plainCitation":"(Collins et al. 2010; Traube et al. 2012)","noteIndex":0},"citationItems":[{"id":434,"uris":["http://zotero.org/users/7501598/items/8FTLU6W7"],"itemData":{"id":434,"type":"article-journal","abstract":"Social support is needed by everyone, but particularly by vulnerable populations at times of transition. This study utilizes data collected from 96 former foster youth regarding supports they received during the transition from care. The report addresses three questions: (1) What types of supportive relationships did the sample report? (2) What are the characteristics of supportive relationships? (3) What is the relationship of social support to outcomes? Based on the analysis, the authors draw implications for intervention and research.","container-title":"Child welfare","journalAbbreviation":"Child welfare","page":"125-43","source":"ResearchGate","title":"Supporting Youth in the Transition from Foster Care: Formal and Informal Connections","title-short":"Supporting Youth in the Transition from Foster Care","volume":"89","author":[{"family":"Collins","given":"Mary"},{"family":"Spencer","given":"Renée"},{"family":"Ward","given":"Rolanda"}],"issued":{"date-parts":[["2010",1,1]]}}},{"id":254,"uris":["http://zotero.org/users/7501598/items/4DLQDS4M"],"itemData":{"id":254,"type":"article-journal","abstract":"While child welfare services are intended, in part, to diminish maltreatment's negative impact on adolescents' development, there is evidence that receiving child welfare services affects adolescents' substance use adversely. The literature on the extent and correlates of this problem is still emerging. The present study aims to fill part of this gap by examining the association between baseline psychosocial risk and protective factors on engagement in substance use behavior over a period of 36months for child welfare involved youth. It further compares substance use behavior between youth placed in out-of-home care and those who remained with their biological families. Data come from the National Survey of Child and Adolescent Well-Being (NSCAW), a national probability study of children and adolescents undergoing investigation for abuse or neglect. The sample for this analysis was restricted to 827 youth who were 11years or older at baseline data collection. Key findings include a high rate of social substance use (47.7%) and illicit substance use (17.4%). There was a limited role of protective factors in mitigating risk behavior for social substance use (caregiver connectedness; OR=0.51, p&lt;0.05). Avoiding foster care placement was a protective factor for illicit substance use (OR=0.43, p&lt;0.05). Delinquency was a risk factor associated with both social substance use (OR=1.06, p&lt;0.01) and hard substance use (OR=1.10, p&lt;0.001). Given the high prevalence of substance use among child welfare involved youth, prevention efforts for this population require a better understanding of biological, psychological, and social protective factors. The child welfare system is an untapped resource that has the potential to be a gateway to and a platform for substance abuse prevention services that should be incorporated into child welfare safety and permanency interventions.","container-title":"Addictive Behaviors","DOI":"10.1016/j.addbeh.2012.01.015","ISSN":"0306-4603","issue":"5","journalAbbreviation":"Addictive Behaviors","language":"en","page":"641-650","source":"ScienceDirect","title":"A national study of risk and protective factors for substance use among youth in the child welfare system","volume":"37","author":[{"family":"Traube","given":"Dorian E."},{"family":"James","given":"Sigrid"},{"family":"Zhang","given":"Jinjin"},{"family":"Landsverk","given":"John"}],"issued":{"date-parts":[["2012",5,1]]}}}],"schema":"https://github.com/citation-style-language/schema/raw/master/csl-citation.json"} </w:instrText>
      </w:r>
      <w:r w:rsidR="009944CB" w:rsidRPr="00442034">
        <w:rPr>
          <w:rFonts w:ascii="Times New Roman" w:hAnsi="Times New Roman" w:cs="Times New Roman"/>
          <w:sz w:val="24"/>
          <w:szCs w:val="24"/>
        </w:rPr>
        <w:fldChar w:fldCharType="separate"/>
      </w:r>
      <w:r w:rsidR="008403F3" w:rsidRPr="00442034">
        <w:rPr>
          <w:rFonts w:ascii="Times New Roman" w:hAnsi="Times New Roman" w:cs="Times New Roman"/>
          <w:noProof/>
          <w:sz w:val="24"/>
          <w:szCs w:val="24"/>
        </w:rPr>
        <w:t>(Collins et al. 2010; Traube et al. 2012)</w:t>
      </w:r>
      <w:r w:rsidR="009944CB" w:rsidRPr="00442034">
        <w:rPr>
          <w:rFonts w:ascii="Times New Roman" w:hAnsi="Times New Roman" w:cs="Times New Roman"/>
          <w:sz w:val="24"/>
          <w:szCs w:val="24"/>
        </w:rPr>
        <w:fldChar w:fldCharType="end"/>
      </w:r>
      <w:r w:rsidR="006A336C" w:rsidRPr="00442034">
        <w:rPr>
          <w:rFonts w:ascii="Times New Roman" w:hAnsi="Times New Roman" w:cs="Times New Roman"/>
          <w:sz w:val="24"/>
          <w:szCs w:val="24"/>
        </w:rPr>
        <w:t xml:space="preserve">. Protective </w:t>
      </w:r>
      <w:r w:rsidR="00D8596A" w:rsidRPr="00442034">
        <w:rPr>
          <w:rFonts w:ascii="Times New Roman" w:hAnsi="Times New Roman" w:cs="Times New Roman"/>
          <w:sz w:val="24"/>
          <w:szCs w:val="24"/>
        </w:rPr>
        <w:t xml:space="preserve">factors </w:t>
      </w:r>
      <w:r w:rsidR="001E0F48" w:rsidRPr="00442034">
        <w:rPr>
          <w:rFonts w:ascii="Times New Roman" w:hAnsi="Times New Roman" w:cs="Times New Roman"/>
          <w:sz w:val="24"/>
          <w:szCs w:val="24"/>
        </w:rPr>
        <w:t xml:space="preserve">are </w:t>
      </w:r>
      <w:r w:rsidR="00720712" w:rsidRPr="00442034">
        <w:rPr>
          <w:rFonts w:ascii="Times New Roman" w:hAnsi="Times New Roman" w:cs="Times New Roman"/>
          <w:sz w:val="24"/>
          <w:szCs w:val="24"/>
        </w:rPr>
        <w:t xml:space="preserve">characteristics that </w:t>
      </w:r>
      <w:r w:rsidR="00EE21CA" w:rsidRPr="00442034">
        <w:rPr>
          <w:rFonts w:ascii="Times New Roman" w:hAnsi="Times New Roman" w:cs="Times New Roman"/>
          <w:sz w:val="24"/>
          <w:szCs w:val="24"/>
        </w:rPr>
        <w:t xml:space="preserve">decrease the likelihood of </w:t>
      </w:r>
      <w:r w:rsidR="00011656" w:rsidRPr="00442034">
        <w:rPr>
          <w:rFonts w:ascii="Times New Roman" w:hAnsi="Times New Roman" w:cs="Times New Roman"/>
          <w:sz w:val="24"/>
          <w:szCs w:val="24"/>
        </w:rPr>
        <w:t xml:space="preserve">behavioral problems and increase positive behaviors and well-being </w:t>
      </w:r>
      <w:r w:rsidR="009C483D"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{"citationID":"KjzzFZVf","properties":{"formattedCitation":"(Catalano et al. 1999)","plainCitation":"(Catalano et al. 1999)","noteIndex":0},"citationItems":[{"id":417,"uris":["http://zotero.org/users/7501598/items/N9P5YNWU",["http://zotero.org/users/7501598/items/N9P5YNWU"]],"itemData":{"id":417,"type":"article-journal","abstract":"Background This paper presents a test of the social development model which is a general theory of human behaviour that hypothesizes that similar developmental processes lead to either prosocial or antisocial outcomes. The model is a synthesis of social learning, social control and differential association theories. Earlier papers have examined the fit of the model during adolescence, but the model has not been tested in childhood. Method This paper examines the fit of a modified version of the model measuring social development constructs in the family in predicting early antisocial behaviour in primary school. The model is tested with data from the Raising Healthy Children project, a longitudinal study of the aetiology of positive and problem behaviour with an experimental intervention nested within the study. Results In the first analysis the prosocial path of the SDM was examined; the model fitted well, and explained 25% of the variance in early antisocial behaviour. However, the path between skills and rewards from the family was not significant, and a better fit was obtained when the model included two additional paths from skills to beliefs and skills to antisocial behaviour. In the second analysis the sample was split into two groups, those whose parents modelled problem behaviour and those who did not. Conclusions Two differences emerged between the two groups. First, the strength of the path between skills and problem behaviour was significantly stronger for children whose parents modelled problem behaviours. Second, the path between belief in family values and antisocial behaviours was not significant for children whose parents modelled problem behaviour. The implications for theory and practice are discussed. Copyright © 1999 Whurr Publishers Ltd.","container-title":"Criminal Behaviour and Mental Health","DOI":"10.1002/cbm.290","ISSN":"1471-2857","issue":"1","language":"en","note":"_eprint: https://onlinelibrary.wiley.com/doi/pdf/10.1002/cbm.290","page":"39-56","source":"Wiley Online Library","title":"A test of the social development model to predict problem behaviour during the elementary school period","volume":"9","author":[{"family":"Catalano","given":"Richard F."},{"family":"Oxford","given":"Monica L."},{"family":"Harachi","given":"Tracy W."},{"family":"Abbott","given":"Robert D."},{"family":"Haggerty","given":"Kevin P."}],"issued":{"date-parts":[["1999"]]}}}],"schema":"https://github.com/citation-style-language/schema/raw/master/csl-citation.json"} </w:instrText>
      </w:r>
      <w:r w:rsidR="009C483D" w:rsidRPr="00442034">
        <w:rPr>
          <w:rFonts w:ascii="Times New Roman" w:hAnsi="Times New Roman" w:cs="Times New Roman"/>
          <w:sz w:val="24"/>
          <w:szCs w:val="24"/>
        </w:rPr>
        <w:fldChar w:fldCharType="separate"/>
      </w:r>
      <w:r w:rsidR="009C483D" w:rsidRPr="00442034">
        <w:rPr>
          <w:rFonts w:ascii="Times New Roman" w:hAnsi="Times New Roman" w:cs="Times New Roman"/>
          <w:noProof/>
          <w:sz w:val="24"/>
          <w:szCs w:val="24"/>
        </w:rPr>
        <w:t>(Catalano et al. 1999)</w:t>
      </w:r>
      <w:r w:rsidR="009C483D" w:rsidRPr="00442034">
        <w:rPr>
          <w:rFonts w:ascii="Times New Roman" w:hAnsi="Times New Roman" w:cs="Times New Roman"/>
          <w:sz w:val="24"/>
          <w:szCs w:val="24"/>
        </w:rPr>
        <w:fldChar w:fldCharType="end"/>
      </w:r>
      <w:r w:rsidR="009C483D" w:rsidRPr="00442034">
        <w:rPr>
          <w:rFonts w:ascii="Times New Roman" w:hAnsi="Times New Roman" w:cs="Times New Roman"/>
          <w:sz w:val="24"/>
          <w:szCs w:val="24"/>
        </w:rPr>
        <w:t xml:space="preserve">. According to the linked lives principle and the social-ecological theory of development, social support from caregivers, peers, and professional staff may be </w:t>
      </w:r>
      <w:r w:rsidR="00957A9E" w:rsidRPr="00442034">
        <w:rPr>
          <w:rFonts w:ascii="Times New Roman" w:hAnsi="Times New Roman" w:cs="Times New Roman"/>
          <w:sz w:val="24"/>
          <w:szCs w:val="24"/>
        </w:rPr>
        <w:t xml:space="preserve">a </w:t>
      </w:r>
      <w:r w:rsidR="00B03558" w:rsidRPr="00442034">
        <w:rPr>
          <w:rFonts w:ascii="Times New Roman" w:hAnsi="Times New Roman" w:cs="Times New Roman"/>
          <w:sz w:val="24"/>
          <w:szCs w:val="24"/>
        </w:rPr>
        <w:t>crucial</w:t>
      </w:r>
      <w:r w:rsidR="00957A9E" w:rsidRPr="00442034">
        <w:rPr>
          <w:rFonts w:ascii="Times New Roman" w:hAnsi="Times New Roman" w:cs="Times New Roman"/>
          <w:sz w:val="24"/>
          <w:szCs w:val="24"/>
        </w:rPr>
        <w:t xml:space="preserve"> protective factor</w:t>
      </w:r>
      <w:r w:rsidR="00B03558" w:rsidRPr="00442034">
        <w:rPr>
          <w:rFonts w:ascii="Times New Roman" w:hAnsi="Times New Roman" w:cs="Times New Roman"/>
          <w:sz w:val="24"/>
          <w:szCs w:val="24"/>
        </w:rPr>
        <w:t xml:space="preserve"> in improving well-being among </w:t>
      </w:r>
      <w:r w:rsidR="008B7264" w:rsidRPr="00442034">
        <w:rPr>
          <w:rFonts w:ascii="Times New Roman" w:hAnsi="Times New Roman" w:cs="Times New Roman"/>
          <w:sz w:val="24"/>
          <w:szCs w:val="24"/>
        </w:rPr>
        <w:t xml:space="preserve">this </w:t>
      </w:r>
      <w:r w:rsidR="008B7264" w:rsidRPr="00442034">
        <w:rPr>
          <w:rFonts w:ascii="Times New Roman" w:hAnsi="Times New Roman" w:cs="Times New Roman"/>
          <w:sz w:val="24"/>
          <w:szCs w:val="24"/>
        </w:rPr>
        <w:lastRenderedPageBreak/>
        <w:t>population</w:t>
      </w:r>
      <w:r w:rsidR="00274C65" w:rsidRPr="00442034">
        <w:rPr>
          <w:rFonts w:ascii="Times New Roman" w:hAnsi="Times New Roman" w:cs="Times New Roman"/>
          <w:sz w:val="24"/>
          <w:szCs w:val="24"/>
        </w:rPr>
        <w:t xml:space="preserve"> as youth development and outcomes are strongly tied to their environmental influences </w:t>
      </w:r>
      <w:r w:rsidR="00274C65"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{"citationID":"pxtpE3wZ","properties":{"formattedCitation":"(Bronfenbrenner 1979; Landes and Settersten 2019)","plainCitation":"(Bronfenbrenner 1979; Landes and Settersten 2019)","noteIndex":0},"citationItems":[{"id":183,"uris":["http://zotero.org/users/7501598/items/XETY7K64"],"itemData":{"id":183,"type":"book","abstract":"Here is a book that challenges the very basis of the way psychologists have studied child development. According to Urie Bronfenbrenner, one of the world’s foremost developmental psychologists, laboratory studies of the child’s behavior sacrifice too much in order to gain experimental control and analytic rigor. Laboratory observations, he argues, too often lead to “the science of the strange behavior of children in strange situations with strange adults for the briefest possible periods of time.” To understand the way children actually develop, Bronfenbrenner believes that it will be necessary to observe their behavior in natural settings, while they are interacting with familiar adults over prolonged periods of time. This book offers an important blueprint for constructing such a new and ecologically valid psychology of development. The blueprint includes a complete conceptual framework for analysing the layers of the environment that have a formative influence on the child. This framework is applied to a variety of settings in which children commonly develop, ranging from the pediatric ward to daycare, school, and various family configurations. The result is a rich set of hypotheses about the developmental consequences of various types of environments. Where current research bears on these hypotheses, Bronfenbrenner marshals the data to show how an ecological theory can be tested. Where no relevant data exist, he suggests new and interesting ecological experiments that might be undertaken to resolve current unknowns. Bronfenbrenner’s groundbreaking program for reform in developmental psychology is certain to be controversial. His argument flies in the face of standard psychological procedures and challenges psychology to become more relevant to the ways in which children actually develop. It is a challenge psychology can ill-afford to ignore.","ISBN":"978-0-674-22457-5","language":"en","note":"Google-Books-ID: OCmbzWka6xUC","number-of-pages":"352","publisher":"Harvard University Press","source":"Google Books","title":"The Ecology of Human Development: Experiments by Nature and Design","title-short":"The Ecology of Human Development","author":[{"family":"Bronfenbrenner","given":"Urie"}],"issued":{"date-parts":[["1979"]]}}},{"id":525,"uris":["http://zotero.org/users/7501598/items/48QAQ6VG"],"itemData":{"id":525,"type":"article-journal","abstract":"The notion that people make choices and take actions that determine the outcomes of their lives – human agency – is a central principle of the life course paradigm. Unfortunately, conceptualizations of agency, like larger developmental and sociological theories, often assume that agency is limited to individuals who are “developmentally normal.” We draw upon the thought of social scientists and disability scholars, as well as the life history of a woman with intellectual disability, to address the logical, ethical, and empirical flaws of this assumption. To rectify these problems, life course theory and research should pay greater attention to how agency is interwoven with another central principle of the life course paradigm: linked lives. This principle is that an individual’s life cannot be understood in isolation of their interdependencies with other persons. Although human agency and linked lives are discussed as separate principles of the life course, they are not separate in lived experience. We demonstrate that, for all people and at all times in life, human agency is dependent upon interpersonal relationships. It is therefore imperative to examine intersections of agency and linked lives in order to more fully and accurately understand life course dynamics in diverse populations. Human agency is profoundly affected by interpersonal relationships and other social factors. Because agency and linked lives are inseparable, agency cannot be conceptualized as an individual characteristic of ‘independent’ actors. We conclude by discussing how life course research can more fully attend to the relationship between agency and linked lives.","container-title":"Advances in Life Course Research","DOI":"10.1016/j.alcr.2019.100306","ISSN":"1040-2608","journalAbbreviation":"Advances in Life Course Research","language":"en","page":"100306","source":"ScienceDirect","title":"The inseparability of human agency and linked lives","volume":"42","author":[{"family":"Landes","given":"Scott D."},{"family":"Settersten","given":"Richard A."}],"issued":{"date-parts":[["2019",12,1]]}}}],"schema":"https://github.com/citation-style-language/schema/raw/master/csl-citation.json"} </w:instrText>
      </w:r>
      <w:r w:rsidR="00274C65" w:rsidRPr="00442034">
        <w:rPr>
          <w:rFonts w:ascii="Times New Roman" w:hAnsi="Times New Roman" w:cs="Times New Roman"/>
          <w:sz w:val="24"/>
          <w:szCs w:val="24"/>
        </w:rPr>
        <w:fldChar w:fldCharType="separate"/>
      </w:r>
      <w:r w:rsidR="00357975" w:rsidRPr="00442034">
        <w:rPr>
          <w:rFonts w:ascii="Times New Roman" w:hAnsi="Times New Roman" w:cs="Times New Roman"/>
          <w:noProof/>
          <w:sz w:val="24"/>
          <w:szCs w:val="24"/>
        </w:rPr>
        <w:t>(Bronfenbrenner 1979; Landes and Settersten 2019)</w:t>
      </w:r>
      <w:r w:rsidR="00274C65" w:rsidRPr="00442034">
        <w:rPr>
          <w:rFonts w:ascii="Times New Roman" w:hAnsi="Times New Roman" w:cs="Times New Roman"/>
          <w:sz w:val="24"/>
          <w:szCs w:val="24"/>
        </w:rPr>
        <w:fldChar w:fldCharType="end"/>
      </w:r>
      <w:r w:rsidR="00357975" w:rsidRPr="00442034">
        <w:rPr>
          <w:rFonts w:ascii="Times New Roman" w:hAnsi="Times New Roman" w:cs="Times New Roman"/>
          <w:sz w:val="24"/>
          <w:szCs w:val="24"/>
        </w:rPr>
        <w:t>.</w:t>
      </w:r>
    </w:p>
    <w:p w14:paraId="6D0DE34E" w14:textId="3B4EEA6F" w:rsidR="00D45203" w:rsidRPr="00442034" w:rsidRDefault="009F781B" w:rsidP="00957A9E">
      <w:pPr>
        <w:spacing w:line="480" w:lineRule="auto"/>
        <w:ind w:firstLine="720"/>
        <w:rPr>
          <w:rFonts w:ascii="Times New Roman" w:hAnsi="Times New Roman" w:cs="Times New Roman"/>
          <w:sz w:val="24"/>
          <w:szCs w:val="24"/>
        </w:rPr>
      </w:pPr>
      <w:r w:rsidRPr="00442034">
        <w:rPr>
          <w:rFonts w:ascii="Times New Roman" w:hAnsi="Times New Roman" w:cs="Times New Roman"/>
          <w:sz w:val="24"/>
          <w:szCs w:val="24"/>
        </w:rPr>
        <w:t xml:space="preserve">The analytic chapters of this dissertation explore </w:t>
      </w:r>
      <w:r w:rsidR="00E507F7" w:rsidRPr="00442034">
        <w:rPr>
          <w:rFonts w:ascii="Times New Roman" w:hAnsi="Times New Roman" w:cs="Times New Roman"/>
          <w:sz w:val="24"/>
          <w:szCs w:val="24"/>
        </w:rPr>
        <w:t xml:space="preserve">various forms of social support for LGBQ youth in child welfare. Chapter Two explores LGBQ youth’s relationship with their caregiver, Chapter Three examines both caregiver and peer support, and Chapter Four analyzes </w:t>
      </w:r>
      <w:r w:rsidR="009B4CAC" w:rsidRPr="00442034">
        <w:rPr>
          <w:rFonts w:ascii="Times New Roman" w:hAnsi="Times New Roman" w:cs="Times New Roman"/>
          <w:sz w:val="24"/>
          <w:szCs w:val="24"/>
        </w:rPr>
        <w:t xml:space="preserve">hope in the youth’s caseworker. </w:t>
      </w:r>
      <w:r w:rsidR="00094E34" w:rsidRPr="00442034">
        <w:rPr>
          <w:rFonts w:ascii="Times New Roman" w:hAnsi="Times New Roman" w:cs="Times New Roman"/>
          <w:sz w:val="24"/>
          <w:szCs w:val="24"/>
        </w:rPr>
        <w:t xml:space="preserve">The results of these analyses will reveal how these supports influence LGBQ youth’s well-being, their sense of hope, and their expectations for their future. </w:t>
      </w:r>
      <w:r w:rsidR="00D45203" w:rsidRPr="00442034">
        <w:rPr>
          <w:rFonts w:ascii="Times New Roman" w:hAnsi="Times New Roman" w:cs="Times New Roman"/>
          <w:sz w:val="24"/>
          <w:szCs w:val="24"/>
        </w:rPr>
        <w:t xml:space="preserve">These findings can be used to develop effective practices, interventions, and policies to improve well-being and promote a successful transition from the child welfare system into adulthood for an </w:t>
      </w:r>
      <w:r w:rsidR="00F82037" w:rsidRPr="00442034">
        <w:rPr>
          <w:rFonts w:ascii="Times New Roman" w:hAnsi="Times New Roman" w:cs="Times New Roman"/>
          <w:sz w:val="24"/>
          <w:szCs w:val="24"/>
        </w:rPr>
        <w:t>often-invisible</w:t>
      </w:r>
      <w:r w:rsidR="00D45203" w:rsidRPr="00442034">
        <w:rPr>
          <w:rFonts w:ascii="Times New Roman" w:hAnsi="Times New Roman" w:cs="Times New Roman"/>
          <w:sz w:val="24"/>
          <w:szCs w:val="24"/>
        </w:rPr>
        <w:t xml:space="preserve"> population. </w:t>
      </w:r>
    </w:p>
    <w:p w14:paraId="48D617BA" w14:textId="77777777" w:rsidR="00D45203" w:rsidRPr="00442034" w:rsidRDefault="00D45203" w:rsidP="00D45203">
      <w:pPr>
        <w:rPr>
          <w:rFonts w:ascii="Times New Roman" w:hAnsi="Times New Roman" w:cs="Times New Roman"/>
          <w:sz w:val="24"/>
          <w:szCs w:val="24"/>
        </w:rPr>
      </w:pPr>
      <w:r w:rsidRPr="00442034">
        <w:rPr>
          <w:rFonts w:ascii="Times New Roman" w:hAnsi="Times New Roman" w:cs="Times New Roman"/>
          <w:sz w:val="24"/>
          <w:szCs w:val="24"/>
        </w:rPr>
        <w:br w:type="page"/>
      </w:r>
    </w:p>
    <w:p w14:paraId="4DC73E34" w14:textId="3A1F89DA" w:rsidR="00AE009D" w:rsidRPr="00442034" w:rsidRDefault="0090434E" w:rsidP="00D45203">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lastRenderedPageBreak/>
        <w:t>REFERENCES</w:t>
      </w:r>
    </w:p>
    <w:p w14:paraId="0DE86D04" w14:textId="77777777" w:rsidR="00114DEE" w:rsidRPr="00991045" w:rsidRDefault="00114DEE" w:rsidP="00114DEE">
      <w:pPr>
        <w:pStyle w:val="Bibliography"/>
        <w:rPr>
          <w:rFonts w:ascii="Times New Roman" w:hAnsi="Times New Roman" w:cs="Times New Roman"/>
        </w:rPr>
      </w:pPr>
      <w:r w:rsidRPr="00114DEE">
        <w:rPr>
          <w:rFonts w:ascii="Times New Roman" w:hAnsi="Times New Roman" w:cs="Times New Roman"/>
        </w:rPr>
        <w:fldChar w:fldCharType="begin"/>
      </w:r>
      <w:r w:rsidRPr="00991045">
        <w:rPr>
          <w:rFonts w:ascii="Times New Roman" w:hAnsi="Times New Roman" w:cs="Times New Roman"/>
        </w:rPr>
        <w:instrText xml:space="preserve"> ADDIN ZOTERO_BIBL {"uncited":[],"omitted":[],"custom":[]} CSL_BIBLIOGRAPHY </w:instrText>
      </w:r>
      <w:r w:rsidRPr="00114DEE">
        <w:rPr>
          <w:rFonts w:ascii="Times New Roman" w:hAnsi="Times New Roman" w:cs="Times New Roman"/>
        </w:rPr>
        <w:fldChar w:fldCharType="separate"/>
      </w:r>
      <w:r w:rsidRPr="00991045">
        <w:rPr>
          <w:rFonts w:ascii="Times New Roman" w:hAnsi="Times New Roman" w:cs="Times New Roman"/>
        </w:rPr>
        <w:t xml:space="preserve">Andersen, Judith P., and John Blosnich. 2013. “Disparities in Adverse Childhood Experiences among Sexual Minority and Heterosexual Adults: Results from a Multi-State Probability-Based Sample.” </w:t>
      </w:r>
      <w:r w:rsidRPr="00991045">
        <w:rPr>
          <w:rFonts w:ascii="Times New Roman" w:hAnsi="Times New Roman" w:cs="Times New Roman"/>
          <w:i/>
          <w:iCs/>
        </w:rPr>
        <w:t>PLOS ONE</w:t>
      </w:r>
      <w:r w:rsidRPr="00991045">
        <w:rPr>
          <w:rFonts w:ascii="Times New Roman" w:hAnsi="Times New Roman" w:cs="Times New Roman"/>
        </w:rPr>
        <w:t xml:space="preserve"> 8(1):e54691. doi: 10.1371/journal.pone.0054691.</w:t>
      </w:r>
    </w:p>
    <w:p w14:paraId="28AAE4CF"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Baams, Laura. 2018. “Disparities for LGBTQ and Gender Nonconforming Adolescents.” </w:t>
      </w:r>
      <w:r w:rsidRPr="00991045">
        <w:rPr>
          <w:rFonts w:ascii="Times New Roman" w:hAnsi="Times New Roman" w:cs="Times New Roman"/>
          <w:i/>
          <w:iCs/>
        </w:rPr>
        <w:t>Pediatrics</w:t>
      </w:r>
      <w:r w:rsidRPr="00991045">
        <w:rPr>
          <w:rFonts w:ascii="Times New Roman" w:hAnsi="Times New Roman" w:cs="Times New Roman"/>
        </w:rPr>
        <w:t xml:space="preserve"> 141(5):e20173004. doi: 10.1542/peds.2017-3004.</w:t>
      </w:r>
    </w:p>
    <w:p w14:paraId="3F189A93"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Barber, James G., and Paul H. Delfabbro. 2003. “Placement Stability and the Psychosocial Well-Being of Children in Foster Care.” </w:t>
      </w:r>
      <w:r w:rsidRPr="00991045">
        <w:rPr>
          <w:rFonts w:ascii="Times New Roman" w:hAnsi="Times New Roman" w:cs="Times New Roman"/>
          <w:i/>
          <w:iCs/>
        </w:rPr>
        <w:t>Research on Social Work Practice</w:t>
      </w:r>
      <w:r w:rsidRPr="00991045">
        <w:rPr>
          <w:rFonts w:ascii="Times New Roman" w:hAnsi="Times New Roman" w:cs="Times New Roman"/>
        </w:rPr>
        <w:t xml:space="preserve"> 13(4):415–31. doi: 10.1177/1049731503013004001.</w:t>
      </w:r>
    </w:p>
    <w:p w14:paraId="2DEED288"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Bronfenbrenner, Urie. 1979. </w:t>
      </w:r>
      <w:r w:rsidRPr="00991045">
        <w:rPr>
          <w:rFonts w:ascii="Times New Roman" w:hAnsi="Times New Roman" w:cs="Times New Roman"/>
          <w:i/>
          <w:iCs/>
        </w:rPr>
        <w:t>The Ecology of Human Development: Experiments by Nature and Design</w:t>
      </w:r>
      <w:r w:rsidRPr="00991045">
        <w:rPr>
          <w:rFonts w:ascii="Times New Roman" w:hAnsi="Times New Roman" w:cs="Times New Roman"/>
        </w:rPr>
        <w:t>. Harvard University Press.</w:t>
      </w:r>
    </w:p>
    <w:p w14:paraId="3E0F7463"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Brumley, Lauren D., Sara R. Jaffee, and Benjamin P. Brumley. 2017. “Pathways from Childhood Adversity to Problem Behaviors in Young Adulthood: The Mediating Role of Adolescents’ Future Expectations.” </w:t>
      </w:r>
      <w:r w:rsidRPr="00991045">
        <w:rPr>
          <w:rFonts w:ascii="Times New Roman" w:hAnsi="Times New Roman" w:cs="Times New Roman"/>
          <w:i/>
          <w:iCs/>
        </w:rPr>
        <w:t>Journal of Youth and Adolescence</w:t>
      </w:r>
      <w:r w:rsidRPr="00991045">
        <w:rPr>
          <w:rFonts w:ascii="Times New Roman" w:hAnsi="Times New Roman" w:cs="Times New Roman"/>
        </w:rPr>
        <w:t xml:space="preserve"> 46(1):1–14. doi: 10.1007/s10964-016-0597-9.</w:t>
      </w:r>
    </w:p>
    <w:p w14:paraId="71F0D0A7"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Button, Deeanna M. 2019. “Contextualizing LGB Youth’s Experiences With Victimization and Risky Behaviors: A Qualitative Approach to General Strain Theory.” </w:t>
      </w:r>
      <w:r w:rsidRPr="00991045">
        <w:rPr>
          <w:rFonts w:ascii="Times New Roman" w:hAnsi="Times New Roman" w:cs="Times New Roman"/>
          <w:i/>
          <w:iCs/>
        </w:rPr>
        <w:t>Feminist Criminology</w:t>
      </w:r>
      <w:r w:rsidRPr="00991045">
        <w:rPr>
          <w:rFonts w:ascii="Times New Roman" w:hAnsi="Times New Roman" w:cs="Times New Roman"/>
        </w:rPr>
        <w:t xml:space="preserve"> 14(4):441–65. doi: 10.1177/1557085118789792.</w:t>
      </w:r>
    </w:p>
    <w:p w14:paraId="3E819CF1"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Casanueva, Cecilia, Melissa Dolan, Keith Smith, Heather Ringeisen, and Kathryn Dowd. 2012. “Indicators of Well-Being Among Children in the United States Child Welfare System.” </w:t>
      </w:r>
      <w:r w:rsidRPr="00991045">
        <w:rPr>
          <w:rFonts w:ascii="Times New Roman" w:hAnsi="Times New Roman" w:cs="Times New Roman"/>
          <w:i/>
          <w:iCs/>
        </w:rPr>
        <w:t>Child Indicators Research</w:t>
      </w:r>
      <w:r w:rsidRPr="00991045">
        <w:rPr>
          <w:rFonts w:ascii="Times New Roman" w:hAnsi="Times New Roman" w:cs="Times New Roman"/>
        </w:rPr>
        <w:t xml:space="preserve"> 5(3):547–65. doi: 10.1007/s12187-012-9148-4.</w:t>
      </w:r>
    </w:p>
    <w:p w14:paraId="0D6E9036"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Cassidy, Jude, and Steven R. Asher. 1992. “Loneliness and Peer Relations in Young Children.” </w:t>
      </w:r>
      <w:r w:rsidRPr="00991045">
        <w:rPr>
          <w:rFonts w:ascii="Times New Roman" w:hAnsi="Times New Roman" w:cs="Times New Roman"/>
          <w:i/>
          <w:iCs/>
        </w:rPr>
        <w:t>Child Development</w:t>
      </w:r>
      <w:r w:rsidRPr="00991045">
        <w:rPr>
          <w:rFonts w:ascii="Times New Roman" w:hAnsi="Times New Roman" w:cs="Times New Roman"/>
        </w:rPr>
        <w:t xml:space="preserve"> 63:350–65. doi: 10.2307/1131484.</w:t>
      </w:r>
    </w:p>
    <w:p w14:paraId="659F261B"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Church, Wesley T., Emma R. Gross, and Joshua Baldwin. 2005. “Maybe Ignorance Is Not Always Bliss: The Disparate Treatment of Hispanics within the Child Welfare System.” </w:t>
      </w:r>
      <w:r w:rsidRPr="00991045">
        <w:rPr>
          <w:rFonts w:ascii="Times New Roman" w:hAnsi="Times New Roman" w:cs="Times New Roman"/>
          <w:i/>
          <w:iCs/>
        </w:rPr>
        <w:t>Children and Youth Services Review</w:t>
      </w:r>
      <w:r w:rsidRPr="00991045">
        <w:rPr>
          <w:rFonts w:ascii="Times New Roman" w:hAnsi="Times New Roman" w:cs="Times New Roman"/>
        </w:rPr>
        <w:t xml:space="preserve"> 27(12):1279–92. doi: 10.1016/j.childyouth.2005.01.003.</w:t>
      </w:r>
    </w:p>
    <w:p w14:paraId="2585C662"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Collins, Mary, Renée Spencer, and Rolanda Ward. 2010. “Supporting Youth in the Transition from Foster Care: Formal and Informal Connections.” </w:t>
      </w:r>
      <w:r w:rsidRPr="00991045">
        <w:rPr>
          <w:rFonts w:ascii="Times New Roman" w:hAnsi="Times New Roman" w:cs="Times New Roman"/>
          <w:i/>
          <w:iCs/>
        </w:rPr>
        <w:t>Child Welfare</w:t>
      </w:r>
      <w:r w:rsidRPr="00991045">
        <w:rPr>
          <w:rFonts w:ascii="Times New Roman" w:hAnsi="Times New Roman" w:cs="Times New Roman"/>
        </w:rPr>
        <w:t xml:space="preserve"> 89:125–43.</w:t>
      </w:r>
    </w:p>
    <w:p w14:paraId="181858A6"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Corwin, Tyler W., Erin J. Maher, Lisa Merkel-Holguin, Heather Allan, Dana M. Hollinshead, and John D. Fluke. 2020. “Increasing Social Support for Child Welfare-Involved Families Through Family Group Conferencing.” </w:t>
      </w:r>
      <w:r w:rsidRPr="00991045">
        <w:rPr>
          <w:rFonts w:ascii="Times New Roman" w:hAnsi="Times New Roman" w:cs="Times New Roman"/>
          <w:i/>
          <w:iCs/>
        </w:rPr>
        <w:t>The British Journal of Social Work</w:t>
      </w:r>
      <w:r w:rsidRPr="00991045">
        <w:rPr>
          <w:rFonts w:ascii="Times New Roman" w:hAnsi="Times New Roman" w:cs="Times New Roman"/>
        </w:rPr>
        <w:t xml:space="preserve"> 50(1):137–56. doi: 10.1093/bjsw/bcz036.</w:t>
      </w:r>
    </w:p>
    <w:p w14:paraId="790D90DF"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Coulter, Robert W. S., Melina Bersamin, Stephen T. Russell, and Christina Mair. 2018. “The Effects of Gender- and Sexuality-Based Harassment on Lesbian, Gay, Bisexual, and Transgender Substance Use Disparities.” </w:t>
      </w:r>
      <w:r w:rsidRPr="00991045">
        <w:rPr>
          <w:rFonts w:ascii="Times New Roman" w:hAnsi="Times New Roman" w:cs="Times New Roman"/>
          <w:i/>
          <w:iCs/>
        </w:rPr>
        <w:t>Journal of Adolescent Health</w:t>
      </w:r>
      <w:r w:rsidRPr="00991045">
        <w:rPr>
          <w:rFonts w:ascii="Times New Roman" w:hAnsi="Times New Roman" w:cs="Times New Roman"/>
        </w:rPr>
        <w:t xml:space="preserve"> 62(6):688–700. doi: 10.1016/j.jadohealth.2017.10.004.</w:t>
      </w:r>
    </w:p>
    <w:p w14:paraId="187BC089"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Coulton, Claudia J., Jill E. Korbin, Marilyn Su, and Julian Chow. 1995. “Community Level Factors and Child Maltreatment Rates.” </w:t>
      </w:r>
      <w:r w:rsidRPr="00991045">
        <w:rPr>
          <w:rFonts w:ascii="Times New Roman" w:hAnsi="Times New Roman" w:cs="Times New Roman"/>
          <w:i/>
          <w:iCs/>
        </w:rPr>
        <w:t>Child Development</w:t>
      </w:r>
      <w:r w:rsidRPr="00991045">
        <w:rPr>
          <w:rFonts w:ascii="Times New Roman" w:hAnsi="Times New Roman" w:cs="Times New Roman"/>
        </w:rPr>
        <w:t xml:space="preserve"> 66(5):1262–76. doi: 10.2307/1131646.</w:t>
      </w:r>
    </w:p>
    <w:p w14:paraId="5E96159E"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lastRenderedPageBreak/>
        <w:t xml:space="preserve">Courtney, Mark E., Richard P. Barth, Jill Duerr Berrick, Devon Brooks, Barbara Needell, Linda Park, and Richard Needell. 1996. “Race and Child Welfare Services: Past Research and Future Directions.” </w:t>
      </w:r>
      <w:r w:rsidRPr="00991045">
        <w:rPr>
          <w:rFonts w:ascii="Times New Roman" w:hAnsi="Times New Roman" w:cs="Times New Roman"/>
          <w:i/>
          <w:iCs/>
        </w:rPr>
        <w:t>Child Welfare</w:t>
      </w:r>
      <w:r w:rsidRPr="00991045">
        <w:rPr>
          <w:rFonts w:ascii="Times New Roman" w:hAnsi="Times New Roman" w:cs="Times New Roman"/>
        </w:rPr>
        <w:t xml:space="preserve"> 75(2):99–137.</w:t>
      </w:r>
    </w:p>
    <w:p w14:paraId="3EC84409"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Courtney, Mark E., Pajarita Charles, Nathanael J. Okpych, Laura Napolitano, and Katherine Halsted. 2014. </w:t>
      </w:r>
      <w:r w:rsidRPr="00991045">
        <w:rPr>
          <w:rFonts w:ascii="Times New Roman" w:hAnsi="Times New Roman" w:cs="Times New Roman"/>
          <w:i/>
          <w:iCs/>
        </w:rPr>
        <w:t>Findings from the California Youth Transitions to Adulthood Study (CalYOUTH): Conditions of Foster Youth at Age 17</w:t>
      </w:r>
      <w:r w:rsidRPr="00991045">
        <w:rPr>
          <w:rFonts w:ascii="Times New Roman" w:hAnsi="Times New Roman" w:cs="Times New Roman"/>
        </w:rPr>
        <w:t>. Chapin Hall at the University of Chicago.</w:t>
      </w:r>
    </w:p>
    <w:p w14:paraId="23E6EDDB"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Craig, Shelley L., Ashley Austin, Jill Levenson, Vivian W. Y. Leung, Andrew D. Eaton, and Sandra A. D’Souza. 2020. “Frequencies and Patterns of Adverse Childhood Events in LGBTQ+ Youth.” </w:t>
      </w:r>
      <w:r w:rsidRPr="00991045">
        <w:rPr>
          <w:rFonts w:ascii="Times New Roman" w:hAnsi="Times New Roman" w:cs="Times New Roman"/>
          <w:i/>
          <w:iCs/>
        </w:rPr>
        <w:t>Child Abuse &amp; Neglect</w:t>
      </w:r>
      <w:r w:rsidRPr="00991045">
        <w:rPr>
          <w:rFonts w:ascii="Times New Roman" w:hAnsi="Times New Roman" w:cs="Times New Roman"/>
        </w:rPr>
        <w:t xml:space="preserve"> 107:104623. doi: 10.1016/j.chiabu.2020.104623.</w:t>
      </w:r>
    </w:p>
    <w:p w14:paraId="6D3FA334"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Crofoot, Thomas L., and Marian S. Harris. 2012. “An Indian Child Welfare Perspective on Disproportionality in Child Welfare.” </w:t>
      </w:r>
      <w:r w:rsidRPr="00991045">
        <w:rPr>
          <w:rFonts w:ascii="Times New Roman" w:hAnsi="Times New Roman" w:cs="Times New Roman"/>
          <w:i/>
          <w:iCs/>
        </w:rPr>
        <w:t>Children and Youth Services Review</w:t>
      </w:r>
      <w:r w:rsidRPr="00991045">
        <w:rPr>
          <w:rFonts w:ascii="Times New Roman" w:hAnsi="Times New Roman" w:cs="Times New Roman"/>
        </w:rPr>
        <w:t xml:space="preserve"> 34(9):1667–74. doi: 10.1016/j.childyouth.2012.04.028.</w:t>
      </w:r>
    </w:p>
    <w:p w14:paraId="3D64E805"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Cusumano, Michelle. 2022. “Placement Instability, Perceived Social Support, and Internalizing Symptoms in Youth in the Child Welfare System.” M.A., St. John’s University (New York), United States -- New York.</w:t>
      </w:r>
    </w:p>
    <w:p w14:paraId="6325D178"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Dettlaff, Alan J., and Reiko Boyd. 2020. “Racial Disproportionality and Disparities in the Child Welfare System: Why Do They Exist, and What Can Be Done to Address Them?” </w:t>
      </w:r>
      <w:r w:rsidRPr="00991045">
        <w:rPr>
          <w:rFonts w:ascii="Times New Roman" w:hAnsi="Times New Roman" w:cs="Times New Roman"/>
          <w:i/>
          <w:iCs/>
        </w:rPr>
        <w:t>The ANNALS of the American Academy of Political and Social Science</w:t>
      </w:r>
      <w:r w:rsidRPr="00991045">
        <w:rPr>
          <w:rFonts w:ascii="Times New Roman" w:hAnsi="Times New Roman" w:cs="Times New Roman"/>
        </w:rPr>
        <w:t xml:space="preserve"> 692(1):253–74. doi: 10.1177/0002716220980329.</w:t>
      </w:r>
    </w:p>
    <w:p w14:paraId="3CE1D7A3"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Dettlaff, Alan J., and Micki Washburn. 2018. “Lesbian, Gay, and Bisexual (LGB) Youth within in Welfare: Prevalence, Risk and Outcomes.” </w:t>
      </w:r>
      <w:r w:rsidRPr="00991045">
        <w:rPr>
          <w:rFonts w:ascii="Times New Roman" w:hAnsi="Times New Roman" w:cs="Times New Roman"/>
          <w:i/>
          <w:iCs/>
        </w:rPr>
        <w:t>Child Abuse &amp; Neglect</w:t>
      </w:r>
      <w:r w:rsidRPr="00991045">
        <w:rPr>
          <w:rFonts w:ascii="Times New Roman" w:hAnsi="Times New Roman" w:cs="Times New Roman"/>
        </w:rPr>
        <w:t xml:space="preserve"> 80:183–93.</w:t>
      </w:r>
    </w:p>
    <w:p w14:paraId="3F1A6966"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Dickerson, Kelli L., Helen M. Milojevich, and Jodi A. Quas. 2019. “Early Environmental Unpredictability: Implications for Youth’s Perceptions and Social Functioning.” </w:t>
      </w:r>
      <w:r w:rsidRPr="00991045">
        <w:rPr>
          <w:rFonts w:ascii="Times New Roman" w:hAnsi="Times New Roman" w:cs="Times New Roman"/>
          <w:i/>
          <w:iCs/>
        </w:rPr>
        <w:t>Journal of Youth and Adolescence</w:t>
      </w:r>
      <w:r w:rsidRPr="00991045">
        <w:rPr>
          <w:rFonts w:ascii="Times New Roman" w:hAnsi="Times New Roman" w:cs="Times New Roman"/>
        </w:rPr>
        <w:t xml:space="preserve"> 48(9):1754–64. doi: 10.1007/s10964-019-01052-9.</w:t>
      </w:r>
    </w:p>
    <w:p w14:paraId="734A3815"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Dolan, Melissa, Keith Smith, Cecilia Casanueva, Heather Ringeisen, HHS P2320062930YC, M Dolan, K Smith, C Casanueva, and H Ringeisen. 2011. “NSCAW II Baseline Report: Introduction to NSCAW II Final Report.” </w:t>
      </w:r>
      <w:r w:rsidRPr="00991045">
        <w:rPr>
          <w:rFonts w:ascii="Times New Roman" w:hAnsi="Times New Roman" w:cs="Times New Roman"/>
          <w:i/>
          <w:iCs/>
        </w:rPr>
        <w:t>Washington, DC: Office of Planning, Research and Evaluation, Administration for Children and Families, US Department of Health and Human Services</w:t>
      </w:r>
      <w:r w:rsidRPr="00991045">
        <w:rPr>
          <w:rFonts w:ascii="Times New Roman" w:hAnsi="Times New Roman" w:cs="Times New Roman"/>
        </w:rPr>
        <w:t>.</w:t>
      </w:r>
    </w:p>
    <w:p w14:paraId="01566928"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Drake, Brett, and Melissa Jonson-Reid. 2014. “Poverty and Child Maltreatment.” Pp. 131–48 in </w:t>
      </w:r>
      <w:r w:rsidRPr="00991045">
        <w:rPr>
          <w:rFonts w:ascii="Times New Roman" w:hAnsi="Times New Roman" w:cs="Times New Roman"/>
          <w:i/>
          <w:iCs/>
        </w:rPr>
        <w:t>Handbook of Child Maltreatment</w:t>
      </w:r>
      <w:r w:rsidRPr="00991045">
        <w:rPr>
          <w:rFonts w:ascii="Times New Roman" w:hAnsi="Times New Roman" w:cs="Times New Roman"/>
        </w:rPr>
        <w:t xml:space="preserve">, </w:t>
      </w:r>
      <w:r w:rsidRPr="00991045">
        <w:rPr>
          <w:rFonts w:ascii="Times New Roman" w:hAnsi="Times New Roman" w:cs="Times New Roman"/>
          <w:i/>
          <w:iCs/>
        </w:rPr>
        <w:t>Child Maltreatment</w:t>
      </w:r>
      <w:r w:rsidRPr="00991045">
        <w:rPr>
          <w:rFonts w:ascii="Times New Roman" w:hAnsi="Times New Roman" w:cs="Times New Roman"/>
        </w:rPr>
        <w:t>, edited by J. E. Korbin and R. D. Krugman. Dordrecht: Springer Netherlands.</w:t>
      </w:r>
    </w:p>
    <w:p w14:paraId="6B0CC9D1"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Edwards, Frank, Theresa Rocha Beardall, and Hannah Curtis. 2023. “American Indian and Alaska Native Overexposure to Foster Care and Family Surveillance in the US: A Quantitative Overview of Contemporary System Contact.” </w:t>
      </w:r>
      <w:r w:rsidRPr="00991045">
        <w:rPr>
          <w:rFonts w:ascii="Times New Roman" w:hAnsi="Times New Roman" w:cs="Times New Roman"/>
          <w:i/>
          <w:iCs/>
        </w:rPr>
        <w:t>Children and Youth Services Review</w:t>
      </w:r>
      <w:r w:rsidRPr="00991045">
        <w:rPr>
          <w:rFonts w:ascii="Times New Roman" w:hAnsi="Times New Roman" w:cs="Times New Roman"/>
        </w:rPr>
        <w:t xml:space="preserve"> 149:106915. doi: 10.1016/j.childyouth.2023.106915.</w:t>
      </w:r>
    </w:p>
    <w:p w14:paraId="64A75029"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Elder, Glen H. 1998. “The Life Course as Developmental Theory.” </w:t>
      </w:r>
      <w:r w:rsidRPr="00991045">
        <w:rPr>
          <w:rFonts w:ascii="Times New Roman" w:hAnsi="Times New Roman" w:cs="Times New Roman"/>
          <w:i/>
          <w:iCs/>
        </w:rPr>
        <w:t>Child Development</w:t>
      </w:r>
      <w:r w:rsidRPr="00991045">
        <w:rPr>
          <w:rFonts w:ascii="Times New Roman" w:hAnsi="Times New Roman" w:cs="Times New Roman"/>
        </w:rPr>
        <w:t xml:space="preserve"> 69(1):1–12. doi: 10.2307/1132065.</w:t>
      </w:r>
    </w:p>
    <w:p w14:paraId="01BB163B"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Evans, Rhiannon, Colleen C. Katz, Anthony Fulginiti, and Heather Taussig. 2022. “Sources and Types of Social Supports and Their Association with Mental Health Symptoms and Life Satisfaction </w:t>
      </w:r>
      <w:r w:rsidRPr="00991045">
        <w:rPr>
          <w:rFonts w:ascii="Times New Roman" w:hAnsi="Times New Roman" w:cs="Times New Roman"/>
        </w:rPr>
        <w:lastRenderedPageBreak/>
        <w:t xml:space="preserve">among Young Adults with a History of Out-of-Home Care.” </w:t>
      </w:r>
      <w:r w:rsidRPr="00991045">
        <w:rPr>
          <w:rFonts w:ascii="Times New Roman" w:hAnsi="Times New Roman" w:cs="Times New Roman"/>
          <w:i/>
          <w:iCs/>
        </w:rPr>
        <w:t>Children</w:t>
      </w:r>
      <w:r w:rsidRPr="00991045">
        <w:rPr>
          <w:rFonts w:ascii="Times New Roman" w:hAnsi="Times New Roman" w:cs="Times New Roman"/>
        </w:rPr>
        <w:t xml:space="preserve"> 9(4):520. doi: 10.3390/children9040520.</w:t>
      </w:r>
    </w:p>
    <w:p w14:paraId="0150870A"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Felitti, Vincent J., Robert F. Anda, Dale Nordenberg, David F. Williamson, Alison M. Spitz, Valerie Edwards, Mary P. Koss, and James S. Marks. 1998. “Relationship of Childhood Abuse and Household Dysfunction to Many of the Leading Causes of Death in Adults: The Adverse Childhood Experiences (ACE) Study.” </w:t>
      </w:r>
      <w:r w:rsidRPr="00991045">
        <w:rPr>
          <w:rFonts w:ascii="Times New Roman" w:hAnsi="Times New Roman" w:cs="Times New Roman"/>
          <w:i/>
          <w:iCs/>
        </w:rPr>
        <w:t>American Journal of Preventive Medicine</w:t>
      </w:r>
      <w:r w:rsidRPr="00991045">
        <w:rPr>
          <w:rFonts w:ascii="Times New Roman" w:hAnsi="Times New Roman" w:cs="Times New Roman"/>
        </w:rPr>
        <w:t xml:space="preserve"> 14(4):245–58. doi: 10.1016/S0749-3797(98)00017-8.</w:t>
      </w:r>
    </w:p>
    <w:p w14:paraId="0959478E"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Fergusson, D. M., L. J. Horwood, and A. L. Beautrais. 1999. “Is Sexual Orientation Related to Mental Health Problems and Suicidality in Young People?” </w:t>
      </w:r>
      <w:r w:rsidRPr="00991045">
        <w:rPr>
          <w:rFonts w:ascii="Times New Roman" w:hAnsi="Times New Roman" w:cs="Times New Roman"/>
          <w:i/>
          <w:iCs/>
        </w:rPr>
        <w:t>Archives of General Psychiatry</w:t>
      </w:r>
      <w:r w:rsidRPr="00991045">
        <w:rPr>
          <w:rFonts w:ascii="Times New Roman" w:hAnsi="Times New Roman" w:cs="Times New Roman"/>
        </w:rPr>
        <w:t xml:space="preserve"> 56(10):876–80. doi: 10.1001/archpsyc.56.10.876.</w:t>
      </w:r>
    </w:p>
    <w:p w14:paraId="411AD08C"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Fish, Jessica N., Laura Baams, Armeda Stevenson Wojciak, and Stephen T. Russell. 2019. “Are Sexual Minority Youth Overrepresented in Foster Care, Child Welfare, and out-of-Home Placement? Findings from Nationally Representative Data.” </w:t>
      </w:r>
      <w:r w:rsidRPr="00991045">
        <w:rPr>
          <w:rFonts w:ascii="Times New Roman" w:hAnsi="Times New Roman" w:cs="Times New Roman"/>
          <w:i/>
          <w:iCs/>
        </w:rPr>
        <w:t>Child Abuse &amp; Neglect</w:t>
      </w:r>
      <w:r w:rsidRPr="00991045">
        <w:rPr>
          <w:rFonts w:ascii="Times New Roman" w:hAnsi="Times New Roman" w:cs="Times New Roman"/>
        </w:rPr>
        <w:t xml:space="preserve"> 89:203–11. doi: 10.1016/j.chiabu.2019.01.005.</w:t>
      </w:r>
    </w:p>
    <w:p w14:paraId="3CBF59E4"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Fong, Kelley. 2017. “Child Welfare Involvement and Contexts of Poverty: The Role of Parental Adversities, Social Networks, and Social Services.” </w:t>
      </w:r>
      <w:r w:rsidRPr="00991045">
        <w:rPr>
          <w:rFonts w:ascii="Times New Roman" w:hAnsi="Times New Roman" w:cs="Times New Roman"/>
          <w:i/>
          <w:iCs/>
        </w:rPr>
        <w:t>Children and Youth Services Review</w:t>
      </w:r>
      <w:r w:rsidRPr="00991045">
        <w:rPr>
          <w:rFonts w:ascii="Times New Roman" w:hAnsi="Times New Roman" w:cs="Times New Roman"/>
        </w:rPr>
        <w:t xml:space="preserve"> 72:5–13. doi: 10.1016/j.childyouth.2016.10.011.</w:t>
      </w:r>
    </w:p>
    <w:p w14:paraId="13E85360"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Fowler, Patrick J., Katherine E. Marcal, Jinjin Zhang, Orin Day, and John Landsverk. 2017. “Homelessness and Aging out of Foster Care: A National Comparison of Child Welfare-Involved Adolescents.” </w:t>
      </w:r>
      <w:r w:rsidRPr="00991045">
        <w:rPr>
          <w:rFonts w:ascii="Times New Roman" w:hAnsi="Times New Roman" w:cs="Times New Roman"/>
          <w:i/>
          <w:iCs/>
        </w:rPr>
        <w:t>Children and Youth Services Review</w:t>
      </w:r>
      <w:r w:rsidRPr="00991045">
        <w:rPr>
          <w:rFonts w:ascii="Times New Roman" w:hAnsi="Times New Roman" w:cs="Times New Roman"/>
        </w:rPr>
        <w:t xml:space="preserve"> 77:27–33. doi: 10.1016/j.childyouth.2017.03.017.</w:t>
      </w:r>
    </w:p>
    <w:p w14:paraId="52D351A8"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Hellman, Chan M., Ricky T. Munoz, Jody A. Worley, Jessica A. Feeley, and Jeanne E. Gillert. 2018. “A Reliability Generalization on the Children’s Hope Scale.” </w:t>
      </w:r>
      <w:r w:rsidRPr="00991045">
        <w:rPr>
          <w:rFonts w:ascii="Times New Roman" w:hAnsi="Times New Roman" w:cs="Times New Roman"/>
          <w:i/>
          <w:iCs/>
        </w:rPr>
        <w:t>Child Indicators Research</w:t>
      </w:r>
      <w:r w:rsidRPr="00991045">
        <w:rPr>
          <w:rFonts w:ascii="Times New Roman" w:hAnsi="Times New Roman" w:cs="Times New Roman"/>
        </w:rPr>
        <w:t xml:space="preserve"> 11(4):1193–1200. doi: 10.1007/s12187-017-9467-6.</w:t>
      </w:r>
    </w:p>
    <w:p w14:paraId="0FF07453"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Hershberger, Mary A., and Martin H. Jones. 2018. “The Influence of Social Relationships and School Engagement on Academic Achievement in Maltreated Adolescents.” </w:t>
      </w:r>
      <w:r w:rsidRPr="00991045">
        <w:rPr>
          <w:rFonts w:ascii="Times New Roman" w:hAnsi="Times New Roman" w:cs="Times New Roman"/>
          <w:i/>
          <w:iCs/>
        </w:rPr>
        <w:t>Journal of Adolescence</w:t>
      </w:r>
      <w:r w:rsidRPr="00991045">
        <w:rPr>
          <w:rFonts w:ascii="Times New Roman" w:hAnsi="Times New Roman" w:cs="Times New Roman"/>
        </w:rPr>
        <w:t xml:space="preserve"> 67:98–108. doi: 10.1016/j.adolescence.2018.06.003.</w:t>
      </w:r>
    </w:p>
    <w:p w14:paraId="16AB42E9"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Hill, Robert B. 2004. “Institutional Racism in Child Welfare.” </w:t>
      </w:r>
      <w:r w:rsidRPr="00991045">
        <w:rPr>
          <w:rFonts w:ascii="Times New Roman" w:hAnsi="Times New Roman" w:cs="Times New Roman"/>
          <w:i/>
          <w:iCs/>
        </w:rPr>
        <w:t>Race and Society</w:t>
      </w:r>
      <w:r w:rsidRPr="00991045">
        <w:rPr>
          <w:rFonts w:ascii="Times New Roman" w:hAnsi="Times New Roman" w:cs="Times New Roman"/>
        </w:rPr>
        <w:t xml:space="preserve"> 7(1):17–33. doi: 10.1016/j.racsoc.2004.11.004.</w:t>
      </w:r>
    </w:p>
    <w:p w14:paraId="4332A54F"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Jacobs, Jill, and Madelyn Freundlich. 2006. “Achieving Permanency for LGBTQ Youth.” </w:t>
      </w:r>
      <w:r w:rsidRPr="00991045">
        <w:rPr>
          <w:rFonts w:ascii="Times New Roman" w:hAnsi="Times New Roman" w:cs="Times New Roman"/>
          <w:i/>
          <w:iCs/>
        </w:rPr>
        <w:t>Child Welfare</w:t>
      </w:r>
      <w:r w:rsidRPr="00991045">
        <w:rPr>
          <w:rFonts w:ascii="Times New Roman" w:hAnsi="Times New Roman" w:cs="Times New Roman"/>
        </w:rPr>
        <w:t xml:space="preserve"> 85(2):299–316.</w:t>
      </w:r>
    </w:p>
    <w:p w14:paraId="08FC982D"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King, Gary, and Richard Nielsen. 2019. “Why Propensity Scores Should Not Be Used for Matching.” </w:t>
      </w:r>
      <w:r w:rsidRPr="00991045">
        <w:rPr>
          <w:rFonts w:ascii="Times New Roman" w:hAnsi="Times New Roman" w:cs="Times New Roman"/>
          <w:i/>
          <w:iCs/>
        </w:rPr>
        <w:t>Political Analysis</w:t>
      </w:r>
      <w:r w:rsidRPr="00991045">
        <w:rPr>
          <w:rFonts w:ascii="Times New Roman" w:hAnsi="Times New Roman" w:cs="Times New Roman"/>
        </w:rPr>
        <w:t xml:space="preserve"> 27(4):435–54.</w:t>
      </w:r>
    </w:p>
    <w:p w14:paraId="5D66ACF8"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Kosciw, Joseph G., Caitlin M. Clark, Nhan L. Truong, and Adrian D. Zongrone. 2020. </w:t>
      </w:r>
      <w:r w:rsidRPr="00991045">
        <w:rPr>
          <w:rFonts w:ascii="Times New Roman" w:hAnsi="Times New Roman" w:cs="Times New Roman"/>
          <w:i/>
          <w:iCs/>
        </w:rPr>
        <w:t>The 2019 National School Climate Survey: The Experiences of Lesbian, Gay, Bisexual, Transgender, and Queer Youth in Our Nation’s Schools. A Report from GLSEN</w:t>
      </w:r>
      <w:r w:rsidRPr="00991045">
        <w:rPr>
          <w:rFonts w:ascii="Times New Roman" w:hAnsi="Times New Roman" w:cs="Times New Roman"/>
        </w:rPr>
        <w:t>. Gay, Lesbian and Straight Education Network (GLSEN).</w:t>
      </w:r>
    </w:p>
    <w:p w14:paraId="47068FE4"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lastRenderedPageBreak/>
        <w:t xml:space="preserve">Lalayants, Marina, and Jonathan D. Prince. 2015. “Loneliness and Depression or Depression-Related Factors Among Child Welfare-Involved Adolescent Females.” </w:t>
      </w:r>
      <w:r w:rsidRPr="00991045">
        <w:rPr>
          <w:rFonts w:ascii="Times New Roman" w:hAnsi="Times New Roman" w:cs="Times New Roman"/>
          <w:i/>
          <w:iCs/>
        </w:rPr>
        <w:t>Child and Adolescent Social Work Journal</w:t>
      </w:r>
      <w:r w:rsidRPr="00991045">
        <w:rPr>
          <w:rFonts w:ascii="Times New Roman" w:hAnsi="Times New Roman" w:cs="Times New Roman"/>
        </w:rPr>
        <w:t xml:space="preserve"> 32(2):167–76. doi: 10.1007/s10560-014-0344-6.</w:t>
      </w:r>
    </w:p>
    <w:p w14:paraId="61CB09F3"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Landes, Scott D., and Richard A. Settersten. 2019. “The Inseparability of Human Agency and Linked Lives.” </w:t>
      </w:r>
      <w:r w:rsidRPr="00991045">
        <w:rPr>
          <w:rFonts w:ascii="Times New Roman" w:hAnsi="Times New Roman" w:cs="Times New Roman"/>
          <w:i/>
          <w:iCs/>
        </w:rPr>
        <w:t>Advances in Life Course Research</w:t>
      </w:r>
      <w:r w:rsidRPr="00991045">
        <w:rPr>
          <w:rFonts w:ascii="Times New Roman" w:hAnsi="Times New Roman" w:cs="Times New Roman"/>
        </w:rPr>
        <w:t xml:space="preserve"> 42:100306. doi: 10.1016/j.alcr.2019.100306.</w:t>
      </w:r>
    </w:p>
    <w:p w14:paraId="45498D3D"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Long, J. Scott, and Jeremy Freese. 2001. </w:t>
      </w:r>
      <w:r w:rsidRPr="00991045">
        <w:rPr>
          <w:rFonts w:ascii="Times New Roman" w:hAnsi="Times New Roman" w:cs="Times New Roman"/>
          <w:i/>
          <w:iCs/>
        </w:rPr>
        <w:t>Regression Models for Categorical and Dependent Variables Using STATA</w:t>
      </w:r>
      <w:r w:rsidRPr="00991045">
        <w:rPr>
          <w:rFonts w:ascii="Times New Roman" w:hAnsi="Times New Roman" w:cs="Times New Roman"/>
        </w:rPr>
        <w:t>.</w:t>
      </w:r>
    </w:p>
    <w:p w14:paraId="31BC2E75"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Macmillan, Ross, Barbara J. McMorris, and Candace Kruttschnitt. 2004. “Linked Lives: Stability and Change in Maternal Circumstances and Trajectories of Antisocial Behavior in Children.” </w:t>
      </w:r>
      <w:r w:rsidRPr="00991045">
        <w:rPr>
          <w:rFonts w:ascii="Times New Roman" w:hAnsi="Times New Roman" w:cs="Times New Roman"/>
          <w:i/>
          <w:iCs/>
        </w:rPr>
        <w:t>Child Development</w:t>
      </w:r>
      <w:r w:rsidRPr="00991045">
        <w:rPr>
          <w:rFonts w:ascii="Times New Roman" w:hAnsi="Times New Roman" w:cs="Times New Roman"/>
        </w:rPr>
        <w:t xml:space="preserve"> 75(1):205–20. doi: 10.1111/j.1467-8624.2004.00664.x.</w:t>
      </w:r>
    </w:p>
    <w:p w14:paraId="1B4F1B6B"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Mallon, Gerald P. 2011. “The Home Study Assessment Process for Gay, Lesbian, Bisexual, and Transgender Prospective Foster and Adoptive Families.” </w:t>
      </w:r>
      <w:r w:rsidRPr="00991045">
        <w:rPr>
          <w:rFonts w:ascii="Times New Roman" w:hAnsi="Times New Roman" w:cs="Times New Roman"/>
          <w:i/>
          <w:iCs/>
        </w:rPr>
        <w:t>Journal of GLBT Family Studies</w:t>
      </w:r>
      <w:r w:rsidRPr="00991045">
        <w:rPr>
          <w:rFonts w:ascii="Times New Roman" w:hAnsi="Times New Roman" w:cs="Times New Roman"/>
        </w:rPr>
        <w:t xml:space="preserve"> 7(1–2):9–29. doi: 10.1080/1550428X.2011.537229.</w:t>
      </w:r>
    </w:p>
    <w:p w14:paraId="44DB9457"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Martin, M., L. Down, and R. Erney. 2016. “Out of the Shadows: Supporting LGBTQ Youth in Child Welfare through Cross-System Collaboration.”</w:t>
      </w:r>
    </w:p>
    <w:p w14:paraId="36D6977C"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McGowan, Brenda G. 2010. “An Historical Perspective on Child Welfare.” Pp. 25–47 in </w:t>
      </w:r>
      <w:r w:rsidRPr="00991045">
        <w:rPr>
          <w:rFonts w:ascii="Times New Roman" w:hAnsi="Times New Roman" w:cs="Times New Roman"/>
          <w:i/>
          <w:iCs/>
        </w:rPr>
        <w:t>From Child Welfare to Child Well-Being: An International Perspective on Knowledge in the Service of Policy Making</w:t>
      </w:r>
      <w:r w:rsidRPr="00991045">
        <w:rPr>
          <w:rFonts w:ascii="Times New Roman" w:hAnsi="Times New Roman" w:cs="Times New Roman"/>
        </w:rPr>
        <w:t xml:space="preserve">, </w:t>
      </w:r>
      <w:r w:rsidRPr="00991045">
        <w:rPr>
          <w:rFonts w:ascii="Times New Roman" w:hAnsi="Times New Roman" w:cs="Times New Roman"/>
          <w:i/>
          <w:iCs/>
        </w:rPr>
        <w:t>Children’s Well-Being: Indicators and Research</w:t>
      </w:r>
      <w:r w:rsidRPr="00991045">
        <w:rPr>
          <w:rFonts w:ascii="Times New Roman" w:hAnsi="Times New Roman" w:cs="Times New Roman"/>
        </w:rPr>
        <w:t>, edited by S. B. Kamerman, S. Phipps, and A. Ben-Arieh. Dordrecht: Springer Netherlands.</w:t>
      </w:r>
    </w:p>
    <w:p w14:paraId="617E4DA1"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Merritt, Darcey H. 2015. “The Impact of Positive Peer Relationships, School Experiences, and Future Outlook on Behavior Scores for Abused and Neglected Youth.” Society for Social Work and Research.</w:t>
      </w:r>
    </w:p>
    <w:p w14:paraId="457514AC"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Molnar, Beth E., Robert M. Goerge, Paola Gilsanz, Andrea Hill, S. V. Subramanian, John K. Holton, Dustin T. Duncan, Elizabeth D. Beatriz, and William R. Beardslee. 2016. “Neighborhood-Level Social Processes and Substantiated Cases of Child Maltreatment.” </w:t>
      </w:r>
      <w:r w:rsidRPr="00991045">
        <w:rPr>
          <w:rFonts w:ascii="Times New Roman" w:hAnsi="Times New Roman" w:cs="Times New Roman"/>
          <w:i/>
          <w:iCs/>
        </w:rPr>
        <w:t>Child Abuse &amp; Neglect</w:t>
      </w:r>
      <w:r w:rsidRPr="00991045">
        <w:rPr>
          <w:rFonts w:ascii="Times New Roman" w:hAnsi="Times New Roman" w:cs="Times New Roman"/>
        </w:rPr>
        <w:t xml:space="preserve"> 51:41–53. doi: 10.1016/j.chiabu.2015.11.007.</w:t>
      </w:r>
    </w:p>
    <w:p w14:paraId="37A6D5A3"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Mountz, Sarah, and Moshoula Capous-Desyllas. 2020. “Exploring the Families of Origin of LGBTQ Former Foster Youth and Their Trajectories throughout Care.” </w:t>
      </w:r>
      <w:r w:rsidRPr="00991045">
        <w:rPr>
          <w:rFonts w:ascii="Times New Roman" w:hAnsi="Times New Roman" w:cs="Times New Roman"/>
          <w:i/>
          <w:iCs/>
        </w:rPr>
        <w:t>Children and Youth Services Review</w:t>
      </w:r>
      <w:r w:rsidRPr="00991045">
        <w:rPr>
          <w:rFonts w:ascii="Times New Roman" w:hAnsi="Times New Roman" w:cs="Times New Roman"/>
        </w:rPr>
        <w:t xml:space="preserve"> 109:104622. doi: 10.1016/j.childyouth.2019.104622.</w:t>
      </w:r>
    </w:p>
    <w:p w14:paraId="165EAF2D"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Myers, John E. B. 2008. “A Short History of Child Protection in America.” </w:t>
      </w:r>
      <w:r w:rsidRPr="00991045">
        <w:rPr>
          <w:rFonts w:ascii="Times New Roman" w:hAnsi="Times New Roman" w:cs="Times New Roman"/>
          <w:i/>
          <w:iCs/>
        </w:rPr>
        <w:t>Family Law Quarterly</w:t>
      </w:r>
      <w:r w:rsidRPr="00991045">
        <w:rPr>
          <w:rFonts w:ascii="Times New Roman" w:hAnsi="Times New Roman" w:cs="Times New Roman"/>
        </w:rPr>
        <w:t xml:space="preserve"> 42(3):449–63.</w:t>
      </w:r>
    </w:p>
    <w:p w14:paraId="49730679"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Naveed, Hina. 2022. “‘If I Wasn’t Poor, I Wouldn’t Be Unfit.’” </w:t>
      </w:r>
      <w:r w:rsidRPr="00991045">
        <w:rPr>
          <w:rFonts w:ascii="Times New Roman" w:hAnsi="Times New Roman" w:cs="Times New Roman"/>
          <w:i/>
          <w:iCs/>
        </w:rPr>
        <w:t>Human Rights Watch</w:t>
      </w:r>
      <w:r w:rsidRPr="00991045">
        <w:rPr>
          <w:rFonts w:ascii="Times New Roman" w:hAnsi="Times New Roman" w:cs="Times New Roman"/>
        </w:rPr>
        <w:t>.</w:t>
      </w:r>
    </w:p>
    <w:p w14:paraId="5CCC217A"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Parra, Luis A., Timothy S. Bell, Michael Benibgui, Jonathan L. Helm, and Paul D. Hastings. 2018. “The Buffering Effect of Peer Support on the Links between Family Rejection and Psychosocial Adjustment in LGB Emerging Adults.” </w:t>
      </w:r>
      <w:r w:rsidRPr="00991045">
        <w:rPr>
          <w:rFonts w:ascii="Times New Roman" w:hAnsi="Times New Roman" w:cs="Times New Roman"/>
          <w:i/>
          <w:iCs/>
        </w:rPr>
        <w:t>Journal of Social and Personal Relationships</w:t>
      </w:r>
      <w:r w:rsidRPr="00991045">
        <w:rPr>
          <w:rFonts w:ascii="Times New Roman" w:hAnsi="Times New Roman" w:cs="Times New Roman"/>
        </w:rPr>
        <w:t xml:space="preserve"> 35(6):854–71. doi: 10.1177/0265407517699713.</w:t>
      </w:r>
    </w:p>
    <w:p w14:paraId="1E2D3724"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lastRenderedPageBreak/>
        <w:t xml:space="preserve">Paul, June C. 2020. “Exploring Support for LGBTQ Youth Transitioning from Foster Care to Emerging Adulthood.” </w:t>
      </w:r>
      <w:r w:rsidRPr="00991045">
        <w:rPr>
          <w:rFonts w:ascii="Times New Roman" w:hAnsi="Times New Roman" w:cs="Times New Roman"/>
          <w:i/>
          <w:iCs/>
        </w:rPr>
        <w:t>Children and Youth Services Review</w:t>
      </w:r>
      <w:r w:rsidRPr="00991045">
        <w:rPr>
          <w:rFonts w:ascii="Times New Roman" w:hAnsi="Times New Roman" w:cs="Times New Roman"/>
        </w:rPr>
        <w:t xml:space="preserve"> 119:105481. doi: 10.1016/j.childyouth.2020.105481.</w:t>
      </w:r>
    </w:p>
    <w:p w14:paraId="47A9102F"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Pelton, Leroy H. 2015. “The Continuing Role of Material Factors in Child Maltreatment and Placement.” </w:t>
      </w:r>
      <w:r w:rsidRPr="00991045">
        <w:rPr>
          <w:rFonts w:ascii="Times New Roman" w:hAnsi="Times New Roman" w:cs="Times New Roman"/>
          <w:i/>
          <w:iCs/>
        </w:rPr>
        <w:t>Child Abuse &amp; Neglect</w:t>
      </w:r>
      <w:r w:rsidRPr="00991045">
        <w:rPr>
          <w:rFonts w:ascii="Times New Roman" w:hAnsi="Times New Roman" w:cs="Times New Roman"/>
        </w:rPr>
        <w:t xml:space="preserve"> 41:30–39. doi: 10.1016/j.chiabu.2014.08.001.</w:t>
      </w:r>
    </w:p>
    <w:p w14:paraId="3BDEA614"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Pharris, Angela B., Heather Lepper-Pappan, Erin Maher, and Anthony P. Natale. 2023. “The Caseworker as an External Locus of Hope for LGB Youth in Foster Care.” </w:t>
      </w:r>
      <w:r w:rsidRPr="00991045">
        <w:rPr>
          <w:rFonts w:ascii="Times New Roman" w:hAnsi="Times New Roman" w:cs="Times New Roman"/>
          <w:i/>
          <w:iCs/>
        </w:rPr>
        <w:t>Journal of Public Child Welfare</w:t>
      </w:r>
      <w:r w:rsidRPr="00991045">
        <w:rPr>
          <w:rFonts w:ascii="Times New Roman" w:hAnsi="Times New Roman" w:cs="Times New Roman"/>
        </w:rPr>
        <w:t>.</w:t>
      </w:r>
    </w:p>
    <w:p w14:paraId="67962049"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Pittenger, Samantha L., Kelly E. Moore, Emily R. Dworkin, Cindy A. Crusto, and Christian M. Connell. 2018. “Risk and Protective Factors for Alcohol, Marijuana, and Cocaine Use among Child Welfare-Involved Youth.” </w:t>
      </w:r>
      <w:r w:rsidRPr="00991045">
        <w:rPr>
          <w:rFonts w:ascii="Times New Roman" w:hAnsi="Times New Roman" w:cs="Times New Roman"/>
          <w:i/>
          <w:iCs/>
        </w:rPr>
        <w:t>Children and Youth Services Review</w:t>
      </w:r>
      <w:r w:rsidRPr="00991045">
        <w:rPr>
          <w:rFonts w:ascii="Times New Roman" w:hAnsi="Times New Roman" w:cs="Times New Roman"/>
        </w:rPr>
        <w:t xml:space="preserve"> 95:88–94. doi: 10.1016/j.childyouth.2018.09.037.</w:t>
      </w:r>
    </w:p>
    <w:p w14:paraId="05617441"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Pon, Gordon, Kevin Gosine, and Doret Phillips. 2011. “IMMEDIATE RESPONSE: ADDRESSING ANTI-NATIVE AND ANTI-BLACK RACISM IN CHILD WELFARE.” </w:t>
      </w:r>
      <w:r w:rsidRPr="00991045">
        <w:rPr>
          <w:rFonts w:ascii="Times New Roman" w:hAnsi="Times New Roman" w:cs="Times New Roman"/>
          <w:i/>
          <w:iCs/>
        </w:rPr>
        <w:t>International Journal of Child, Youth and Family Studies</w:t>
      </w:r>
      <w:r w:rsidRPr="00991045">
        <w:rPr>
          <w:rFonts w:ascii="Times New Roman" w:hAnsi="Times New Roman" w:cs="Times New Roman"/>
        </w:rPr>
        <w:t xml:space="preserve"> 2(3/4):385–409. doi: 10.18357/ijcyfs23/420117763.</w:t>
      </w:r>
    </w:p>
    <w:p w14:paraId="06B58C07"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Prince, Dana M., Meagan Ray-Novak, Braveheart Gillani, and Emily Peterson. 2022. “Sexual and Gender Minority Youth in Foster Care: An Evidence-Based Theoretical Conceptual Model of Disproportionality and Psychological Comorbidities.” </w:t>
      </w:r>
      <w:r w:rsidRPr="00991045">
        <w:rPr>
          <w:rFonts w:ascii="Times New Roman" w:hAnsi="Times New Roman" w:cs="Times New Roman"/>
          <w:i/>
          <w:iCs/>
        </w:rPr>
        <w:t>Trauma, Violence, &amp; Abuse</w:t>
      </w:r>
      <w:r w:rsidRPr="00991045">
        <w:rPr>
          <w:rFonts w:ascii="Times New Roman" w:hAnsi="Times New Roman" w:cs="Times New Roman"/>
        </w:rPr>
        <w:t xml:space="preserve"> 23(5):1643–57. doi: 10.1177/15248380211013129.</w:t>
      </w:r>
    </w:p>
    <w:p w14:paraId="7DC994AC"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Radkowsky, Michael, and Lawrence J. Siegel. 1997. “The Gay Adolescent: Stressors, Adaptations, and Psychosocial Interventions.” </w:t>
      </w:r>
      <w:r w:rsidRPr="00991045">
        <w:rPr>
          <w:rFonts w:ascii="Times New Roman" w:hAnsi="Times New Roman" w:cs="Times New Roman"/>
          <w:i/>
          <w:iCs/>
        </w:rPr>
        <w:t>Clinical Psychology Review</w:t>
      </w:r>
      <w:r w:rsidRPr="00991045">
        <w:rPr>
          <w:rFonts w:ascii="Times New Roman" w:hAnsi="Times New Roman" w:cs="Times New Roman"/>
        </w:rPr>
        <w:t xml:space="preserve"> 17(2):191–216. doi: 10.1016/S0272-7358(97)00007-X.</w:t>
      </w:r>
    </w:p>
    <w:p w14:paraId="39598A2A"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Raghavan, Ramesh, and Anna Alexandrova. 2015. “Toward a Theory of Child Well-Being.” </w:t>
      </w:r>
      <w:r w:rsidRPr="00991045">
        <w:rPr>
          <w:rFonts w:ascii="Times New Roman" w:hAnsi="Times New Roman" w:cs="Times New Roman"/>
          <w:i/>
          <w:iCs/>
        </w:rPr>
        <w:t>Social Indicators Research</w:t>
      </w:r>
      <w:r w:rsidRPr="00991045">
        <w:rPr>
          <w:rFonts w:ascii="Times New Roman" w:hAnsi="Times New Roman" w:cs="Times New Roman"/>
        </w:rPr>
        <w:t xml:space="preserve"> 121(3):887–902. doi: 10.1007/s11205-014-0665-z.</w:t>
      </w:r>
    </w:p>
    <w:p w14:paraId="3B163484"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Reich, Jennifer A. 2008. “The Child Welfare System and State Intervention in Families: From Historical Patterns to Future Questions.” </w:t>
      </w:r>
      <w:r w:rsidRPr="00991045">
        <w:rPr>
          <w:rFonts w:ascii="Times New Roman" w:hAnsi="Times New Roman" w:cs="Times New Roman"/>
          <w:i/>
          <w:iCs/>
        </w:rPr>
        <w:t>Sociology Compass</w:t>
      </w:r>
      <w:r w:rsidRPr="00991045">
        <w:rPr>
          <w:rFonts w:ascii="Times New Roman" w:hAnsi="Times New Roman" w:cs="Times New Roman"/>
        </w:rPr>
        <w:t xml:space="preserve"> 2(3):888–909. doi: 10.1111/j.1751-9020.2008.00111.x.</w:t>
      </w:r>
    </w:p>
    <w:p w14:paraId="5DE97BD3"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Rich, Ashleigh J., Travis Salway, Ayden Scheim, and Tonia Poteat. 2020. “Sexual Minority Stress Theory: Remembering and Honoring the Work of Virginia Brooks.” </w:t>
      </w:r>
      <w:r w:rsidRPr="00991045">
        <w:rPr>
          <w:rFonts w:ascii="Times New Roman" w:hAnsi="Times New Roman" w:cs="Times New Roman"/>
          <w:i/>
          <w:iCs/>
        </w:rPr>
        <w:t>LGBT Health</w:t>
      </w:r>
      <w:r w:rsidRPr="00991045">
        <w:rPr>
          <w:rFonts w:ascii="Times New Roman" w:hAnsi="Times New Roman" w:cs="Times New Roman"/>
        </w:rPr>
        <w:t xml:space="preserve"> 7(3):124–27. doi: 10.1089/lgbt.2019.0223.</w:t>
      </w:r>
    </w:p>
    <w:p w14:paraId="61403F9E"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Saewyc, Elizabeth M., Carol L. Skay, Sandra L. Pettingell, Elizabeth A. Reis, Linda Bearinger, Michael Resnick, Aileen Murphy, and Leigh Combs. 2006. “Hazards of Stigma: The Sexual and Physical Abuse of Gay, Lesbian, and Bisexual Adolescents in the United States and Canada.” </w:t>
      </w:r>
      <w:r w:rsidRPr="00991045">
        <w:rPr>
          <w:rFonts w:ascii="Times New Roman" w:hAnsi="Times New Roman" w:cs="Times New Roman"/>
          <w:i/>
          <w:iCs/>
        </w:rPr>
        <w:t>Child Welfare</w:t>
      </w:r>
      <w:r w:rsidRPr="00991045">
        <w:rPr>
          <w:rFonts w:ascii="Times New Roman" w:hAnsi="Times New Roman" w:cs="Times New Roman"/>
        </w:rPr>
        <w:t xml:space="preserve"> 85(2).</w:t>
      </w:r>
    </w:p>
    <w:p w14:paraId="78D574CD"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Saupe, Laura B., Katharina Gößmann, Claudia Catani, and Frank Neuner. 2020. “Understanding the Link between Child Maltreatment and Adolescent Future Expectations in Northern Uganda: A Serial Mediation Analysis.” </w:t>
      </w:r>
      <w:r w:rsidRPr="00991045">
        <w:rPr>
          <w:rFonts w:ascii="Times New Roman" w:hAnsi="Times New Roman" w:cs="Times New Roman"/>
          <w:i/>
          <w:iCs/>
        </w:rPr>
        <w:t>Child Abuse &amp; Neglect</w:t>
      </w:r>
      <w:r w:rsidRPr="00991045">
        <w:rPr>
          <w:rFonts w:ascii="Times New Roman" w:hAnsi="Times New Roman" w:cs="Times New Roman"/>
        </w:rPr>
        <w:t xml:space="preserve"> 106:104511. doi: 10.1016/j.chiabu.2020.104511.</w:t>
      </w:r>
    </w:p>
    <w:p w14:paraId="2FEEC599"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Shanahan, Meghan E., Desmond K. Runyan, Sandra L. Martin, and Jonathan B. Kotch. 2017. “The within Poverty Differences in the Occurrence of Physical Neglect.” </w:t>
      </w:r>
      <w:r w:rsidRPr="00991045">
        <w:rPr>
          <w:rFonts w:ascii="Times New Roman" w:hAnsi="Times New Roman" w:cs="Times New Roman"/>
          <w:i/>
          <w:iCs/>
        </w:rPr>
        <w:t>Children and Youth Services Review</w:t>
      </w:r>
      <w:r w:rsidRPr="00991045">
        <w:rPr>
          <w:rFonts w:ascii="Times New Roman" w:hAnsi="Times New Roman" w:cs="Times New Roman"/>
        </w:rPr>
        <w:t xml:space="preserve"> 75:1–6. doi: 10.1016/j.childyouth.2017.02.014.</w:t>
      </w:r>
    </w:p>
    <w:p w14:paraId="761F526C"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lastRenderedPageBreak/>
        <w:t xml:space="preserve">Shilo, Guy, and Riki Savaya. 2011. “Effects of Family and Friend Support on LGB Youths’ Mental Health and Sexual Orientation Milestones.” </w:t>
      </w:r>
      <w:r w:rsidRPr="00991045">
        <w:rPr>
          <w:rFonts w:ascii="Times New Roman" w:hAnsi="Times New Roman" w:cs="Times New Roman"/>
          <w:i/>
          <w:iCs/>
        </w:rPr>
        <w:t>Family Relations</w:t>
      </w:r>
      <w:r w:rsidRPr="00991045">
        <w:rPr>
          <w:rFonts w:ascii="Times New Roman" w:hAnsi="Times New Roman" w:cs="Times New Roman"/>
        </w:rPr>
        <w:t xml:space="preserve"> 60(3):318–30. doi: 10.1111/j.1741-3729.2011.00648.x.</w:t>
      </w:r>
    </w:p>
    <w:p w14:paraId="2AAA0341"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Simmons, Michaela Christy. 2023. “The Racial Origins of Foster Home Care: Black Family Responsibility in the Early Welfare State, New York City, 1930s–1960s.” </w:t>
      </w:r>
      <w:r w:rsidRPr="00991045">
        <w:rPr>
          <w:rFonts w:ascii="Times New Roman" w:hAnsi="Times New Roman" w:cs="Times New Roman"/>
          <w:i/>
          <w:iCs/>
        </w:rPr>
        <w:t>Du Bois Review: Social Science Research on Race</w:t>
      </w:r>
      <w:r w:rsidRPr="00991045">
        <w:rPr>
          <w:rFonts w:ascii="Times New Roman" w:hAnsi="Times New Roman" w:cs="Times New Roman"/>
        </w:rPr>
        <w:t xml:space="preserve"> 1–23. doi: 10.1017/S1742058X22000248.</w:t>
      </w:r>
    </w:p>
    <w:p w14:paraId="574B9E91"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Sulimani-Aidan, Yafit, Eran Melkman, and Chan M. Hellman. 2018. “Nurturing the Hope of Youth in Care: The Contribution of Mentoring.” </w:t>
      </w:r>
      <w:r w:rsidRPr="00991045">
        <w:rPr>
          <w:rFonts w:ascii="Times New Roman" w:hAnsi="Times New Roman" w:cs="Times New Roman"/>
          <w:i/>
          <w:iCs/>
        </w:rPr>
        <w:t>American Journal of Orthopsychiatry</w:t>
      </w:r>
      <w:r w:rsidRPr="00991045">
        <w:rPr>
          <w:rFonts w:ascii="Times New Roman" w:hAnsi="Times New Roman" w:cs="Times New Roman"/>
        </w:rPr>
        <w:t xml:space="preserve"> 89(2):134. doi: 10.1037/ort0000320.</w:t>
      </w:r>
    </w:p>
    <w:p w14:paraId="0B0F053C"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The Annie E. Casey Foundation. 2022. “Child Welfare and Foster Care Statistics.” </w:t>
      </w:r>
      <w:r w:rsidRPr="00991045">
        <w:rPr>
          <w:rFonts w:ascii="Times New Roman" w:hAnsi="Times New Roman" w:cs="Times New Roman"/>
          <w:i/>
          <w:iCs/>
        </w:rPr>
        <w:t>The Annie E. Casey Foundation</w:t>
      </w:r>
      <w:r w:rsidRPr="00991045">
        <w:rPr>
          <w:rFonts w:ascii="Times New Roman" w:hAnsi="Times New Roman" w:cs="Times New Roman"/>
        </w:rPr>
        <w:t>. Retrieved February 5, 2024 (https://www.aecf.org/blog/child-welfare-and-foster-care-statistics).</w:t>
      </w:r>
    </w:p>
    <w:p w14:paraId="5A487921"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Thompson, Heather M., Marianna L. Colvin, Morgan E. Cooley, and Bethany Womack. 2021. “Factors Predicting Service Referrals for Youth in the Child Welfare System.” </w:t>
      </w:r>
      <w:r w:rsidRPr="00991045">
        <w:rPr>
          <w:rFonts w:ascii="Times New Roman" w:hAnsi="Times New Roman" w:cs="Times New Roman"/>
          <w:i/>
          <w:iCs/>
        </w:rPr>
        <w:t>Child and Adolescent Social Work Journal</w:t>
      </w:r>
      <w:r w:rsidRPr="00991045">
        <w:rPr>
          <w:rFonts w:ascii="Times New Roman" w:hAnsi="Times New Roman" w:cs="Times New Roman"/>
        </w:rPr>
        <w:t>. doi: 10.1007/s10560-021-00760-1.</w:t>
      </w:r>
    </w:p>
    <w:p w14:paraId="295BD8E2"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U.S. Department of Health and Human Services, Administration for Children and Families, Administration on Children, Youth and Families, Children’s Bureau. 2023. “Child Maltreatment 2021.” Retrieved April 19, 2023 (https://www.acf.hhs.gov/cb/report/child-maltreatment-2021).</w:t>
      </w:r>
    </w:p>
    <w:p w14:paraId="439C0D2D"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Vansteelandt, S., and R. m. Daniel. 2014. “On Regression Adjustment for the Propensity Score.” </w:t>
      </w:r>
      <w:r w:rsidRPr="00991045">
        <w:rPr>
          <w:rFonts w:ascii="Times New Roman" w:hAnsi="Times New Roman" w:cs="Times New Roman"/>
          <w:i/>
          <w:iCs/>
        </w:rPr>
        <w:t>Statistics in Medicine</w:t>
      </w:r>
      <w:r w:rsidRPr="00991045">
        <w:rPr>
          <w:rFonts w:ascii="Times New Roman" w:hAnsi="Times New Roman" w:cs="Times New Roman"/>
        </w:rPr>
        <w:t xml:space="preserve"> 33(23):4053–72. doi: 10.1002/sim.6207.</w:t>
      </w:r>
    </w:p>
    <w:p w14:paraId="54B23E3B"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Wilson, Bianca D. M., and Angeliki A. Kastanis. 2015. “Sexual and Gender Minority Disproportionality and Disparities in Child Welfare: A Population-Based Study.” </w:t>
      </w:r>
      <w:r w:rsidRPr="00991045">
        <w:rPr>
          <w:rFonts w:ascii="Times New Roman" w:hAnsi="Times New Roman" w:cs="Times New Roman"/>
          <w:i/>
          <w:iCs/>
        </w:rPr>
        <w:t>Children and Youth Services Review</w:t>
      </w:r>
      <w:r w:rsidRPr="00991045">
        <w:rPr>
          <w:rFonts w:ascii="Times New Roman" w:hAnsi="Times New Roman" w:cs="Times New Roman"/>
        </w:rPr>
        <w:t xml:space="preserve"> 58:11–17. doi: 10.1016/j.childyouth.2015.08.016.</w:t>
      </w:r>
    </w:p>
    <w:p w14:paraId="550A30D4" w14:textId="77777777" w:rsidR="00114DEE" w:rsidRPr="00991045" w:rsidRDefault="00114DEE" w:rsidP="00114DEE">
      <w:pPr>
        <w:pStyle w:val="Bibliography"/>
        <w:rPr>
          <w:rFonts w:ascii="Times New Roman" w:hAnsi="Times New Roman" w:cs="Times New Roman"/>
        </w:rPr>
      </w:pPr>
      <w:r w:rsidRPr="00991045">
        <w:rPr>
          <w:rFonts w:ascii="Times New Roman" w:hAnsi="Times New Roman" w:cs="Times New Roman"/>
        </w:rPr>
        <w:t xml:space="preserve">Yoon, Susan, Erin Tebben, and Guijin Lee. 2017. “Early Childhood Aggression among Child Welfare Involved Children: The Interplay between the Type of Child Maltreatment and Ecological Protective Factors.” </w:t>
      </w:r>
      <w:r w:rsidRPr="00991045">
        <w:rPr>
          <w:rFonts w:ascii="Times New Roman" w:hAnsi="Times New Roman" w:cs="Times New Roman"/>
          <w:i/>
          <w:iCs/>
        </w:rPr>
        <w:t>Children and Youth Services Review</w:t>
      </w:r>
      <w:r w:rsidRPr="00991045">
        <w:rPr>
          <w:rFonts w:ascii="Times New Roman" w:hAnsi="Times New Roman" w:cs="Times New Roman"/>
        </w:rPr>
        <w:t xml:space="preserve"> 81:72–80. doi: 10.1016/j.childyouth.2017.07.030.</w:t>
      </w:r>
    </w:p>
    <w:p w14:paraId="0300153A" w14:textId="77777777" w:rsidR="00114DEE" w:rsidRPr="001357A2" w:rsidRDefault="00114DEE" w:rsidP="00114DEE">
      <w:pPr>
        <w:spacing w:line="480" w:lineRule="auto"/>
        <w:rPr>
          <w:rFonts w:ascii="Times New Roman" w:hAnsi="Times New Roman" w:cs="Times New Roman"/>
        </w:rPr>
      </w:pPr>
      <w:r w:rsidRPr="00114DEE">
        <w:rPr>
          <w:rFonts w:ascii="Times New Roman" w:hAnsi="Times New Roman" w:cs="Times New Roman"/>
        </w:rPr>
        <w:fldChar w:fldCharType="end"/>
      </w:r>
    </w:p>
    <w:p w14:paraId="761CA2E2" w14:textId="77777777" w:rsidR="00D37066" w:rsidRDefault="00D37066" w:rsidP="00114DEE">
      <w:pPr>
        <w:spacing w:after="0" w:line="480" w:lineRule="auto"/>
        <w:rPr>
          <w:rFonts w:ascii="Times New Roman" w:hAnsi="Times New Roman" w:cs="Times New Roman"/>
          <w:kern w:val="0"/>
          <w:sz w:val="24"/>
          <w:szCs w:val="24"/>
          <w14:ligatures w14:val="none"/>
        </w:rPr>
      </w:pPr>
    </w:p>
    <w:p w14:paraId="010D7809"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53CAE4E0"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5C1F1CAF"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7C2FDB8A"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5A4740CD"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08B74B08"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551D55E2"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40A40760"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12409599"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4B79EAEE"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32CE83F4"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22A2AA3F"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5BACCE8B" w14:textId="77777777" w:rsidR="00012D02" w:rsidRDefault="00012D02" w:rsidP="00A036E2">
      <w:pPr>
        <w:spacing w:after="0" w:line="480" w:lineRule="auto"/>
        <w:jc w:val="center"/>
        <w:rPr>
          <w:rFonts w:ascii="Times New Roman" w:hAnsi="Times New Roman" w:cs="Times New Roman"/>
          <w:kern w:val="0"/>
          <w:sz w:val="24"/>
          <w:szCs w:val="24"/>
          <w14:ligatures w14:val="none"/>
        </w:rPr>
      </w:pPr>
    </w:p>
    <w:p w14:paraId="337C6A3E" w14:textId="77BE5416" w:rsidR="004E0B1D" w:rsidRPr="00442034" w:rsidRDefault="00A036E2" w:rsidP="00A036E2">
      <w:pPr>
        <w:spacing w:after="0" w:line="480" w:lineRule="auto"/>
        <w:jc w:val="center"/>
        <w:rPr>
          <w:rFonts w:ascii="Times New Roman" w:hAnsi="Times New Roman" w:cs="Times New Roman"/>
          <w:kern w:val="0"/>
          <w:sz w:val="24"/>
          <w:szCs w:val="24"/>
          <w14:ligatures w14:val="none"/>
        </w:rPr>
      </w:pPr>
      <w:r w:rsidRPr="00442034">
        <w:rPr>
          <w:rFonts w:ascii="Times New Roman" w:hAnsi="Times New Roman" w:cs="Times New Roman"/>
          <w:kern w:val="0"/>
          <w:sz w:val="24"/>
          <w:szCs w:val="24"/>
          <w14:ligatures w14:val="none"/>
        </w:rPr>
        <w:t xml:space="preserve">Chapter Two: </w:t>
      </w:r>
    </w:p>
    <w:p w14:paraId="01C0CD76" w14:textId="21C6C09E" w:rsidR="00A036E2" w:rsidRPr="00442034" w:rsidRDefault="00A036E2" w:rsidP="00A036E2">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t>What’s Love Got to Do with It? How LGBQ Youth’s Relationship</w:t>
      </w:r>
    </w:p>
    <w:p w14:paraId="5E768A5A" w14:textId="5B31EBB6" w:rsidR="00FB626E" w:rsidRDefault="00A036E2" w:rsidP="00A036E2">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t>with their Caregiver Impacts Well-Being</w:t>
      </w:r>
    </w:p>
    <w:p w14:paraId="66D99B97" w14:textId="77777777" w:rsidR="007460C8" w:rsidRDefault="007460C8" w:rsidP="00A036E2">
      <w:pPr>
        <w:spacing w:line="480" w:lineRule="auto"/>
        <w:jc w:val="center"/>
        <w:rPr>
          <w:rFonts w:ascii="Times New Roman" w:hAnsi="Times New Roman" w:cs="Times New Roman"/>
          <w:sz w:val="24"/>
          <w:szCs w:val="24"/>
        </w:rPr>
      </w:pPr>
    </w:p>
    <w:p w14:paraId="4AFFE5D9" w14:textId="77777777" w:rsidR="007460C8" w:rsidRDefault="007460C8" w:rsidP="00A036E2">
      <w:pPr>
        <w:spacing w:line="480" w:lineRule="auto"/>
        <w:jc w:val="center"/>
        <w:rPr>
          <w:rFonts w:ascii="Times New Roman" w:hAnsi="Times New Roman" w:cs="Times New Roman"/>
          <w:sz w:val="24"/>
          <w:szCs w:val="24"/>
        </w:rPr>
      </w:pPr>
    </w:p>
    <w:p w14:paraId="636BAA4E" w14:textId="77777777" w:rsidR="007460C8" w:rsidRDefault="007460C8" w:rsidP="00A036E2">
      <w:pPr>
        <w:spacing w:line="480" w:lineRule="auto"/>
        <w:jc w:val="center"/>
        <w:rPr>
          <w:rFonts w:ascii="Times New Roman" w:hAnsi="Times New Roman" w:cs="Times New Roman"/>
          <w:sz w:val="24"/>
          <w:szCs w:val="24"/>
        </w:rPr>
      </w:pPr>
    </w:p>
    <w:p w14:paraId="7D8EFD75" w14:textId="77777777" w:rsidR="007460C8" w:rsidRDefault="007460C8" w:rsidP="00A036E2">
      <w:pPr>
        <w:spacing w:line="480" w:lineRule="auto"/>
        <w:jc w:val="center"/>
        <w:rPr>
          <w:rFonts w:ascii="Times New Roman" w:hAnsi="Times New Roman" w:cs="Times New Roman"/>
          <w:sz w:val="24"/>
          <w:szCs w:val="24"/>
        </w:rPr>
      </w:pPr>
    </w:p>
    <w:p w14:paraId="684EA98C" w14:textId="77777777" w:rsidR="007460C8" w:rsidRDefault="007460C8" w:rsidP="00A036E2">
      <w:pPr>
        <w:spacing w:line="480" w:lineRule="auto"/>
        <w:jc w:val="center"/>
        <w:rPr>
          <w:rFonts w:ascii="Times New Roman" w:hAnsi="Times New Roman" w:cs="Times New Roman"/>
          <w:sz w:val="24"/>
          <w:szCs w:val="24"/>
        </w:rPr>
      </w:pPr>
    </w:p>
    <w:p w14:paraId="0FDDE6C0" w14:textId="77777777" w:rsidR="007460C8" w:rsidRDefault="007460C8" w:rsidP="007460C8">
      <w:pPr>
        <w:spacing w:line="480" w:lineRule="auto"/>
        <w:rPr>
          <w:rFonts w:ascii="Times New Roman" w:hAnsi="Times New Roman" w:cs="Times New Roman"/>
          <w:sz w:val="24"/>
          <w:szCs w:val="24"/>
        </w:rPr>
      </w:pPr>
    </w:p>
    <w:p w14:paraId="0135A3FE" w14:textId="79F8D9C2" w:rsidR="007460C8" w:rsidRPr="00442034" w:rsidRDefault="007460C8" w:rsidP="007460C8">
      <w:pPr>
        <w:spacing w:line="480" w:lineRule="auto"/>
        <w:rPr>
          <w:rFonts w:ascii="Times New Roman" w:hAnsi="Times New Roman" w:cs="Times New Roman"/>
          <w:sz w:val="24"/>
          <w:szCs w:val="24"/>
        </w:rPr>
      </w:pPr>
    </w:p>
    <w:p w14:paraId="2184FC0B" w14:textId="462F5DCD" w:rsidR="00442034" w:rsidRPr="007460C8" w:rsidRDefault="00FB626E" w:rsidP="007460C8">
      <w:pPr>
        <w:jc w:val="center"/>
        <w:rPr>
          <w:rFonts w:ascii="Times New Roman" w:hAnsi="Times New Roman" w:cs="Times New Roman"/>
          <w:sz w:val="24"/>
          <w:szCs w:val="24"/>
        </w:rPr>
      </w:pPr>
      <w:r w:rsidRPr="00442034">
        <w:rPr>
          <w:rFonts w:ascii="Times New Roman" w:hAnsi="Times New Roman" w:cs="Times New Roman"/>
          <w:sz w:val="24"/>
          <w:szCs w:val="24"/>
        </w:rPr>
        <w:br w:type="page"/>
      </w:r>
      <w:r w:rsidR="00442034" w:rsidRPr="00442034">
        <w:rPr>
          <w:rFonts w:ascii="Times New Roman" w:hAnsi="Times New Roman" w:cs="Times New Roman"/>
          <w:b/>
          <w:bCs/>
          <w:sz w:val="24"/>
          <w:szCs w:val="24"/>
        </w:rPr>
        <w:lastRenderedPageBreak/>
        <w:t>Abstract</w:t>
      </w:r>
    </w:p>
    <w:p w14:paraId="05C5EF11" w14:textId="703A0489" w:rsidR="00442034" w:rsidRPr="00442034" w:rsidRDefault="00442034" w:rsidP="00442034">
      <w:pPr>
        <w:rPr>
          <w:rFonts w:ascii="Times New Roman" w:hAnsi="Times New Roman" w:cs="Times New Roman"/>
          <w:sz w:val="24"/>
          <w:szCs w:val="24"/>
        </w:rPr>
      </w:pPr>
      <w:r w:rsidRPr="00442034">
        <w:rPr>
          <w:rFonts w:ascii="Times New Roman" w:hAnsi="Times New Roman" w:cs="Times New Roman"/>
          <w:sz w:val="24"/>
          <w:szCs w:val="24"/>
        </w:rPr>
        <w:tab/>
        <w:t xml:space="preserve">Lesbian, gay, bisexual, and queer (LGBQ) youth are disproportionately represented in the child welfare system, often with poor permanency and well-being outcomes. A key protective factor for youth in the foster care system includes supportive relationships with family members and caregivers, which has been much less studied for LGBQ </w:t>
      </w:r>
      <w:proofErr w:type="gramStart"/>
      <w:r w:rsidRPr="00442034">
        <w:rPr>
          <w:rFonts w:ascii="Times New Roman" w:hAnsi="Times New Roman" w:cs="Times New Roman"/>
          <w:sz w:val="24"/>
          <w:szCs w:val="24"/>
        </w:rPr>
        <w:t>youth in particular</w:t>
      </w:r>
      <w:proofErr w:type="gramEnd"/>
      <w:r w:rsidRPr="00442034">
        <w:rPr>
          <w:rFonts w:ascii="Times New Roman" w:hAnsi="Times New Roman" w:cs="Times New Roman"/>
          <w:sz w:val="24"/>
          <w:szCs w:val="24"/>
        </w:rPr>
        <w:t>. This study uses the National Survey of Child and Adolescent Well-Being (NSCAW-II) to analyze child well-being, as measured by externalizing and internalizing behaviors, among LGBQ youth in</w:t>
      </w:r>
      <w:r w:rsidR="0085563A">
        <w:rPr>
          <w:rFonts w:ascii="Times New Roman" w:hAnsi="Times New Roman" w:cs="Times New Roman"/>
          <w:sz w:val="24"/>
          <w:szCs w:val="24"/>
        </w:rPr>
        <w:t>volved in</w:t>
      </w:r>
      <w:r w:rsidRPr="00442034">
        <w:rPr>
          <w:rFonts w:ascii="Times New Roman" w:hAnsi="Times New Roman" w:cs="Times New Roman"/>
          <w:sz w:val="24"/>
          <w:szCs w:val="24"/>
        </w:rPr>
        <w:t xml:space="preserve"> child welfare and how it is influenced by the</w:t>
      </w:r>
      <w:r w:rsidR="001D3D87">
        <w:rPr>
          <w:rFonts w:ascii="Times New Roman" w:hAnsi="Times New Roman" w:cs="Times New Roman"/>
          <w:sz w:val="24"/>
          <w:szCs w:val="24"/>
        </w:rPr>
        <w:t xml:space="preserve"> quality of the</w:t>
      </w:r>
      <w:r w:rsidRPr="00442034">
        <w:rPr>
          <w:rFonts w:ascii="Times New Roman" w:hAnsi="Times New Roman" w:cs="Times New Roman"/>
          <w:sz w:val="24"/>
          <w:szCs w:val="24"/>
        </w:rPr>
        <w:t xml:space="preserve"> relationship with their caregiver. Using </w:t>
      </w:r>
      <w:r w:rsidR="00882B08">
        <w:rPr>
          <w:rFonts w:ascii="Times New Roman" w:hAnsi="Times New Roman" w:cs="Times New Roman"/>
          <w:sz w:val="24"/>
          <w:szCs w:val="24"/>
        </w:rPr>
        <w:t>logistic regression analyses</w:t>
      </w:r>
      <w:r w:rsidRPr="00442034">
        <w:rPr>
          <w:rFonts w:ascii="Times New Roman" w:hAnsi="Times New Roman" w:cs="Times New Roman"/>
          <w:sz w:val="24"/>
          <w:szCs w:val="24"/>
        </w:rPr>
        <w:t xml:space="preserve">, I find that </w:t>
      </w:r>
      <w:r w:rsidR="00882B08">
        <w:rPr>
          <w:rFonts w:ascii="Times New Roman" w:hAnsi="Times New Roman" w:cs="Times New Roman"/>
          <w:sz w:val="24"/>
          <w:szCs w:val="24"/>
        </w:rPr>
        <w:t xml:space="preserve">LGBQ </w:t>
      </w:r>
      <w:r w:rsidRPr="00442034">
        <w:rPr>
          <w:rFonts w:ascii="Times New Roman" w:hAnsi="Times New Roman" w:cs="Times New Roman"/>
          <w:sz w:val="24"/>
          <w:szCs w:val="24"/>
        </w:rPr>
        <w:t xml:space="preserve">youth have </w:t>
      </w:r>
      <w:r w:rsidR="001153DC">
        <w:rPr>
          <w:rFonts w:ascii="Times New Roman" w:hAnsi="Times New Roman" w:cs="Times New Roman"/>
          <w:sz w:val="24"/>
          <w:szCs w:val="24"/>
        </w:rPr>
        <w:t>lower log odds of</w:t>
      </w:r>
      <w:r w:rsidRPr="00442034">
        <w:rPr>
          <w:rFonts w:ascii="Times New Roman" w:hAnsi="Times New Roman" w:cs="Times New Roman"/>
          <w:sz w:val="24"/>
          <w:szCs w:val="24"/>
        </w:rPr>
        <w:t xml:space="preserve"> externalizing behavior problems compared to </w:t>
      </w:r>
      <w:r w:rsidR="001153DC">
        <w:rPr>
          <w:rFonts w:ascii="Times New Roman" w:hAnsi="Times New Roman" w:cs="Times New Roman"/>
          <w:sz w:val="24"/>
          <w:szCs w:val="24"/>
        </w:rPr>
        <w:t>heterosexual youth</w:t>
      </w:r>
      <w:r w:rsidRPr="00442034">
        <w:rPr>
          <w:rFonts w:ascii="Times New Roman" w:hAnsi="Times New Roman" w:cs="Times New Roman"/>
          <w:sz w:val="24"/>
          <w:szCs w:val="24"/>
        </w:rPr>
        <w:t xml:space="preserve">. </w:t>
      </w:r>
      <w:r w:rsidR="001153DC">
        <w:rPr>
          <w:rFonts w:ascii="Times New Roman" w:hAnsi="Times New Roman" w:cs="Times New Roman"/>
          <w:sz w:val="24"/>
          <w:szCs w:val="24"/>
        </w:rPr>
        <w:t>Interaction terms between LGBQ youth and the quality of their relationship with their caregiver reveal</w:t>
      </w:r>
      <w:r w:rsidRPr="00442034">
        <w:rPr>
          <w:rFonts w:ascii="Times New Roman" w:hAnsi="Times New Roman" w:cs="Times New Roman"/>
          <w:sz w:val="24"/>
          <w:szCs w:val="24"/>
        </w:rPr>
        <w:t xml:space="preserve"> that for LGBQ youth, caregiver reports of clinically significant </w:t>
      </w:r>
      <w:r w:rsidR="001153DC">
        <w:rPr>
          <w:rFonts w:ascii="Times New Roman" w:hAnsi="Times New Roman" w:cs="Times New Roman"/>
          <w:sz w:val="24"/>
          <w:szCs w:val="24"/>
        </w:rPr>
        <w:t xml:space="preserve">externalizing </w:t>
      </w:r>
      <w:r w:rsidRPr="00442034">
        <w:rPr>
          <w:rFonts w:ascii="Times New Roman" w:hAnsi="Times New Roman" w:cs="Times New Roman"/>
          <w:sz w:val="24"/>
          <w:szCs w:val="24"/>
        </w:rPr>
        <w:t>behavior problems increase as the youth’s perception of the quality of their relationship with their caregiver increases. These findings have implications for how social workers and caregivers can improve well-being outcomes for this vulnerable population.</w:t>
      </w:r>
    </w:p>
    <w:p w14:paraId="15711414" w14:textId="301EA7E7" w:rsidR="00BE127C" w:rsidRDefault="00442034" w:rsidP="00442034">
      <w:pPr>
        <w:rPr>
          <w:rFonts w:ascii="Times New Roman" w:hAnsi="Times New Roman" w:cs="Times New Roman"/>
          <w:sz w:val="24"/>
          <w:szCs w:val="24"/>
        </w:rPr>
      </w:pPr>
      <w:r w:rsidRPr="00442034">
        <w:rPr>
          <w:rFonts w:ascii="Times New Roman" w:hAnsi="Times New Roman" w:cs="Times New Roman"/>
          <w:b/>
          <w:bCs/>
          <w:sz w:val="24"/>
          <w:szCs w:val="24"/>
        </w:rPr>
        <w:t>Keywords:</w:t>
      </w:r>
      <w:r w:rsidRPr="00442034">
        <w:rPr>
          <w:rFonts w:ascii="Times New Roman" w:hAnsi="Times New Roman" w:cs="Times New Roman"/>
          <w:sz w:val="24"/>
          <w:szCs w:val="24"/>
        </w:rPr>
        <w:t xml:space="preserve"> LGBQ youth, foster care, caregiver relationships, child well-being</w:t>
      </w:r>
    </w:p>
    <w:p w14:paraId="266FF535" w14:textId="0415F273" w:rsidR="00442034" w:rsidRPr="00BE127C" w:rsidRDefault="00BE127C" w:rsidP="00442034">
      <w:pPr>
        <w:rPr>
          <w:rFonts w:ascii="Times New Roman" w:hAnsi="Times New Roman" w:cs="Times New Roman"/>
          <w:sz w:val="24"/>
          <w:szCs w:val="24"/>
        </w:rPr>
      </w:pPr>
      <w:r>
        <w:rPr>
          <w:rFonts w:ascii="Times New Roman" w:hAnsi="Times New Roman" w:cs="Times New Roman"/>
          <w:sz w:val="24"/>
          <w:szCs w:val="24"/>
        </w:rPr>
        <w:br w:type="page"/>
      </w:r>
    </w:p>
    <w:p w14:paraId="033458EC" w14:textId="5C13E550" w:rsidR="00442034" w:rsidRPr="00442034" w:rsidRDefault="00442034" w:rsidP="00442034">
      <w:pPr>
        <w:jc w:val="center"/>
        <w:rPr>
          <w:rFonts w:ascii="Times New Roman" w:hAnsi="Times New Roman" w:cs="Times New Roman"/>
          <w:b/>
          <w:bCs/>
          <w:sz w:val="24"/>
          <w:szCs w:val="24"/>
        </w:rPr>
      </w:pPr>
      <w:r w:rsidRPr="00442034">
        <w:rPr>
          <w:rFonts w:ascii="Times New Roman" w:hAnsi="Times New Roman" w:cs="Times New Roman"/>
          <w:b/>
          <w:bCs/>
          <w:sz w:val="24"/>
          <w:szCs w:val="24"/>
        </w:rPr>
        <w:lastRenderedPageBreak/>
        <w:t>Introduction</w:t>
      </w:r>
    </w:p>
    <w:p w14:paraId="0A4404B8" w14:textId="49E2DF3D" w:rsidR="00442034" w:rsidRPr="00442034" w:rsidRDefault="00442034" w:rsidP="00442034">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Lesbian, gay, bisexual, and queer (LGBQ) </w:t>
      </w:r>
      <w:r w:rsidR="00EA494D">
        <w:rPr>
          <w:rFonts w:ascii="Times New Roman" w:hAnsi="Times New Roman" w:cs="Times New Roman"/>
          <w:sz w:val="24"/>
          <w:szCs w:val="24"/>
        </w:rPr>
        <w:t xml:space="preserve">youth </w:t>
      </w:r>
      <w:r w:rsidRPr="00442034">
        <w:rPr>
          <w:rFonts w:ascii="Times New Roman" w:hAnsi="Times New Roman" w:cs="Times New Roman"/>
          <w:sz w:val="24"/>
          <w:szCs w:val="24"/>
        </w:rPr>
        <w:t xml:space="preserve">are disproportionately represented in the </w:t>
      </w:r>
      <w:r w:rsidR="004D5E07">
        <w:rPr>
          <w:rFonts w:ascii="Times New Roman" w:hAnsi="Times New Roman" w:cs="Times New Roman"/>
          <w:sz w:val="24"/>
          <w:szCs w:val="24"/>
        </w:rPr>
        <w:t>child welfare</w:t>
      </w:r>
      <w:r w:rsidRPr="00442034">
        <w:rPr>
          <w:rFonts w:ascii="Times New Roman" w:hAnsi="Times New Roman" w:cs="Times New Roman"/>
          <w:sz w:val="24"/>
          <w:szCs w:val="24"/>
        </w:rPr>
        <w:t xml:space="preserve"> system compared to their heterosexual peers and represent a vulnerable population within </w:t>
      </w:r>
      <w:r w:rsidR="004D5E07">
        <w:rPr>
          <w:rFonts w:ascii="Times New Roman" w:hAnsi="Times New Roman" w:cs="Times New Roman"/>
          <w:sz w:val="24"/>
          <w:szCs w:val="24"/>
        </w:rPr>
        <w:t>this system</w:t>
      </w:r>
      <w:r w:rsidRPr="00442034">
        <w:rPr>
          <w:rFonts w:ascii="Times New Roman" w:hAnsi="Times New Roman" w:cs="Times New Roman"/>
          <w:sz w:val="24"/>
          <w:szCs w:val="24"/>
        </w:rPr>
        <w:t xml:space="preserve">. I use the acronym LGBQ as there are no variables to capture transgender identity in the data used in this analysis, therefore I cannot infer the experiences of transgender youth based on my results. Though only 8% of America’s youth in grades 9-12 identify as LGBQ (Dettlaff &amp; Washburn, 2018), Fish et al (2019) found that 14% of youth in foster care identify as LGBQ. Other estimates reveal 18-60% of youth in foster care identify as LGBQ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{"citationID":"AIRH6UKZ","properties":{"formattedCitation":"(Wilson and Kastanis 2015)","plainCitation":"(Wilson and Kastanis 2015)","noteIndex":0},"citationItems":[{"id":242,"uris":["http://zotero.org/users/7501598/items/5IKH5KVD"],"itemData":{"id":242,"type":"article-journal","abstract":"Empirical research is needed to support ongoing efforts to improve services for sexual and gender minority youth in foster care. Further, data on the presence of sexual and gender minority youth within the child welfare system are needed to encourage counties that have not yet begun to engage in any efforts to address the unique needs and barriers to permanency for these youth. The current study reports on the ﬁndings of the Los Angeles Foster Youth Survey (LAFYS) which was designed to assess the proportion of youth placed in the Los Angeles County public child welfare system who are LGBTQ and to examine their experiences in communities, schools, and foster care. Findings indicate that approximately 19% of Los Angeles foster youth are LGBTQ. This proportion of youth is signiﬁcantly higher than estimates of adolescent and young adult sexual and gender minority identiﬁcation rates in the general population. Further, analyses also indicate that sexual and gender minority youth in this study are less satisﬁed with their child welfare system experience, are more likely to experience homelessness, are moved around to more placements, and are experiencing higher levels of emotional distress compared to their nonLGBTQ counterparts.","container-title":"Children and Youth Services Review","DOI":"10.1016/j.childyouth.2015.08.016","ISSN":"01907409","journalAbbreviation":"Children and Youth Services Review","language":"en","page":"11-17","source":"DOI.org (Crossref)","title":"Sexual and gender minority disproportionality and disparities in child welfare: A population-based study","title-short":"Sexual and gender minority disproportionality and disparities in child welfare","volume":"58","author":[{"family":"Wilson","given":"Bianca D.M."},{"family":"Kastanis","given":"Angeliki A."}],"issued":{"date-parts":[["2015",11]]}}}],"schema":"https://github.com/citation-style-language/schema/raw/master/csl-citation.json"}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(Wilson and Kastanis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In retrospective or self-report surveys, LGBQ youth are almost 2.5 times more likely to report having spent time in foster care than their heterosexual peers, further illustrating this disproportionality (Fish et al., 2019). Given this overrepresentation, it is important to examine the well-being of LGBQ youth involved in the child welfare system.</w:t>
      </w:r>
    </w:p>
    <w:p w14:paraId="6E75B60C" w14:textId="4882B06F" w:rsidR="00442034" w:rsidRPr="00442034" w:rsidRDefault="00442034" w:rsidP="00442034">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Youth involved with the child welfare system face many challenges to their overall well-being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{"citationID":"ZTd8KoX9","properties":{"formattedCitation":"(McCrae 2009; Turney and Wildeman 2016)","plainCitation":"(McCrae 2009; Turney and Wildeman 2016)","noteIndex":0},"citationItems":[{"id":238,"uris":["http://zotero.org/users/7501598/items/6EKICFY4",["http://zotero.org/users/7501598/items/6EKICFY4"]],"itemData":{"id":238,"type":"article-journal","abstract":"Child welfare agencies are required to provide services that ensure that children receive adequate mental health care. This study provides a comprehensive view of the emotional and behavioral problems of children who are referred to child welfare services, using nationally representative data. Bivariate analyses compare rates by child demographics, and conditional probability tables present changes in clinical status. Results show that 62% of children have at least one clinical-level score over 3 years. Rates are highest at baseline. Posttraumatic stress most frequently improves, whereas thought, attention, and aggressive/ delinquent behavior problems are most persistent. Sexualized behavior is more common among White and Hispanic children, and boys are reported with more internalizing problems than do girls. Targeted services are needed for young children who experience posttraumatic stress, as is treatment for attention problems that accounts for both biological and environmental components. Distinguishing the effects of age, environment, and assessment methods on boys' internalizing problems is also critical.","container-title":"Journal of Emotional and Behavioral Disorders","DOI":"10.1177/1063426608319141","ISSN":"1063-4266","issue":"1","journalAbbreviation":"Journal of Emotional and Behavioral Disorders","language":"en","note":"publisher: SAGE Publications Inc","page":"17-28","source":"SAGE Journals","title":"Emotional and Behavioral Problems Reported in Child Welfare Over 3 Years","volume":"17","author":[{"family":"McCrae","given":"Julie S."}],"issued":{"date-parts":[["2009",3,1]]}}},{"id":142,"uris":["http://zotero.org/users/7501598/items/CSJ6ML6N"],"itemData":{"id":142,"type":"article-journal","abstract":"Abstract Despite good reason to believe that children in foster care are disproportionately exposed to adverse childhood experiences (ACEs), relatively little research considers exposure to ACEs among this group of vulnerable children. In this article, we use data from the 2011–2012 National Survey of Children’s Health (NSCH), a nationally representative sample of non-institutionalized children ages 0–17 in the United States, to estimate the association between foster care placement and exposure to an array of ACEs. In adjusted logistic regression models, we find that children placed in foster care or adopted from foster care, compared to their counterparts, were more likely to experience parental divorce or separation, parental death, parental incarceration, parental abuse, violence exposure, household member mental illness, and household member substance abuse. These children were also more likely to experience ACEs than children across different thresholds of socioeconomic disadvantage (e.g., children in households with incomes below the poverty line) and across different family structures (e.g., children in single-mother families). These results advance our understanding of how children in foster care, an already vulnerable population, are disproportionately exposed to ACEs. This exposure, given the link between ACEs and health, may have implications for children’s health and wellbeing throughout the life course.","container-title":"Child abuse &amp; neglect","DOI":"10.1016/j.chiabu.2016.12.009","ISSN":"0145-2134","note":"publisher-place: England\npublisher: England: Elsevier Ltd","page":"117-129","title":"Adverse childhood experiences among children placed in and adopted from foster care: Evidence from a nationally representative survey","volume":"64","author":[{"family":"Turney","given":"Kristin"},{"family":"Wildeman","given":"Christopher"}],"issued":{"date-parts":[["2016"]]}}}],"schema":"https://github.com/citation-style-language/schema/raw/master/csl-citation.json"}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(McCrae 2009; Turney and Wildeman 2016)</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In fact, among youth with an active case in the child welfare system, 80% present with internalizing or externalizing behaviors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{"citationID":"JAqqsbZC","properties":{"formattedCitation":"(Aarons et al. 2010)","plainCitation":"(Aarons et al. 2010)","noteIndex":0},"citationItems":[{"id":419,"uris":["http://zotero.org/users/7501598/items/PZZZJ7T3",["http://zotero.org/users/7501598/items/PZZZJ7T3"]],"itemData":{"id":419,"type":"article-journal","abstract":"Objective\nThere is ongoing debate regarding the impact of youth behavior problems on placement change in child welfare compared to the impact of placement change on behavior problems. Existing studies provide support for both perspectives. The purpose of this study was to prospectively examine the relations of behavior problems and placement change in a nationally representative sample of youths in the National Survey of Child and Adolescent Well-Being.\nMethod\nThe sample consisted of 500 youths in the child welfare system with out-of-home placements over the course of the National Survey of Child and Adolescent Well-Being study. We used a prospective cross-lag design and path analysis to examine reciprocal effects of behavior problems and placement change, testing an overall model and models examining effects of age and gender.\nResults\nIn the overall model, out of a total of eight path coefficients, behavior problems significantly predicted placement changes for three paths and placement change predicted behavior problems for one path. Internalizing and externalizing behavior problems at baseline predicted placement change between baseline and 18 months. Behavior problems at an older age and externalizing behavior at 18 months appear to confer an increased risk of placement change. Of note, among female subjects, placement changes later in the study predicted subsequent internalizing and externalizing behavior problems.\nConclusions\nIn keeping with recommendations from a number of professional bodies, we suggest that initial and ongoing screening for internalizing and externalizing behavior problems be instituted as part of standard practice for youths entering or transitioning in the child welfare system.","container-title":"Journal of the American Academy of Child &amp; Adolescent Psychiatry","DOI":"10.1016/j.jaac.2009.09.005","ISSN":"0890-8567","issue":"1","journalAbbreviation":"Journal of the American Academy of Child &amp; Adolescent Psychiatry","language":"en","page":"70-80","source":"ScienceDirect","title":"Behavior Problems and Placement Change in a National Child Welfare Sample: A Prospective Study","title-short":"Behavior Problems and Placement Change in a National Child Welfare Sample","volume":"49","author":[{"family":"Aarons","given":"Gregory A."},{"family":"James","given":"Sigrid"},{"family":"Monn","given":"Amy R."},{"family":"Raghavan","given":"Ramesh"},{"family":"Wells","given":"Rebecca S."},{"family":"Leslie","given":"Laurel K."}],"issued":{"date-parts":[["2010",1,1]]}}}],"schema":"https://github.com/citation-style-language/schema/raw/master/csl-citation.json"}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(Aarons et al. 2010)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Internalizing behaviors include symptoms of anxiety, depression, and social withdrawal from others, while externalizing behaviors include opposition, aggression, and delinquency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{"citationID":"9L1HilVJ","properties":{"formattedCitation":"(ACHENBACH, 1991)","plainCitation":"(ACHENBACH, 1991)","dontUpdate":true,"noteIndex":0},"citationItems":[{"id":202,"uris":["http://zotero.org/users/7501598/items/AAX65B3S",["http://zotero.org/users/7501598/items/AAX65B3S"]],"itemData":{"id":202,"type":"article-journal","container-title":"University of Vermont, Department of Psychiatry","source":"CiNii","title":"Manual for The Child Behavior Checklist/4-18 and 1991 Profile","URL":"https://ci.nii.ac.jp/naid/20001666977/","author":[{"family":"Achenbach","given":"T.M."}],"accessed":{"date-parts":[["2021",9,17]]},"issued":{"date-parts":[["1991"]]}}}],"schema":"https://github.com/citation-style-language/schema/raw/master/csl-citation.json"}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(Achenbach, 1991)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Exposure to child abuse and neglect, as well as family disruption and removal, contribute to these problems by negatively impacting stress regulatory systems in the brain leading to higher rates of behavioral problems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{"citationID":"fqL00T37","properties":{"formattedCitation":"(Cole, Michel, and Teti 1994; Konijn et al. 2019; Trivedi 2019)","plainCitation":"(Cole, Michel, and Teti 1994; Konijn et al. 2019; Trivedi 2019)","noteIndex":0},"citationItems":[{"id":380,"uris":["http://zotero.org/users/7501598/items/7KDVLIJZ",["http://zotero.org/users/7501598/items/7KDVLIJZ"]],"itemData":{"id":380,"type":"article-journal","abstract":"Contends that clinical conceptions of emotion that stress its disruptive influences and functional models of emotion that emphasize its adaptive aspects can be integrated into a developmental psychopathology framework. This framework allows examination of how emotions are regulatory, how their regulation changes over time, and under what conditions an adaptive emotion process can develop into a pattern of dysregulation that becomes, or sustains, some symptoms of mental disorders. It is important to study children and their families in situations that challenge their emotional adaptation. Dysregulation occurs when an emotional reaction loses breadth and flexibility. When development and adaptation are compromised, the dysregulation has evolved into a form of psychopathology. An emotional style that has dysregulated features is a vulnerability. (PsycINFO Database Record (c) 2016 APA, all rights reserved)","container-title":"Monographs of the Society for Research in Child Development","DOI":"10.2307/1166139","ISSN":"1540-5834","issue":"2-3","note":"publisher-place: US\npublisher: Univ of Chicago Press","page":"73-100, 250-283","source":"APA PsycNet","title":"The development of emotion regulation and dysregulation: A clinical perspective","title-short":"The development of emotion regulation and dysregulation","volume":"59","author":[{"family":"Cole","given":"Pamela M."},{"family":"Michel","given":"Margaret K."},{"family":"Teti","given":"Laureen O'Donnell"}],"issued":{"date-parts":[["1994"]]}}},{"id":104,"uris":["http://zotero.org/users/7501598/items/NB782N5V",["http://zotero.org/users/7501598/items/NB782N5V"]],"itemData":{"id":104,"type":"article-journal","abstract":"Foster care is the preferred type of out-of-home placement for children and youth when they are not able to live with their own parents. However, placement instability, and its effect on children's behavioral well-being, remains a major issue in foster care. Ten multilevel meta-analyses were performed to examine factors that can affect instability of foster care placement. We included 42 studies (published between 1990 and 2017) examining putative factors associated with placement instability, which yielded 293 effect sizes. Indications of publication bias were found, but the trim and fill procedure confirmed the main findings. Medium significant effects were found for child behavioral problems (r = 0.35), (non-)kinship care (r = 0.31), and quality parenting (r = 0.29). Smaller effects were found for age of the child (r = 0.25), placement with(out) siblings (r = 0.16), and history of maltreatment of the child before placement (r = 0.14). The effects were generally modest, but showed generalizability across continents and time. The findings can be used to improve interventions for the prevention of placement instability in foster care, and further investigations.","container-title":"Children and Youth Services Review","DOI":"10.1016/j.childyouth.2018.12.002","ISSN":"01907409","journalAbbreviation":"Children and Youth Services Review","language":"en","page":"483-499","source":"DOI.org (Crossref)","title":"Foster care placement instability: A meta-analytic review","title-short":"Foster care placement instability","volume":"96","author":[{"family":"Konijn","given":"Carolien"},{"family":"Admiraal","given":"Sabine"},{"family":"Baart","given":"Josefiene"},{"family":"Rooij","given":"Floor","non-dropping-particle":"van"},{"family":"Stams","given":"Geert-Jan"},{"family":"Colonnesi","given":"Cristina"},{"family":"Lindauer","given":"Ramón"},{"family":"Assink","given":"Mark"}],"issued":{"date-parts":[["2019",1]]}}},{"id":2082,"uris":["http://zotero.org/users/7501598/items/2IYSZV2X"],"itemData":{"id":2082,"type":"article-journal","container-title":"NYU Rev. L. &amp; Soc. Change","journalAbbreviation":"NYU Rev. L. &amp; Soc. Change","note":"publisher: HeinOnline","page":"523","title":"The harm of child removal","volume":"43","author":[{"family":"Trivedi","given":"Shanta"}],"issued":{"date-parts":[["2019"]]}}}],"schema":"https://github.com/citation-style-language/schema/raw/master/csl-citation.json"}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(Cole, Michel, and Teti 1994; Konijn et al. 2019; Trivedi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For some youth, these elevated levels of behavioral and emotional problems lead to an increased likelihood of out-of-home, or foster care, placements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{"citationID":"JMk00Wbw","properties":{"formattedCitation":"(Barth et al. 2007)","plainCitation":"(Barth et al. 2007)","noteIndex":0},"citationItems":[{"id":241,"uris":["http://zotero.org/users/7501598/items/6UMKUIAX"],"itemData":{"id":241,"type":"article-journal","abstract":"Children identified as having emotional and behavioral disorders (EBD) may have different out-of-home care placements than their peers without EBD.This study compared the factors influencing placement movements for 362 children with EBD and 363 children without EBD, using clinical Child Behavior Checklist (CBCL) scores at baseline data collection of the National Survey of Child and Adolescent Well-Being. The analyses explored potential case characteristics influencing the number of placements for children with a clinical CBCL score at baseline data collection. Poisson regression models were used to explain the number of placements experienced during the first 36 months of placement. Overall, children with a clinical-level CBCL score were 2.5 times as likely to experience four or more placements as their nonclinical peers. Findings indicated that the presence of depression and not residing with siblings predicted movement among children with EBD. Among children without EBD, only older age was strongly associated with placement moves. Although the direction of effects is equivocal, these results call for greater attention to children's experience of out-of-home placement and the lack of homogeneity among children who are placed outside their homes.","container-title":"Journal of Emotional and Behavioral Disorders","DOI":"10.1177/10634266070150010501","ISSN":"1063-4266","issue":"1","journalAbbreviation":"Journal of Emotional and Behavioral Disorders","language":"en","note":"publisher: SAGE Publications Inc","page":"46-55","source":"SAGE Journals","title":"Predictors of Placement Moves Among Children With and Without Emotional and Behavioral Disorders","volume":"15","author":[{"family":"Barth","given":"Richard P."},{"family":"Lloyd","given":"E. Christopher"},{"family":"Green","given":"Rebecca L."},{"family":"James","given":"Sigrid"},{"family":"Leslie","given":"Laurel K."},{"family":"Landsverk","given":"John"}],"issued":{"date-parts":[["2007",1,1]]}}}],"schema":"https://github.com/citation-style-language/schema/raw/master/csl-citation.json"}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(Barth et al. 2007)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34D5EBD4" w14:textId="2C9C3AD7" w:rsidR="00442034" w:rsidRPr="00442034" w:rsidRDefault="00442034" w:rsidP="00442034">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For youth who are placed in out-of-home care, risk factors that further increase these problem behaviors and symptoms include placement instability and placement into group homes </w:t>
      </w:r>
      <w:r w:rsidRPr="00442034">
        <w:rPr>
          <w:rFonts w:ascii="Times New Roman" w:hAnsi="Times New Roman" w:cs="Times New Roman"/>
          <w:sz w:val="24"/>
          <w:szCs w:val="24"/>
        </w:rPr>
        <w:lastRenderedPageBreak/>
        <w:t xml:space="preserve">or residential settings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{"citationID":"8orbMfzF","properties":{"formattedCitation":"(Melkman 2015)","plainCitation":"(Melkman 2015)","noteIndex":0},"citationItems":[{"id":2081,"uris":["http://zotero.org/users/7501598/items/Q4TPGFBG"],"itemData":{"id":2081,"type":"article-journal","abstract":"In accordance with problem behavior theory (PBT), the study examined the contribution of risk and protective factors among high-risk adolescents living in residential care settings (RCSs) to their delinquency, substance abuse, and risky sexual behavior, as well as the inter-correlations between these problem behaviors. The specific study variables were chosen to represent the personal and environmental factors operating on the adolescent. It was hypothesized that higher levels of problem behaviors would be associated with higher levels of sensation-seeking and deviant peer associations (risk factors), and lower levels of future orientation and parental support (protective factors). One hundred and forty seven adolescents (M=16.03) from seven residential facilities for children with severe emotional and behavioral problems in Israel responded to structured self-report questionnaires. The powerful associations found between the abovementioned risk behaviors suggested a problem behavior syndrome among this group. The risk factors of sensation-seeking and deviant peer associations made the largest contribution to the prediction of problem behaviors beyond any background or protective factors examined. Of the protective factors, only future orientation was found to be significantly associated with problem behaviors: i.e., a more positive future orientation correlated with lower engagement in problem behaviors, an association that increased in strength with age. The apparent existence of a single behavioral syndrome among youth in RCSs and the central contribution to the syndrome of risk factors – in particular, deviant peer associations – points to the need for holistic group interventions addressing multiple risk factors.","container-title":"Children and Youth Services Review","DOI":"10.1016/j.childyouth.2015.02.004","ISSN":"0190-7409","journalAbbreviation":"Children and Youth Services Review","page":"117-124","source":"ScienceDirect","title":"Risk and protective factors for problem behaviors among youth in residential care","volume":"51","author":[{"family":"Melkman","given":"Eran"}],"issued":{"date-parts":[["2015",4,1]]}}}],"schema":"https://github.com/citation-style-language/schema/raw/master/csl-citation.json"}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(Melkman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Placement stability consistently shows a positive association with psychosocial well-being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{"citationID":"dIuUu5ey","properties":{"formattedCitation":"(Barber and Delfabbro 2003)","plainCitation":"(Barber and Delfabbro 2003)","noteIndex":0},"citationItems":[{"id":383,"uris":["http://zotero.org/users/7501598/items/YR6SHHJJ",["http://zotero.org/users/7501598/items/YR6SHHJJ"]],"itemData":{"id":383,"type":"article-journal","abstract":"This article assesses one of the key assumptions underlying the philosophy of permanency planning—that placement instability adversely affects the psychosocial development of children in foster care. Method: The placement movements and psychosocial well-being of foster care were assessed over an 8-month period. Results: Most of the children who remained in care throughout the period could be assigned to one of three groups: 1 (stable throughout), 2 (unstable throughout), 3 (initially unstable, then stable) Results for these 120 children were generally consistent with a linear trend toward improvement in Groups 1 and 2, whereas Group 3 children displayed improvement only while their placements were unstable. Conclusions: Although results for Group 3 permit more than one interpretation, results for Group 2 suggest that placement instability up to at least the 8-month point is not necessarily damaging to the child.","container-title":"Research on Social Work Practice","DOI":"10.1177/1049731503013004001","ISSN":"1049-7315","issue":"4","journalAbbreviation":"Research on Social Work Practice","language":"en","note":"publisher: SAGE Publications Inc","page":"415-431","source":"SAGE Journals","title":"Placement Stability and the Psychosocial Well-Being of Children in Foster Care","volume":"13","author":[{"family":"Barber","given":"James G."},{"family":"Delfabbro","given":"Paul H."}],"issued":{"date-parts":[["2003",7,1]]}}}],"schema":"https://github.com/citation-style-language/schema/raw/master/csl-citation.json"}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(Barber and Delfabbro 2003)</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Multiple placement changes for youth in foster care contribute negatively to both internalizing and externalizing behaviors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{"citationID":"Dcd6EUwP","properties":{"formattedCitation":"(Newton, Litrownik, and Landsverk 2000)","plainCitation":"(Newton, Litrownik, and Landsverk 2000)","noteIndex":0},"citationItems":[{"id":251,"uris":["http://zotero.org/users/7501598/items/NTB5CBQW",["http://zotero.org/users/7501598/items/NTB5CBQW"]],"itemData":{"id":251,"type":"article-journal","abstract":"Objective: The purpose of this research was to provide a prospective look at the relationship between change in placement and problem behaviors over a 12-month period among a cohort of foster children. Method: The sample contained 415 youth, and was part of a larger cohort of children who entered foster care in San Diego, California and remained in placement for at least 5 months. The Child Behavior Check List was used to assess behavior problems. Every change of placement during the first 18 months after entry into the foster care system was abstracted from case records. Results: The results suggest that volatile placement histories contribute negatively to both internalizing and externalizing behavior of foster children, and that children who experience numerous changes in placement may be at particularly high risk for these deleterious effects. Initial externalizing behaviors proved to be the strongest predictor of placement changes for the entire sample and for a sub-sample of those who initially evidenced problem behaviors on at least one broad-band CBCL scale. Our findings also suggest that children who initially score within normal ranges on the CBCL may be particularly vulnerable to the detrimental effects of placement breakdowns. Conclusions: On the basis of these findings we argue for an analytical approach that views behavior problems as both a cause and as a consequence of placement disruption. Children who do not evidence behavior problems may in fact constitute a neglected population that responds to multiple disruptions of their primary relationships with increasingly self-defeating behaviors.","container-title":"Child Abuse &amp; Neglect","DOI":"10.1016/S0145-2134(00)00189-7","ISSN":"0145-2134","issue":"10","journalAbbreviation":"Child Abuse &amp; Neglect","language":"en","page":"1363-1374","source":"ScienceDirect","title":"Children and youth in foster care: disentangling the relationship between problem behaviors and number of placements","title-short":"Children and youth in foster care","volume":"24","author":[{"family":"Newton","given":"Rae R"},{"family":"Litrownik","given":"Alan J"},{"family":"Landsverk","given":"John A"}],"issued":{"date-parts":[["2000",10,1]]}}}],"schema":"https://github.com/citation-style-language/schema/raw/master/csl-citation.json"}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(Newton, Litrownik, and Landsverk 2000)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Similarly, the type of placement for youth also contributes to their overall well-being, though due to selection bias, this has been historically difficult to study. Research has shown that youth in kinship care have fewer externalizing behaviors than youth in non-relative foster care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{"citationID":"1zdIFQgb","properties":{"formattedCitation":"(Swanke et al. 2016)","plainCitation":"(Swanke et al. 2016)","noteIndex":0},"citationItems":[{"id":376,"uris":["http://zotero.org/users/7501598/items/MKFHE5QL",["http://zotero.org/users/7501598/items/MKFHE5QL"]],"itemData":{"id":376,"type":"article-journal","abstract":"Existing research indicates that children who are involved with the child welfare system and placed in various forms of out-of-home care experience emotional and behavioral problems. It is also suggested that children placed in kinship care are less likely to receive mental health services than children placed in non-kinship foster homes. This study sought to compare children in non-kinship foster homes to children in kinship care to determine their receipt of mental health services and the time it took for children in kinship care to receive mental health services compared to children in non-kinship foster homes. Using a Cox regression, researchers determined that children in kinship care had a 14% lower likelihood of receipt of mental health services compared to their counterparts in non-kinship foster placements.","container-title":"Children and Youth Services Review","issue":"C","language":"en","note":"publisher: Elsevier","page":"154-158","source":"ideas.repec.org","title":"Mental health service utilization and time to care: A comparison of children in traditional foster care and children in kinship care","title-short":"Mental health service utilization and time to care","volume":"68","author":[{"family":"Swanke","given":"Jayme R."},{"family":"Yampolskaya","given":"Svetlana"},{"family":"Strozier","given":"Anne"},{"family":"Armstrong","given":"Mary I."}],"issued":{"date-parts":[["2016"]]}}}],"schema":"https://github.com/citation-style-language/schema/raw/master/csl-citation.json"}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(Swanke et al. 2016)</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though more recent research has shown that kinship providers are less likely to take on youth with challenging behaviors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{"citationID":"o5WCaYRl","properties":{"formattedCitation":"(Ferraro, Maher, and Grinnell-Davis 2022)","plainCitation":"(Ferraro, Maher, and Grinnell-Davis 2022)","noteIndex":0},"citationItems":[{"id":2057,"uris":["http://zotero.org/users/7501598/items/NGSTIEVR"],"itemData":{"id":2057,"type":"article-journal","abstract":"The reliance on kinship care within the child welfare system is substantial and has been recently codified into new federal legislation, the Family First Prevention Services Act of 2018, as well as recent emphases that the Indian Child Welfare Act represents the “gold standard” for all child welfare practice and policy. This article uses longitudinal data from the National Survey of Child and Adolescent Well-being (NSCAW) II to analyze the impact of kinship care on child well-being as compared to non-relative foster care. We use propensity score matching to mitigate the selection bias inherent in child placement decisions and find that children who exceed the clinical threshold for externalizing behaviors are less likely to be placed in kinship care than foster care. We find that once accounting for differences in child and caregiver characteristics among those in kinship care and foster care, the effect of kinship care on behavioral and emotional well-being is not significantly different than foster care, though are in the direction of favoring kinship care. These findings contribute to a more sophisticated understanding of the effect of kinship care on child well-being and overcome some key limitations of most prior research on this topic.","container-title":"Children and Youth Services Review","DOI":"10.1016/j.childyouth.2022.106472","ISSN":"0190-7409","journalAbbreviation":"Children and Youth Services Review","page":"106472","source":"ScienceDirect","title":"Family ties: A quasi-experimental approach to estimate the impact of kinship care on child well-being","title-short":"Family ties","volume":"137","author":[{"family":"Ferraro","given":"A. C."},{"family":"Maher","given":"Erin J."},{"family":"Grinnell-Davis","given":"Claudette"}],"issued":{"date-parts":[["2022",6,1]]}}}],"schema":"https://github.com/citation-style-language/schema/raw/master/csl-citation.json"}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sz w:val="24"/>
          <w:szCs w:val="24"/>
        </w:rPr>
        <w:t>(Ferraro, Maher, and Grinnell-Davis 2022)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This research found little effect of kinship care on youth behavior outcomes. It has also been shown that more restricted placement settings such as group homes or residential settings contribute to higher rates of internalizing and externalizing behaviors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{"citationID":"jDdLajZb","properties":{"formattedCitation":"(Dregan and Gulliford 2012)","plainCitation":"(Dregan and Gulliford 2012)","noteIndex":0},"citationItems":[{"id":374,"uris":["http://zotero.org/users/7501598/items/QNYK5UFV",["http://zotero.org/users/7501598/items/QNYK5UFV"]],"itemData":{"id":374,"type":"article-journal","abstract":"Objectives Childhood experiences of public care may be associated with adult psychosocial outcomes. This study aimed to evaluate the associations of four public care exposures: type of placement, length of placement, age at admission to care and number of placements, as well as the reasons for admission to public care with emotional and behavioural traits at age 30 years.","container-title":"Social Psychiatry and Psychiatric Epidemiology","DOI":"10.1007/s00127-011-0458-5","ISSN":"0933-7954, 1433-9285","issue":"9","journalAbbreviation":"Soc Psychiatry Psychiatr Epidemiol","language":"en","page":"1517-1526","source":"DOI.org (Crossref)","title":"Foster care, residential care and public care placement patterns are associated with adult life trajectories: population-based cohort study","title-short":"Foster care, residential care and public care placement patterns are associated with adult life trajectories","volume":"47","author":[{"family":"Dregan","given":"A."},{"family":"Gulliford","given":"M. C."}],"issued":{"date-parts":[["2012",9]]}}}],"schema":"https://github.com/citation-style-language/schema/raw/master/csl-citation.json"}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(Dregan and Gulliford 2012)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though this is subject to the same source of possible selection bias since problematic behaviors are often the reason youth end up in congregate settings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{"citationID":"JpKgX6pY","properties":{"formattedCitation":"(Berger et al. 2009)","plainCitation":"(Berger et al. 2009)","noteIndex":0},"citationItems":[{"id":2054,"uris":["http://zotero.org/users/7501598/items/MCMW92JM"],"itemData":{"id":2054,"type":"article-journal","abstract":"This study used data on 2,453 children aged 4–17 from the National Survey of Child and Adolescent Well-Being and 5 analytic methods that adjust for selection factors to estimate the impact of out-of-home placement on children’s cognitive skills and behavior problems. Methods included ordinary least squares (OLS) regressions and residualized change, simple change, difference-in-difference, and fixed effects models. Models were estimated using the full sample and a matched sample generated by propensity scoring. Although results from the unmatched OLS and residualized change models suggested that out-of-home placement is associated with increased child behavior problems, estimates from models that more rigorously adjust for selection bias indicated that placement has little effect on children’s cognitive skills or behavior problems.","container-title":"Child Development","DOI":"10.1111/j.1467-8624.2009.01372.x","ISSN":"1467-8624","issue":"6","language":"en","license":"© 2009, Copyright the Author(s). Journal Compilation © 2009, Society for Research in Child Development, Inc.","note":"_eprint: https://onlinelibrary.wiley.com/doi/pdf/10.1111/j.1467-8624.2009.01372.x","page":"1856-1876","source":"Wiley Online Library","title":"Estimating the “Impact” of Out-of-Home Placement on Child Well-Being: Approaching the Problem of Selection Bias","title-short":"Estimating the “Impact” of Out-of-Home Placement on Child Well-Being","volume":"80","author":[{"family":"Berger","given":"Lawrence M."},{"family":"Bruch","given":"Sarah K."},{"family":"Johnson","given":"Elizabeth I."},{"family":"James","given":"Sigrid"},{"family":"Rubin","given":"David"}],"issued":{"date-parts":[["2009"]]}}}],"schema":"https://github.com/citation-style-language/schema/raw/master/csl-citation.json"}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(Berger et al. 2009)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Among LGBQ youth, these factors should be considered given they are more likely to be placed in out-of-home care and even in residential settings compared to their peers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{"citationID":"DLlUbCGx","properties":{"formattedCitation":"(Wilson and Kastanis 2015)","plainCitation":"(Wilson and Kastanis 2015)","noteIndex":0},"citationItems":[{"id":242,"uris":["http://zotero.org/users/7501598/items/5IKH5KVD"],"itemData":{"id":242,"type":"article-journal","abstract":"Empirical research is needed to support ongoing efforts to improve services for sexual and gender minority youth in foster care. Further, data on the presence of sexual and gender minority youth within the child welfare system are needed to encourage counties that have not yet begun to engage in any efforts to address the unique needs and barriers to permanency for these youth. The current study reports on the ﬁndings of the Los Angeles Foster Youth Survey (LAFYS) which was designed to assess the proportion of youth placed in the Los Angeles County public child welfare system who are LGBTQ and to examine their experiences in communities, schools, and foster care. Findings indicate that approximately 19% of Los Angeles foster youth are LGBTQ. This proportion of youth is signiﬁcantly higher than estimates of adolescent and young adult sexual and gender minority identiﬁcation rates in the general population. Further, analyses also indicate that sexual and gender minority youth in this study are less satisﬁed with their child welfare system experience, are more likely to experience homelessness, are moved around to more placements, and are experiencing higher levels of emotional distress compared to their nonLGBTQ counterparts.","container-title":"Children and Youth Services Review","DOI":"10.1016/j.childyouth.2015.08.016","ISSN":"01907409","journalAbbreviation":"Children and Youth Services Review","language":"en","page":"11-17","source":"DOI.org (Crossref)","title":"Sexual and gender minority disproportionality and disparities in child welfare: A population-based study","title-short":"Sexual and gender minority disproportionality and disparities in child welfare","volume":"58","author":[{"family":"Wilson","given":"Bianca D.M."},{"family":"Kastanis","given":"Angeliki A."}],"issued":{"date-parts":[["2015",11]]}}}],"schema":"https://github.com/citation-style-language/schema/raw/master/csl-citation.json"}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(Wilson and Kastanis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r w:rsidR="000A67FE">
        <w:rPr>
          <w:rFonts w:ascii="Times New Roman" w:hAnsi="Times New Roman" w:cs="Times New Roman"/>
          <w:sz w:val="24"/>
          <w:szCs w:val="24"/>
        </w:rPr>
        <w:t xml:space="preserve"> In addition, the stress of being a sexual minority may interact with </w:t>
      </w:r>
      <w:r w:rsidR="007D5AE6">
        <w:rPr>
          <w:rFonts w:ascii="Times New Roman" w:hAnsi="Times New Roman" w:cs="Times New Roman"/>
          <w:sz w:val="24"/>
          <w:szCs w:val="24"/>
        </w:rPr>
        <w:t>the influence of these other factors to exacerbate these emotional an</w:t>
      </w:r>
      <w:r w:rsidR="00B219ED">
        <w:rPr>
          <w:rFonts w:ascii="Times New Roman" w:hAnsi="Times New Roman" w:cs="Times New Roman"/>
          <w:sz w:val="24"/>
          <w:szCs w:val="24"/>
        </w:rPr>
        <w:t>d</w:t>
      </w:r>
      <w:r w:rsidR="007D5AE6">
        <w:rPr>
          <w:rFonts w:ascii="Times New Roman" w:hAnsi="Times New Roman" w:cs="Times New Roman"/>
          <w:sz w:val="24"/>
          <w:szCs w:val="24"/>
        </w:rPr>
        <w:t xml:space="preserve"> behavioral disorders, which is why this is such an important topic to investigate.</w:t>
      </w:r>
    </w:p>
    <w:p w14:paraId="0DC4E9C7" w14:textId="378B078E" w:rsidR="00442034" w:rsidRPr="00442034" w:rsidRDefault="00071FC8" w:rsidP="0044203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For this analysis, </w:t>
      </w:r>
      <w:r w:rsidR="00442034" w:rsidRPr="00442034">
        <w:rPr>
          <w:rFonts w:ascii="Times New Roman" w:hAnsi="Times New Roman" w:cs="Times New Roman"/>
          <w:sz w:val="24"/>
          <w:szCs w:val="24"/>
        </w:rPr>
        <w:t xml:space="preserve">I analyze whether differences exist for LGBQ youth </w:t>
      </w:r>
      <w:r w:rsidR="00DB422F">
        <w:rPr>
          <w:rFonts w:ascii="Times New Roman" w:hAnsi="Times New Roman" w:cs="Times New Roman"/>
          <w:sz w:val="24"/>
          <w:szCs w:val="24"/>
        </w:rPr>
        <w:t xml:space="preserve">involved </w:t>
      </w:r>
      <w:r w:rsidR="00442034" w:rsidRPr="00442034">
        <w:rPr>
          <w:rFonts w:ascii="Times New Roman" w:hAnsi="Times New Roman" w:cs="Times New Roman"/>
          <w:sz w:val="24"/>
          <w:szCs w:val="24"/>
        </w:rPr>
        <w:t xml:space="preserve">in the </w:t>
      </w:r>
      <w:r w:rsidR="00570102">
        <w:rPr>
          <w:rFonts w:ascii="Times New Roman" w:hAnsi="Times New Roman" w:cs="Times New Roman"/>
          <w:sz w:val="24"/>
          <w:szCs w:val="24"/>
        </w:rPr>
        <w:t xml:space="preserve">child welfare </w:t>
      </w:r>
      <w:r w:rsidR="00442034" w:rsidRPr="00442034">
        <w:rPr>
          <w:rFonts w:ascii="Times New Roman" w:hAnsi="Times New Roman" w:cs="Times New Roman"/>
          <w:sz w:val="24"/>
          <w:szCs w:val="24"/>
        </w:rPr>
        <w:t xml:space="preserve">system in internalizing and externalizing behaviors, and how protective factors such as the youth’s </w:t>
      </w:r>
      <w:r w:rsidR="001153DC">
        <w:rPr>
          <w:rFonts w:ascii="Times New Roman" w:hAnsi="Times New Roman" w:cs="Times New Roman"/>
          <w:sz w:val="24"/>
          <w:szCs w:val="24"/>
        </w:rPr>
        <w:t xml:space="preserve">quality of the </w:t>
      </w:r>
      <w:r w:rsidR="00442034" w:rsidRPr="00442034">
        <w:rPr>
          <w:rFonts w:ascii="Times New Roman" w:hAnsi="Times New Roman" w:cs="Times New Roman"/>
          <w:sz w:val="24"/>
          <w:szCs w:val="24"/>
        </w:rPr>
        <w:t>relationship with their caregiver influence these outcomes</w:t>
      </w:r>
      <w:r>
        <w:rPr>
          <w:rFonts w:ascii="Times New Roman" w:hAnsi="Times New Roman" w:cs="Times New Roman"/>
          <w:sz w:val="24"/>
          <w:szCs w:val="24"/>
        </w:rPr>
        <w:t xml:space="preserve">. </w:t>
      </w:r>
      <w:r w:rsidR="00BC4F71">
        <w:rPr>
          <w:rFonts w:ascii="Times New Roman" w:hAnsi="Times New Roman" w:cs="Times New Roman"/>
          <w:sz w:val="24"/>
          <w:szCs w:val="24"/>
        </w:rPr>
        <w:t xml:space="preserve">In the next section, I discuss the challenges for LGBQ youth in child welfare, then highlight how protective factors such as the quality of the relationship with their </w:t>
      </w:r>
      <w:r w:rsidR="001351FE">
        <w:rPr>
          <w:rFonts w:ascii="Times New Roman" w:hAnsi="Times New Roman" w:cs="Times New Roman"/>
          <w:sz w:val="24"/>
          <w:szCs w:val="24"/>
        </w:rPr>
        <w:t>caregivers</w:t>
      </w:r>
      <w:r w:rsidR="00BC4F71">
        <w:rPr>
          <w:rFonts w:ascii="Times New Roman" w:hAnsi="Times New Roman" w:cs="Times New Roman"/>
          <w:sz w:val="24"/>
          <w:szCs w:val="24"/>
        </w:rPr>
        <w:t xml:space="preserve"> may improve well-</w:t>
      </w:r>
      <w:r w:rsidR="00BC4F71">
        <w:rPr>
          <w:rFonts w:ascii="Times New Roman" w:hAnsi="Times New Roman" w:cs="Times New Roman"/>
          <w:sz w:val="24"/>
          <w:szCs w:val="24"/>
        </w:rPr>
        <w:lastRenderedPageBreak/>
        <w:t xml:space="preserve">being outcomes. I then discuss </w:t>
      </w:r>
      <w:r w:rsidR="001351FE">
        <w:rPr>
          <w:rFonts w:ascii="Times New Roman" w:hAnsi="Times New Roman" w:cs="Times New Roman"/>
          <w:sz w:val="24"/>
          <w:szCs w:val="24"/>
        </w:rPr>
        <w:t>the methods and analytical strategy for examining well-being among LGBQ youth within this study and present my results.</w:t>
      </w:r>
      <w:r w:rsidR="00442034" w:rsidRPr="00442034">
        <w:rPr>
          <w:rFonts w:ascii="Times New Roman" w:hAnsi="Times New Roman" w:cs="Times New Roman"/>
          <w:sz w:val="24"/>
          <w:szCs w:val="24"/>
        </w:rPr>
        <w:t xml:space="preserve"> </w:t>
      </w:r>
    </w:p>
    <w:p w14:paraId="56492EE4" w14:textId="77777777" w:rsidR="00442034" w:rsidRPr="00442034" w:rsidRDefault="00442034" w:rsidP="00442034">
      <w:pPr>
        <w:spacing w:line="480" w:lineRule="auto"/>
        <w:contextualSpacing/>
        <w:jc w:val="center"/>
        <w:rPr>
          <w:rFonts w:ascii="Times New Roman" w:hAnsi="Times New Roman" w:cs="Times New Roman"/>
          <w:b/>
          <w:bCs/>
          <w:sz w:val="24"/>
          <w:szCs w:val="24"/>
        </w:rPr>
      </w:pPr>
      <w:r w:rsidRPr="00442034">
        <w:rPr>
          <w:rFonts w:ascii="Times New Roman" w:hAnsi="Times New Roman" w:cs="Times New Roman"/>
          <w:b/>
          <w:bCs/>
          <w:sz w:val="24"/>
          <w:szCs w:val="24"/>
        </w:rPr>
        <w:t>Literature Review</w:t>
      </w:r>
    </w:p>
    <w:p w14:paraId="21F3C1D4" w14:textId="62AAC2C6" w:rsidR="00442034" w:rsidRPr="00442034" w:rsidRDefault="00442034" w:rsidP="00442034">
      <w:pPr>
        <w:rPr>
          <w:rFonts w:ascii="Times New Roman" w:hAnsi="Times New Roman" w:cs="Times New Roman"/>
          <w:sz w:val="24"/>
          <w:szCs w:val="24"/>
        </w:rPr>
      </w:pPr>
      <w:r w:rsidRPr="00442034">
        <w:rPr>
          <w:rFonts w:ascii="Times New Roman" w:hAnsi="Times New Roman" w:cs="Times New Roman"/>
          <w:i/>
          <w:iCs/>
          <w:sz w:val="24"/>
          <w:szCs w:val="24"/>
        </w:rPr>
        <w:t>LGBQ Youth and Sexual Minority Stress Theory</w:t>
      </w:r>
    </w:p>
    <w:p w14:paraId="1F5F993D" w14:textId="77134724" w:rsidR="00442034" w:rsidRPr="00442034" w:rsidRDefault="00442034" w:rsidP="00442034">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As sexual minorities, LGBQ youth face additional challenges during their youth, including high levels of minority stress, large estimates of verbal and physical harassment, and stigmatization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{"citationID":"uTQneNNs","properties":{"formattedCitation":"(Murdock and Bolch 2005)","plainCitation":"(Murdock and Bolch 2005)","noteIndex":0},"citationItems":[{"id":148,"uris":["http://zotero.org/users/7501598/items/NYYGHD44"],"itemData":{"id":148,"type":"article-journal","abstract":"This study examined the relations between school climate and school adjustment among 101 lesbian, gay, and bisexual (LGB) high school students and the moderating influence of social support on those relations. Students completed surveys to assess three aspects of the school climate (the school's exclusion/inclusion of LGB people, personal victimization in school for being LGB, and social support from teachers) as well as social support from family and close friends. Criterion variables were GPA, school belonging, and discipline problems. School climate variables explained significant amounts of variance in all criterion variables, after controlling for prior GPA, and there were no moderating effects of parent or friend support. Cluster analyses revealed one small group (n = 14) of highly vulnerable youth who were the least adjusted, most victimized, and least supported. Implications for teachers, counselors, and future research are discussed. © 2005 Wiley Periodicals, Inc. Psychol Schs 42: 159–172, 2005.","container-title":"Psychology in the Schools","DOI":"10.1002/pits.20054","ISSN":"00333085","issue":"2","journalAbbreviation":"Psychology in the Schools","note":"publisher: John Wiley &amp; Sons, Inc.","page":"159-172","source":"EBSCOhost","title":"Risk and protective factors for poor school adjustment in lesbian, gay, and bisexual (LGB) high school youth: Variable and person-centered analyses","title-short":"Risk and protective factors for poor school adjustment in lesbian, gay, and bisexual (LGB) high school youth","volume":"42","author":[{"family":"Murdock","given":"Tamera B."},{"family":"Bolch","given":"Megan B."}],"issued":{"date-parts":[["2005",2]]}}}],"schema":"https://github.com/citation-style-language/schema/raw/master/csl-citation.json"}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(Murdock and Bolch 2005)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Compared to heterosexual youth, LGBQ youth are more likely to experience abandonment, sexual abuse from a caretaker, or be kicked out of their home due to their sexual identity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{"citationID":"QrBruJwT","properties":{"formattedCitation":"(Button 2019)","plainCitation":"(Button 2019)","noteIndex":0},"citationItems":[{"id":139,"uris":["http://zotero.org/users/7501598/items/LCT4YMDL",["http://zotero.org/users/7501598/items/LCT4YMDL"]],"itemData":{"id":139,"type":"article-journal","abstract":"This study uses 20 in-depth interviews with lesbian, gay, and bisexual (LGB) young adults aged 18 to 25 years to integrate theoretical constructs from the sociology of sexuality with Agnew’s general strain theory (GST). This approach provides theoretical context to LGB youth’s experiences with victimization and risky behaviors. The use of qualitative data provides a deeper understanding of LGB youth’s experiences with heteronormativity, heterosexism, and homophobia, and how these structural-level processes shape interactional- and individual-level experiences. Integrating sexuality research and GST helps clarify interconnected processes that occur at multiple levels of social life, providing a more complete picture of LGB experiences.","container-title":"Feminist criminology","DOI":"10.1177/1557085118789792","ISSN":"1557-0851","issue":"4","note":"publisher-place: Los Angeles, CA\npublisher: Los Angeles, CA: SAGE Publications","page":"441-465","title":"Contextualizing LGB Youth’s Experiences With Victimization and Risky Behaviors: A Qualitative Approach to General Strain Theory","volume":"14","author":[{"family":"Button","given":"Deeanna M"}],"issued":{"date-parts":[["2019"]]}}}],"schema":"https://github.com/citation-style-language/schema/raw/master/csl-citation.json"}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(Button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As such, LGBQ youth often enter the foster care system due to conflict with their parents over their sexual identity and orientation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{"citationID":"iiIvcOMb","properties":{"formattedCitation":"(Mallon 2011)","plainCitation":"(Mallon 2011)","noteIndex":0},"citationItems":[{"id":389,"uris":["http://zotero.org/users/7501598/items/MQZNW7TN",["http://zotero.org/users/7501598/items/MQZNW7TN"]],"itemData":{"id":389,"type":"article-journal","abstract":"GLBT persons in the United States have been creating families through adoption, foster care, and the establishment of kinship networks for decades. For many GLBT persons, foster parenting or adopting is not a second choice as it may be for heterosexual men and women, but rather their preference from the start. Furthermore, a growing body of research shows that GLBT persons make good parents and raise children who show patterns of positive adjustment comparable to those of heterosexual parents. As a result, it is apparent that GLBT persons represent an untapped resource of potential parents for some of the tens of thousands of children and youths who need permanent and loving families. Although GLBT persons may have been historically discouraged from fostering or adopting, changes in legislation and policy over the past 10 years in some states and nationally reflect a more open attitude to GLBT persons as parents. The home study process, central to the certification and licensing for foster/adoptive parents, is discussed in detail in this article. Implications for competent social work practice with GLBT persons are detailed throughout.","container-title":"Journal of GLBT Family Studies","DOI":"10.1080/1550428X.2011.537229","ISSN":"1550-428X","issue":"1-2","note":"publisher: Routledge\n_eprint: https://doi.org/10.1080/1550428X.2011.537229","page":"9-29","source":"Taylor and Francis+NEJM","title":"The Home Study Assessment Process for Gay, Lesbian, Bisexual, and Transgender Prospective Foster and Adoptive Families","volume":"7","author":[{"family":"Mallon","given":"Gerald P."}],"issued":{"date-parts":[["2011",2,2]]}}}],"schema":"https://github.com/citation-style-language/schema/raw/master/csl-citation.json"}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(Mallon 2011)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LGBQ youth within the foster care system are more likely to meet the criteria for depression, substance use disorders, and be subject to higher trauma scores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{"citationID":"jx0muOVm","properties":{"formattedCitation":"(Dettlaff and Washburn 2018)","plainCitation":"(Dettlaff and Washburn 2018)","noteIndex":0},"citationItems":[{"id":152,"uris":["http://zotero.org/users/7501598/items/ICVZWQ4R"],"itemData":{"id":152,"type":"article-journal","container-title":"Child abuse &amp; neglect","note":"ISBN: 0145-2134\npublisher: Elsevier","page":"183-193","title":"Lesbian, gay, and bisexual (LGB) youth within in welfare: Prevalence, risk and outcomes","volume":"80","author":[{"family":"Dettlaff","given":"Alan J."},{"family":"Washburn","given":"Micki"}],"issued":{"date-parts":[["2018"]]}}}],"schema":"https://github.com/citation-style-language/schema/raw/master/csl-citation.json"}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(Dettlaff and Washburn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Additionally, LGBQ youth in foster care are also more likely to report deficits in education, employment, </w:t>
      </w:r>
      <w:r w:rsidR="001D5D09">
        <w:rPr>
          <w:rFonts w:ascii="Times New Roman" w:hAnsi="Times New Roman" w:cs="Times New Roman"/>
          <w:sz w:val="24"/>
          <w:szCs w:val="24"/>
        </w:rPr>
        <w:t>housing</w:t>
      </w:r>
      <w:r w:rsidRPr="00442034">
        <w:rPr>
          <w:rFonts w:ascii="Times New Roman" w:hAnsi="Times New Roman" w:cs="Times New Roman"/>
          <w:sz w:val="24"/>
          <w:szCs w:val="24"/>
        </w:rPr>
        <w:t xml:space="preserve">, and financial stability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{"citationID":"8fX4qnrf","properties":{"formattedCitation":"(Mountz and Capous-Desyllas 2020)","plainCitation":"(Mountz and Capous-Desyllas 2020)","noteIndex":0},"citationItems":[{"id":147,"uris":["http://zotero.org/users/7501598/items/54P6L4GN"],"itemData":{"id":147,"type":"article-journal","abstract":"Lesbian, gay, bisexual, trans, or queer (LGBTQ) identified youth are overrepresented in the foster care system. Many experience discrimination, violence, and oppression related to their sexual orientation or gender identity/expression before, during, and after foster care. There is limited research regarding LGBTQ-identified youth who have aged out of the foster care system. Theoretically informed by intersectionality, queer, and feminist theories, the purpose of this community based qualitative research study was to gain a nuanced understanding of the experiences of 25 diverse LGBTQ former foster youth before, during, and after being in foster care. In-depth qualitative interviews with LGBTQ former foster youth between the ages of 18 and 26 provided participants with the opportunity to narrate their histories and pathways into and out of the foster care system. Consensual Qualitative Research (CQR) was used to analyze interview findings. This article presents one cluster of interview findings pertaining to: (1) LGBTQ former foster youth’s reasons for first entering foster care; (2) the effects of intergenerational mental health and substance abuse; (3) family and caregiver rejection as a barrier to permanency; and (4) experiences of transitioning from foster care.","container-title":"Children and Youth Services Review","DOI":"10.1016/j.childyouth.2019.104622","ISSN":"0190-7409","journalAbbreviation":"Children and Youth Services Review","page":"104622","title":"Exploring the families of origin of LGBTQ former foster youth and their trajectories throughout care","volume":"109","author":[{"family":"Mountz","given":"Sarah"},{"family":"Capous-Desyllas","given":"Moshoula"}],"issued":{"date-parts":[["2020",2,1]]}}}],"schema":"https://github.com/citation-style-language/schema/raw/master/csl-citation.json"}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(Mountz and Capous-Desyllas 2020)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Harassment by caregivers and other foster youth, placement instability, unfair isolation in group homes, misconceptions by foster parents that LGBQ youth are sexual predators, and high rates of homelessness are struggles these youth continually face while in or out of foster care and involved with child welfare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{"citationID":"c0w7ZvtJ","properties":{"formattedCitation":"(Wilson and Kastanis 2015)","plainCitation":"(Wilson and Kastanis 2015)","dontUpdate":true,"noteIndex":0},"citationItems":[{"id":242,"uris":["http://zotero.org/users/7501598/items/5IKH5KVD"],"itemData":{"id":242,"type":"article-journal","abstract":"Empirical research is needed to support ongoing efforts to improve services for sexual and gender minority youth in foster care. Further, data on the presence of sexual and gender minority youth within the child welfare system are needed to encourage counties that have not yet begun to engage in any efforts to address the unique needs and barriers to permanency for these youth. The current study reports on the ﬁndings of the Los Angeles Foster Youth Survey (LAFYS) which was designed to assess the proportion of youth placed in the Los Angeles County public child welfare system who are LGBTQ and to examine their experiences in communities, schools, and foster care. Findings indicate that approximately 19% of Los Angeles foster youth are LGBTQ. This proportion of youth is signiﬁcantly higher than estimates of adolescent and young adult sexual and gender minority identiﬁcation rates in the general population. Further, analyses also indicate that sexual and gender minority youth in this study are less satisﬁed with their child welfare system experience, are more likely to experience homelessness, are moved around to more placements, and are experiencing higher levels of emotional distress compared to their nonLGBTQ counterparts.","container-title":"Children and Youth Services Review","DOI":"10.1016/j.childyouth.2015.08.016","ISSN":"01907409","journalAbbreviation":"Children and Youth Services Review","language":"en","page":"11-17","source":"DOI.org (Crossref)","title":"Sexual and gender minority disproportionality and disparities in child welfare: A population-based study","title-short":"Sexual and gender minority disproportionality and disparities in child welfare","volume":"58","author":[{"family":"Wilson","given":"Bianca D.M."},{"family":"Kastanis","given":"Angeliki A."}],"issued":{"date-parts":[["2015",11]]}}}],"schema":"https://github.com/citation-style-language/schema/raw/master/csl-citation.json"}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(Wilson &amp; Kastanis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Due to this, LGBQ youth in foster care are less likely to achieve permanency than non-LGBQ youth in care and often age out of the foster care system with few attachments to social supports or caring individuals in their lives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{"citationID":"dhCmYjm9","properties":{"formattedCitation":"(Jacobs and Freundlich 2006; Mallon 2011)","plainCitation":"(Jacobs and Freundlich 2006; Mallon 2011)","noteIndex":0},"citationItems":[{"id":377,"uris":["http://zotero.org/users/7501598/items/FQW79IZW",["http://zotero.org/users/7501598/items/FQW79IZW"]],"itemData":{"id":377,"type":"article-journal","abstract":"This article brings together two significant efforts in the child welfare field: achieving permanence for youth in out-of-home care and meeting the needs of lesbian, gay, bisexual, transgender and questioning (LGBTQ) youth. During the past several years, a national movement has taken place to assure all children and youth have a permanent family connection before leaving the child welfare system; however, LGBTQ youth are not routinely included in the permanency discussions. At the same time, efforts in addressing the needs of LGBTQ youth have increased, but permanency is rarely mentioned as a need. This article offers models of permanence and practices to facilitate permanence with LGBTQ youth and their families. It also offers a youth-driven, individualized process, using youth development principles to achieve relational, physical, and legal permanence. Reunification efforts are discussed, including services, supports, and education required for youth to return to their family of origin. For those who cannot return home, other family resources are explored. The article also discusses cultural issues as they affect permanence for LGBTQ youth, and, finally, addresses the need for ongoing support services to sustain and support permanency.","container-title":"Child Welfare","ISSN":"0009-4021","issue":"2","journalAbbreviation":"Child Welfare","language":"eng","note":"PMID: 16846117","page":"299-316","source":"PubMed","title":"Achieving permanency for LGBTQ youth","volume":"85","author":[{"family":"Jacobs","given":"Jill"},{"family":"Freundlich","given":"Madelyn"}],"issued":{"date-parts":[["2006",4]]}}},{"id":389,"uris":["http://zotero.org/users/7501598/items/MQZNW7TN",["http://zotero.org/users/7501598/items/MQZNW7TN"]],"itemData":{"id":389,"type":"article-journal","abstract":"GLBT persons in the United States have been creating families through adoption, foster care, and the establishment of kinship networks for decades. For many GLBT persons, foster parenting or adopting is not a second choice as it may be for heterosexual men and women, but rather their preference from the start. Furthermore, a growing body of research shows that GLBT persons make good parents and raise children who show patterns of positive adjustment comparable to those of heterosexual parents. As a result, it is apparent that GLBT persons represent an untapped resource of potential parents for some of the tens of thousands of children and youths who need permanent and loving families. Although GLBT persons may have been historically discouraged from fostering or adopting, changes in legislation and policy over the past 10 years in some states and nationally reflect a more open attitude to GLBT persons as parents. The home study process, central to the certification and licensing for foster/adoptive parents, is discussed in detail in this article. Implications for competent social work practice with GLBT persons are detailed throughout.","container-title":"Journal of GLBT Family Studies","DOI":"10.1080/1550428X.2011.537229","ISSN":"1550-428X","issue":"1-2","note":"publisher: Routledge\n_eprint: https://doi.org/10.1080/1550428X.2011.537229","page":"9-29","source":"Taylor and Francis+NEJM","title":"The Home Study Assessment Process for Gay, Lesbian, Bisexual, and Transgender Prospective Foster and Adoptive Families","volume":"7","author":[{"family":"Mallon","given":"Gerald P."}],"issued":{"date-parts":[["2011",2,2]]}}}],"schema":"https://github.com/citation-style-language/schema/raw/master/csl-citation.json"}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(Jacobs and Freundlich 2006; Mallon 2011)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LGBQ youth in foster care also voice a lack of competent adults willing to help them deal with stressors such as discrimination and harassment, family conflicts, and the unwelcoming foster care system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{"citationID":"WUO48MDO","properties":{"formattedCitation":"(Gonzalez Alvarez et al. 2021)","plainCitation":"(Gonzalez Alvarez et al. 2021)","noteIndex":0},"citationItems":[{"id":375,"uris":["http://zotero.org/users/7501598/items/ZXKJPDEW",["http://zotero.org/users/7501598/items/ZXKJPDEW"]],"itemData":{"id":375,"type":"article-journal","abstract":"Research on the lives of lesbian, gay, bisexual, transgender, queer, intersex, asexual and other forms of sexual identities and orientations (LGBTQIA+) youth in care has mainly examined their experiences from a risk-based approach, while few studies have explored their resilience experiences. Using in-depth interviews, the present study aims to illuminate the resilience experiences of 13 LGBTQIA+ young people in out-of-home care in the Netherlands. Four themes emerged from their narratives: relationships that support and empower; construction of a positive identity around their sexual orientation and gender identity and expression (SOGIE); community involvement and self-relying strategies. Our findings support the view of resilience as a complex process that shows at an individual, interpersonal and social level.","container-title":"Children &amp; Society","DOI":"10.1111/chso.12464","journalAbbreviation":"Children &amp; Society","source":"ResearchGate","title":"‘I actually know that things will get better’: The many pathways to resilience of LGBTQIA+ youth in out‐of‐home care","title-short":"‘I actually know that things will get better’","author":[{"family":"Gonzalez Alvarez","given":"Rodrigo"},{"family":"Brummelaar","given":"Mijntje","non-dropping-particle":"ten"},{"family":"Orwa","given":"Samar"},{"family":"López López","given":"Mónica"}],"issued":{"date-parts":[["2021",5,26]]}}}],"schema":"https://github.com/citation-style-language/schema/raw/master/csl-citation.json"}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(Gonzalez Alvarez et al. 2021)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31868DFB" w14:textId="3A09117F" w:rsidR="00442034" w:rsidRPr="00442034" w:rsidRDefault="00442034" w:rsidP="00442034">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lastRenderedPageBreak/>
        <w:t xml:space="preserve">Sexual minority stress theory is a framework for understanding the physical and mental health outcomes among LGBQ individuals and has emerged in research on this vulnerable population over the last 40 years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{"citationID":"g9XcMgoW","properties":{"formattedCitation":"(Rich et al. 2020)","plainCitation":"(Rich et al. 2020)","noteIndex":0},"citationItems":[{"id":269,"uris":["http://zotero.org/users/7501598/items/38DZGCWM"],"itemData":{"id":269,"type":"article-journal","container-title":"LGBT Health","DOI":"10.1089/lgbt.2019.0223","ISSN":"2325-8292, 2325-8306","issue":"3","journalAbbreviation":"LGBT Health","language":"en","page":"124-127","source":"DOI.org (Crossref)","title":"Sexual Minority Stress Theory: Remembering and Honoring the Work of Virginia Brooks","title-short":"Sexual Minority Stress Theory","volume":"7","author":[{"family":"Rich","given":"Ashleigh J."},{"family":"Salway","given":"Travis"},{"family":"Scheim","given":"Ayden"},{"family":"Poteat","given":"Tonia"}],"issued":{"date-parts":[["2020",4,1]]}}}],"schema":"https://github.com/citation-style-language/schema/raw/master/csl-citation.json"}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(Rich et al. 2020)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First developed by Winn Kelly Brooks (1981) in her book </w:t>
      </w:r>
      <w:r w:rsidRPr="00442034">
        <w:rPr>
          <w:rFonts w:ascii="Times New Roman" w:hAnsi="Times New Roman" w:cs="Times New Roman"/>
          <w:i/>
          <w:iCs/>
          <w:sz w:val="24"/>
          <w:szCs w:val="24"/>
        </w:rPr>
        <w:t>Minority Stress and Lesbian Women</w:t>
      </w:r>
      <w:r w:rsidRPr="00442034">
        <w:rPr>
          <w:rFonts w:ascii="Times New Roman" w:hAnsi="Times New Roman" w:cs="Times New Roman"/>
          <w:sz w:val="24"/>
          <w:szCs w:val="24"/>
        </w:rPr>
        <w:t xml:space="preserve">, sexual minority stress theory identifies how identity- or social status-based stress affects individuals belonging to sexual minority populations. Conceptualized as a systems theory approach, sexual minority stress theory illustrates how cultural and social stressors including prejudiced attitudes, discriminatory behaviors, and restricted access to economic opportunities act as threats to self-esteem and basic security, inducing states of stress for LGBQ individuals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{"citationID":"SlI0tTQg","properties":{"formattedCitation":"(Rich et al. 2020)","plainCitation":"(Rich et al. 2020)","noteIndex":0},"citationItems":[{"id":269,"uris":["http://zotero.org/users/7501598/items/38DZGCWM"],"itemData":{"id":269,"type":"article-journal","container-title":"LGBT Health","DOI":"10.1089/lgbt.2019.0223","ISSN":"2325-8292, 2325-8306","issue":"3","journalAbbreviation":"LGBT Health","language":"en","page":"124-127","source":"DOI.org (Crossref)","title":"Sexual Minority Stress Theory: Remembering and Honoring the Work of Virginia Brooks","title-short":"Sexual Minority Stress Theory","volume":"7","author":[{"family":"Rich","given":"Ashleigh J."},{"family":"Salway","given":"Travis"},{"family":"Scheim","given":"Ayden"},{"family":"Poteat","given":"Tonia"}],"issued":{"date-parts":[["2020",4,1]]}}}],"schema":"https://github.com/citation-style-language/schema/raw/master/csl-citation.json"}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(Rich et al. 2020)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Brooks (1981) argued that differences in health and well-being for sexual minority individuals can be traced back to a “lack of social sanctions” and acceptance within the sociocultural environment rather than the inherent features of being LGBQ. Sexual minority stress theory was therefore developed to identify key variables that may contribute to the reduction of stress and lead to improved well-being among LGBQ individuals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{"citationID":"86tGxKQ7","properties":{"formattedCitation":"(Brooks 1981)","plainCitation":"(Brooks 1981)","noteIndex":0},"citationItems":[{"id":393,"uris":["http://zotero.org/users/7501598/items/Q33VJYNW",["http://zotero.org/users/7501598/items/Q33VJYNW"]],"itemData":{"id":393,"type":"book","event-place":"Lexington, Mass","ISBN":"0-669-03953-5","publisher":"Lexington Books","publisher-place":"Lexington, Mass","title":"Minority stress and lesbian women / Virginia R. Brooks.","author":[{"family":"Brooks","given":"Virginia R."}],"issued":{"date-parts":[["1981"]]}}}],"schema":"https://github.com/citation-style-language/schema/raw/master/csl-citation.json"}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(Brooks 1981)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1201A157" w14:textId="48290193" w:rsidR="00442034" w:rsidRPr="00442034" w:rsidRDefault="00442034" w:rsidP="00442034">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Meyer (2003) built on sexual minority stress theory, positing that general environmental circumstances, including socioeconomic circumstances, are interconnected with minority status. General stressors found in the environment (mental health problems, job loss, loss of family, etc.) are often exacerbated by minority stress. In addition to these general stressors, Meyer (2003) identified four stressors specific to LGBQ individuals. The first is heterosexist discrimination, or the differential treatment, harassment, stigma, and victimization of individuals based on their LGBQ status. Second, LGBQ individuals often face the expectations or anticipation of encountering homophobia and heterosexist discrimination. Third, LGBQ individuals often have internalized heterosexism and may devalue themselves because of their sexual identity. Finally, </w:t>
      </w:r>
      <w:r w:rsidRPr="00442034">
        <w:rPr>
          <w:rFonts w:ascii="Times New Roman" w:hAnsi="Times New Roman" w:cs="Times New Roman"/>
          <w:sz w:val="24"/>
          <w:szCs w:val="24"/>
        </w:rPr>
        <w:lastRenderedPageBreak/>
        <w:t xml:space="preserve">concealment or low outness, which is the extent that LGBQ individuals hide or avoid disclosing their sexual orientation, is an additional minority stressor as individuals must make choices about who, when, and how people learn about their sexual identity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{"citationID":"9V1NwEky","properties":{"formattedCitation":"(Velez and Moradi 2016)","plainCitation":"(Velez and Moradi 2016)","noteIndex":0},"citationItems":[{"id":267,"uris":["http://zotero.org/users/7501598/items/7W2XFAUC",["http://zotero.org/users/7501598/items/7W2XFAUC"]],"itemData":{"id":267,"type":"article-journal","abstract":"In the present study, we extended minority stress theory by testing expectations of stigma, internalized heterosexism, and outness as mediators of the relations of heterosexist discrimination with psychological distress and well-being; testing collective action as a mental health promoter by examining its unique relations with distress and well-being; and testing collective action as a moderator of the direct and indirect relations of the minority stressors with mental health among 514 sexual minority adults. Path analyses indicated that heterosexist discrimination, expectations of stigma, internalized heterosexism, and outness were uniquely related to psychological distress, whereas heterosexist discrimination, internalized heterosexism, outness, and collective action were uniquely related to well-being. Expectations of stigma mediated the positive discrimination?distress link. Collective action buffered the direct heterosexist discrimination?internalized heterosexism relation as well as the indirect heterosexist discrimination?well-being relation through internalized heterosexism. Limitations of the study and implications for future research are discussed.","container-title":"The Counseling Psychologist","DOI":"10.1177/0011000016665467","ISSN":"0011-0000","issue":"8","journalAbbreviation":"The Counseling Psychologist","note":"publisher: SAGE Publications Inc","page":"1132-1157","source":"SAGE Journals","title":"A Moderated Mediation Test of Minority Stress: The Role of Collective Action","title-short":"A Moderated Mediation Test of Minority Stress","volume":"44","author":[{"family":"Velez","given":"Brandon L."},{"family":"Moradi","given":"Bonnie"}],"issued":{"date-parts":[["2016",11,1]]}}}],"schema":"https://github.com/citation-style-language/schema/raw/master/csl-citation.json"}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(Velez and Moradi 2016)</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p>
    <w:p w14:paraId="0B9F808E" w14:textId="6336B6E8" w:rsidR="00565FF0" w:rsidRDefault="00442034" w:rsidP="00565FF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Discovering sexual identity at a younger age is a critical struggle faced by youth as they must contemplate whether to publicly or privately identify themselves as a sexual minority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{"citationID":"DCafh8bu","properties":{"formattedCitation":"(Saewyc et al. 2006)","plainCitation":"(Saewyc et al. 2006)","noteIndex":0},"citationItems":[{"id":149,"uris":["http://zotero.org/users/7501598/items/YRQLUBTX"],"itemData":{"id":149,"type":"article-journal","container-title":"Child welfare","issue":"2","note":"ISBN: 0009-4021","title":"Hazards of stigma: the sexual and physical abuse of gay, lesbian, and bisexual adolescents in the United States and Canada.","volume":"85","author":[{"family":"Saewyc","given":"Elizabeth M."},{"family":"Skay","given":"Carol L."},{"family":"Pettingell","given":"Sandra L."},{"family":"Reis","given":"Elizabeth A."},{"family":"Bearinger","given":"Linda"},{"family":"Resnick","given":"Michael"},{"family":"Murphy","given":"Aileen"},{"family":"Combs","given":"Leigh"}],"issued":{"date-parts":[["2006"]]}}}],"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(Saewyc et al. 2006)</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Research on sexual minority stress theory shows that the minority stressors faced by LGBQ adults are also present among LGBQ youth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{"citationID":"CfHx6VwY","properties":{"formattedCitation":"(Goldbach and Gibbs 2017)","plainCitation":"(Goldbach and Gibbs 2017)","noteIndex":0},"citationItems":[{"id":266,"uris":["http://zotero.org/users/7501598/items/3CXEE3WX",["http://zotero.org/users/7501598/items/3CXEE3WX"]],"itemData":{"id":266,"type":"article-journal","abstract":"Sexual minority adolescents (lesbian, gay, bisexual) experience disparities in behavioral health outcomes compared to their heterosexual peers, generally attributed to minority stress. Although evidence of the applicability of the minority stress model among adolescents exists, it is based on a primarily adult literature. Developmental and generational differences demand further examination of minority stress to conﬁrm its applicability. Forty-eight life history interviews with sexual minority adolescents in California (age 14 e19; M ¼ 19.27 SD ¼ 1.38; 39.6% cismale, 35.4% cisfemale, 25% other gender) were completed, recorded, transcribed, and analyzed using thematic analysis in QSR NVivo. Following a consensus model, all transcripts were double coded. Results suggest that minority stress is appropriate for use with adolescents; however, further emphasis should be placed on social context, coping resources, and developmental processes regarding identity development. A conceptual model is provided, as are implications for research and practice.","container-title":"Journal of Adolescence","DOI":"10.1016/j.adolescence.2016.12.007","ISSN":"01401971","journalAbbreviation":"Journal of Adolescence","language":"en","page":"36-50","source":"DOI.org (Crossref)","title":"A developmentally informed adaptation of minority stress for sexual minority adolescents","volume":"55","author":[{"family":"Goldbach","given":"Jeremy T."},{"family":"Gibbs","given":"Jeremy J."}],"issued":{"date-parts":[["2017",2]]}}}],"schema":"https://github.com/citation-style-language/schema/raw/master/csl-citation.json"}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(Goldbach and Gibbs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Experiences of stress and stigmatizing experiences for LGBQ individuals is critically important during the period of adolescence, as they may disrupt youth development and contribute to further negative outcomes in adulthood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{"citationID":"M88hRhMT","properties":{"formattedCitation":"(Radkowsky and Siegel 1997)","plainCitation":"(Radkowsky and Siegel 1997)","noteIndex":0},"citationItems":[{"id":392,"uris":["http://zotero.org/users/7501598/items/675WEP58"],"itemData":{"id":392,"type":"article-journal","abstract":"Examines literature and research studies on the effects of social stigmatization which may hinder gay adolescents' ability to achieve a sense of identity and self-esteem, and peer and familial relationships. Due to these factors, gay adolescents are susceptible to loneliness, isolation, depression, AIDS, and suicide. The authors suggest intervention strategies for clinicians working with gay youth including examining one's own biases about homosexuality, validation of affectional and erotic feelings to normalize their adolescence, providing education, and providing clients and their families with peer groups of other gay youth and parents of gay youth. (PsycInfo Database Record (c) 2020 APA, all rights reserved)","container-title":"Clinical Psychology Review","DOI":"10.1016/S0272-7358(97)00007-X","ISSN":"1873-7811","issue":"2","note":"publisher-place: Netherlands\npublisher: Elsevier Science","page":"191-216","source":"APA PsycNet","title":"The gay adolescent: Stressors, adaptations, and psychosocial interventions","title-short":"The gay adolescent","volume":"17","author":[{"family":"Radkowsky","given":"Michael"},{"family":"Siegel","given":"Lawrence J."}],"issued":{"date-parts":[["1997"]]}}}],"schema":"https://github.com/citation-style-language/schema/raw/master/csl-citation.json"}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(Radkowsky and Siegel 1997)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As LGBQ youth continually experience higher rates of both internalizing and externalizing behaviors compared to their peers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{"citationID":"rIPhA9Yx","properties":{"formattedCitation":"(Fergusson et al. 1999)","plainCitation":"(Fergusson et al. 1999)","noteIndex":0},"citationItems":[{"id":391,"uris":["http://zotero.org/users/7501598/items/UMXYCKMW",["http://zotero.org/users/7501598/items/UMXYCKMW"]],"itemData":{"id":391,"type":"article-journal","abstract":"BACKGROUND: This study examines the extent to which gay, lesbian, and bisexual young people are at increased risk of psychiatric disorder and suicidal behaviors using data gathered on a New Zealand birth cohort studied to age 21 years.\nMETHODS: Data were gathered during the course of the Christchurch Health and Development Study, a 21-year longitudinal study of a birth cohort of 1265 children born in Christchurch, New Zealand. At 21 years of age, 1007 sample members were questioned about their sexual orientation and relationships with same-sex partners since the age of 16 years. Twenty-eight subjects (2.8%) were classified as being of gay, lesbian, or bisexual sexual orientation. Over the period from age 14 to 21 years, data were gathered on a range of psychiatric disorders that included major depression, generalized anxiety disorder, conduct disorder, and substance use disorders. Data were also gathered on suicidal ideation and suicide attempts.\nRESULTS: Gay, lesbian, and bisexual young people were at increased risks of major depression (odds ratio [OR], 4.0; 95% confidence interval [CI], 1.8-9.3), generalized anxiety disorder (OR, 2.8; 95% CI, 1.2-6.5), conduct disorder (OR, 3.8; 95% CI, 1.7-8.7), nicotine dependence (OR, 5.0; 95%, CI, 2.3-10.9), other substance abuse and/or dependence (OR, 1.9; 95% CI, 0.9-4.2), multiple disorders (OR, 5.9; 95% CI, 2.4-14.8), suicidal ideation (OR, 5.4; 95% CI, 2.4-12.2), and suicide attempts (OR, 6.2; 95% CI, 2.7-14.3).\nCONCLUSIONS: Findings support recent evidence suggesting that gay, lesbian, and bisexual young people are at increased risk of mental health problems, with these associations being particularly evident for measures of suicidal behavior and multiple disorder.","container-title":"Archives of General Psychiatry","DOI":"10.1001/archpsyc.56.10.876","ISSN":"0003-990X","issue":"10","journalAbbreviation":"Arch Gen Psychiatry","language":"eng","note":"PMID: 10530626","page":"876-880","source":"PubMed","title":"Is sexual orientation related to mental health problems and suicidality in young people?","volume":"56","author":[{"family":"Fergusson","given":"D. M."},{"family":"Horwood","given":"L. J."},{"family":"Beautrais","given":"A. L."}],"issued":{"date-parts":[["1999",10]]}}}],"schema":"https://github.com/citation-style-language/schema/raw/master/csl-citation.json"}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(Fergusson et al. 1999)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sexual minority stress theory helps explain the mechanisms that can exacerbate or reduce the stress experienced among these youth. Specifically, protective factors such as group solidarity, social support and caring relationships, and being part of affirming communities can improve mental health and well-being for sexual minority youth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{"citationID":"6EPUQ8rg","properties":{"formattedCitation":"(Goldbach and Gibbs 2017)","plainCitation":"(Goldbach and Gibbs 2017)","noteIndex":0},"citationItems":[{"id":266,"uris":["http://zotero.org/users/7501598/items/3CXEE3WX",["http://zotero.org/users/7501598/items/3CXEE3WX"]],"itemData":{"id":266,"type":"article-journal","abstract":"Sexual minority adolescents (lesbian, gay, bisexual) experience disparities in behavioral health outcomes compared to their heterosexual peers, generally attributed to minority stress. Although evidence of the applicability of the minority stress model among adolescents exists, it is based on a primarily adult literature. Developmental and generational differences demand further examination of minority stress to conﬁrm its applicability. Forty-eight life history interviews with sexual minority adolescents in California (age 14 e19; M ¼ 19.27 SD ¼ 1.38; 39.6% cismale, 35.4% cisfemale, 25% other gender) were completed, recorded, transcribed, and analyzed using thematic analysis in QSR NVivo. Following a consensus model, all transcripts were double coded. Results suggest that minority stress is appropriate for use with adolescents; however, further emphasis should be placed on social context, coping resources, and developmental processes regarding identity development. A conceptual model is provided, as are implications for research and practice.","container-title":"Journal of Adolescence","DOI":"10.1016/j.adolescence.2016.12.007","ISSN":"01401971","journalAbbreviation":"Journal of Adolescence","language":"en","page":"36-50","source":"DOI.org (Crossref)","title":"A developmentally informed adaptation of minority stress for sexual minority adolescents","volume":"55","author":[{"family":"Goldbach","given":"Jeremy T."},{"family":"Gibbs","given":"Jeremy J."}],"issued":{"date-parts":[["2017",2]]}}}],"schema":"https://github.com/citation-style-language/schema/raw/master/csl-citation.json"}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(Goldbach and Gibbs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583EF3F9" w14:textId="0716AAB4" w:rsidR="00442034" w:rsidRPr="00442034" w:rsidRDefault="00442034" w:rsidP="00442034">
      <w:pPr>
        <w:rPr>
          <w:rFonts w:ascii="Times New Roman" w:hAnsi="Times New Roman" w:cs="Times New Roman"/>
          <w:i/>
          <w:iCs/>
          <w:sz w:val="24"/>
          <w:szCs w:val="24"/>
        </w:rPr>
      </w:pPr>
      <w:r w:rsidRPr="00442034">
        <w:rPr>
          <w:rFonts w:ascii="Times New Roman" w:hAnsi="Times New Roman" w:cs="Times New Roman"/>
          <w:i/>
          <w:iCs/>
          <w:sz w:val="24"/>
          <w:szCs w:val="24"/>
        </w:rPr>
        <w:t>Protective Factors</w:t>
      </w:r>
    </w:p>
    <w:p w14:paraId="02228947" w14:textId="26C8FAA6" w:rsidR="00442034" w:rsidRPr="00442034" w:rsidRDefault="00442034" w:rsidP="00442034">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To alleviate the negative outcomes experienced by youth in the foster care system, especially for LGBQ youth, research has shifted to focus on protective factors that have been shown to increase well-being. Protective factors can be defined as characteristics at any level (biological, psychological, peer, family, and community) that are associated with reduced likelihoods for problem outcomes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{"citationID":"U8zN2NaH","properties":{"formattedCitation":"(National Research Council (US) and Institute of Medicine (US) Committee on the Prevention of Mental Disorders and Substance Abuse Among Children, Youth, and Young Adults: Research Advances and Promising Interventions 2009)","plainCitation":"(National Research Council (US) and Institute of Medicine (US) Committee on the Prevention of Mental Disorders and Substance Abuse Among Children, Youth, and Young Adults: Research Advances and Promising Interventions 2009)","noteIndex":0},"citationItems":[{"id":390,"uris":["http://zotero.org/users/7501598/items/F5RNEMH6",["http://zotero.org/users/7501598/items/F5RNEMH6"]],"itemData":{"id":390,"type":"book","abstract":"This report builds on a highly valued predecessor, the 1994 Institute of Medicine (IOM) report entitled Reducing Risks for Mental Disorders: Frontiers for Preventive Intervention Research. That report provided the basis for understanding prevention science, elucidating its then-existing research base, and contemplating where it should go in the future. This report documents that an increasing number of mental, emotional, and behavioral problems in young people are in fact preventable. The proverbial ounce of prevention will indeed be worth a pound of cure: effectively applying the evidence-based prevention interventions at hand could potentially save billions of dollars in associated costs by avoiding or tempering these disorders in many individuals. Furthermore, devoting significantly greater resources to research on even more effective prevention and promotion efforts, and then reliably implementing the findings of such research, could substantially diminish the human and economic toll.","call-number":"NBK32775","collection-title":"The National Academies Collection: Reports funded by National Institutes of Health","event-place":"Washington (DC)","ISBN":"978-0-309-12674-8","language":"eng","license":"Copyright © 2009, National Academy of Sciences.","note":"PMID: 20662125","publisher":"National Academies Press (US)","publisher-place":"Washington (DC)","source":"PubMed","title":"Preventing Mental, Emotional, and Behavioral Disorders Among Young People: Progress and Possibilities","title-short":"Preventing Mental, Emotional, and Behavioral Disorders Among Young People","URL":"http://www.ncbi.nlm.nih.gov/books/NBK32775/","author":[{"literal":"National Research Council (US) and Institute of Medicine (US) Committee on the Prevention of Mental Disorders and Substance Abuse Among Children, Youth, and Young Adults: Research Advances and Promising Interventions"}],"editor":[{"family":"O'Connell","given":"Mary Ellen"},{"family":"Boat","given":"Thomas"},{"family":"Warner","given":"Kenneth E."}],"accessed":{"date-parts":[["2021",12,8]]},"issued":{"date-parts":[["2009"]]}}}],"schema":"https://github.com/citation-style-language/schema/raw/master/csl-citation.json"}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(National Research Council (US) and Institute of Medicine (US) Committee on the Prevention of Mental Disorders and Substance Abuse Among Children, Youth, and Young Adults: Research Advances and Promising Interventions 2009)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Put more </w:t>
      </w:r>
      <w:r w:rsidRPr="00442034">
        <w:rPr>
          <w:rFonts w:ascii="Times New Roman" w:hAnsi="Times New Roman" w:cs="Times New Roman"/>
          <w:sz w:val="24"/>
          <w:szCs w:val="24"/>
        </w:rPr>
        <w:lastRenderedPageBreak/>
        <w:t xml:space="preserve">simply, protective factors are factors that decrease the likelihood of behavior problems and increase the likelihood of positive behaviors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{"citationID":"FSncM1wt","properties":{"formattedCitation":"(Catalano et al. 1999)","plainCitation":"(Catalano et al. 1999)","noteIndex":0},"citationItems":[{"id":417,"uris":["http://zotero.org/users/7501598/items/N9P5YNWU",["http://zotero.org/users/7501598/items/N9P5YNWU"]],"itemData":{"id":417,"type":"article-journal","abstract":"Background This paper presents a test of the social development model which is a general theory of human behaviour that hypothesizes that similar developmental processes lead to either prosocial or antisocial outcomes. The model is a synthesis of social learning, social control and differential association theories. Earlier papers have examined the fit of the model during adolescence, but the model has not been tested in childhood. Method This paper examines the fit of a modified version of the model measuring social development constructs in the family in predicting early antisocial behaviour in primary school. The model is tested with data from the Raising Healthy Children project, a longitudinal study of the aetiology of positive and problem behaviour with an experimental intervention nested within the study. Results In the first analysis the prosocial path of the SDM was examined; the model fitted well, and explained 25% of the variance in early antisocial behaviour. However, the path between skills and rewards from the family was not significant, and a better fit was obtained when the model included two additional paths from skills to beliefs and skills to antisocial behaviour. In the second analysis the sample was split into two groups, those whose parents modelled problem behaviour and those who did not. Conclusions Two differences emerged between the two groups. First, the strength of the path between skills and problem behaviour was significantly stronger for children whose parents modelled problem behaviours. Second, the path between belief in family values and antisocial behaviours was not significant for children whose parents modelled problem behaviour. The implications for theory and practice are discussed. Copyright © 1999 Whurr Publishers Ltd.","container-title":"Criminal Behaviour and Mental Health","DOI":"10.1002/cbm.290","ISSN":"1471-2857","issue":"1","language":"en","note":"_eprint: https://onlinelibrary.wiley.com/doi/pdf/10.1002/cbm.290","page":"39-56","source":"Wiley Online Library","title":"A test of the social development model to predict problem behaviour during the elementary school period","volume":"9","author":[{"family":"Catalano","given":"Richard F."},{"family":"Oxford","given":"Monica L."},{"family":"Harachi","given":"Tracy W."},{"family":"Abbott","given":"Robert D."},{"family":"Haggerty","given":"Kevin P."}],"issued":{"date-parts":[["1999"]]}}}],"schema":"https://github.com/citation-style-language/schema/raw/master/csl-citation.json"}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(Catalano et al. 1999)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p>
    <w:p w14:paraId="01F918E7" w14:textId="45EA5017" w:rsidR="00442034" w:rsidRPr="00442034" w:rsidRDefault="00442034" w:rsidP="00442034">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One specific protective factor found to improve child well-being is the relationship with a caregiver. Parent support or understanding of their youth can lower children’s levels of stress thereby reducing </w:t>
      </w:r>
      <w:r w:rsidR="00CB5DD1">
        <w:rPr>
          <w:rFonts w:ascii="Times New Roman" w:hAnsi="Times New Roman" w:cs="Times New Roman"/>
          <w:sz w:val="24"/>
          <w:szCs w:val="24"/>
        </w:rPr>
        <w:t xml:space="preserve">symptoms of </w:t>
      </w:r>
      <w:r w:rsidR="0045037B">
        <w:rPr>
          <w:rFonts w:ascii="Times New Roman" w:hAnsi="Times New Roman" w:cs="Times New Roman"/>
          <w:sz w:val="24"/>
          <w:szCs w:val="24"/>
        </w:rPr>
        <w:t xml:space="preserve">emotional and </w:t>
      </w:r>
      <w:r w:rsidRPr="00442034">
        <w:rPr>
          <w:rFonts w:ascii="Times New Roman" w:hAnsi="Times New Roman" w:cs="Times New Roman"/>
          <w:sz w:val="24"/>
          <w:szCs w:val="24"/>
        </w:rPr>
        <w:t xml:space="preserve">behavioral </w:t>
      </w:r>
      <w:r w:rsidR="00CB5DD1">
        <w:rPr>
          <w:rFonts w:ascii="Times New Roman" w:hAnsi="Times New Roman" w:cs="Times New Roman"/>
          <w:sz w:val="24"/>
          <w:szCs w:val="24"/>
        </w:rPr>
        <w:t>disorders</w:t>
      </w:r>
      <w:r w:rsidR="00CB5DD1" w:rsidRPr="00442034">
        <w:rPr>
          <w:rFonts w:ascii="Times New Roman" w:hAnsi="Times New Roman" w:cs="Times New Roman"/>
          <w:sz w:val="24"/>
          <w:szCs w:val="24"/>
        </w:rPr>
        <w:t xml:space="preserv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{"citationID":"AGjlm8lb","properties":{"formattedCitation":"(Quamma and Greenberg 1994)","plainCitation":"(Quamma and Greenberg 1994)","noteIndex":0},"citationItems":[{"id":386,"uris":["http://zotero.org/users/7501598/items/S647HSMZ"],"itemData":{"id":386,"type":"article-journal","abstract":"Examined the role of family social support and social problem-solving skills in moderating the effects of children's stressful life events on behavioral adjustment. Participants were 322 fourth and fifth graders who reported on their stressful experiences during the past year. Children from both regular education (RE) or special education (SE) classrooms were included in the sample. Additional self-report data from children also included measures related to perceived level of family social support, a personality questionnaire, and a social problem-solving measure. In addition, teachers provided reports of the children's behavior and adjustment. Main effects were found for total stress, school/peer stress, family social support, and social problem solving. Significant moderator effects were found for family support on total stress for the teacher-reported internalizing problems of RE students and for family support on school/peer stress on the teacher-reported externalizing problems and self-reported anxiety problems of SE students. Specific, theory-generated hypotheses are discussed as a more effective method of examining relations between stress and various moderator variables.","container-title":"Journal of Clinical Child Psychology","DOI":"10.1207/s15374424jccp2303_7","ISSN":"0047-228X","issue":"3","note":"publisher: Routledge\n_eprint: https://doi.org/10.1207/s15374424jccp2303_7","page":"295-305","source":"Taylor and Francis+NEJM","title":"Children's experience of life stress: The role of family social support and social problem-solving skills as protective factors","title-short":"Children's experience of life stress","volume":"23","author":[{"family":"Quamma","given":"Julie Perkins"},{"family":"Greenberg","given":"Mark T."}],"issued":{"date-parts":[["1994",9,1]]}}}],"schema":"https://github.com/citation-style-language/schema/raw/master/csl-citation.json"}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(Quamma and Greenberg 1994)</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Yoon et al. (2021) found that among child-welfare-involved youth, better caregiver-child relationships decreased the development trajectory of internalizing and externalizing behaviors over time. Among youth involved in the foster care system, relationships with caregivers can serve as a protective factor for problem behaviors such as substance abuse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{"citationID":"Uom8cETV","properties":{"formattedCitation":"(Traube et al. 2012)","plainCitation":"(Traube et al. 2012)","noteIndex":0},"citationItems":[{"id":254,"uris":["http://zotero.org/users/7501598/items/4DLQDS4M"],"itemData":{"id":254,"type":"article-journal","abstract":"While child welfare services are intended, in part, to diminish maltreatment's negative impact on adolescents' development, there is evidence that receiving child welfare services affects adolescents' substance use adversely. The literature on the extent and correlates of this problem is still emerging. The present study aims to fill part of this gap by examining the association between baseline psychosocial risk and protective factors on engagement in substance use behavior over a period of 36months for child welfare involved youth. It further compares substance use behavior between youth placed in out-of-home care and those who remained with their biological families. Data come from the National Survey of Child and Adolescent Well-Being (NSCAW), a national probability study of children and adolescents undergoing investigation for abuse or neglect. The sample for this analysis was restricted to 827 youth who were 11years or older at baseline data collection. Key findings include a high rate of social substance use (47.7%) and illicit substance use (17.4%). There was a limited role of protective factors in mitigating risk behavior for social substance use (caregiver connectedness; OR=0.51, p&lt;0.05). Avoiding foster care placement was a protective factor for illicit substance use (OR=0.43, p&lt;0.05). Delinquency was a risk factor associated with both social substance use (OR=1.06, p&lt;0.01) and hard substance use (OR=1.10, p&lt;0.001). Given the high prevalence of substance use among child welfare involved youth, prevention efforts for this population require a better understanding of biological, psychological, and social protective factors. The child welfare system is an untapped resource that has the potential to be a gateway to and a platform for substance abuse prevention services that should be incorporated into child welfare safety and permanency interventions.","container-title":"Addictive Behaviors","DOI":"10.1016/j.addbeh.2012.01.015","ISSN":"0306-4603","issue":"5","journalAbbreviation":"Addictive Behaviors","language":"en","page":"641-650","source":"ScienceDirect","title":"A national study of risk and protective factors for substance use among youth in the child welfare system","volume":"37","author":[{"family":"Traube","given":"Dorian E."},{"family":"James","given":"Sigrid"},{"family":"Zhang","given":"Jinjin"},{"family":"Landsverk","given":"John"}],"issued":{"date-parts":[["2012",5,1]]}}}],"schema":"https://github.com/citation-style-language/schema/raw/master/csl-citation.json"}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(Traube et al. 2012)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Additionally, warm relationships with caregivers among youth in the foster care system have been shown to decrease reports of internalizing behaviors and serve as a moderator for trauma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{"citationID":"8jUrIvEm","properties":{"formattedCitation":"(Wojciak, Thompson, and Cooley 2017)","plainCitation":"(Wojciak, Thompson, and Cooley 2017)","noteIndex":0},"citationItems":[{"id":432,"uris":["http://zotero.org/users/7501598/items/AEQ55337",["http://zotero.org/users/7501598/items/AEQ55337"]],"itemData":{"id":432,"type":"article-journal","abstract":"Youth in foster care often experience many negative outcomes. Fortunately, the empirical examination of potential protective factors is beginning to grow. The aim of this study was to investigate the influence that a warm relationship with one’s caregiver has on the well-established association between trauma symptoms and youth reports of internalizing and externalizing behaviors. Mediation and moderation analyses were conducted to explore the impact of this protective factor on this association. A warm relationship with a caregiver was a significant moderator of trauma and youth report of internalizing behaviors. Implications for practice and policy are discussed.","container-title":"Journal of Emotional and Behavioral Disorders","DOI":"10.1177/1063426616628816","ISSN":"1063-4266","issue":"2","journalAbbreviation":"Journal of Emotional and Behavioral Disorders","language":"en","note":"publisher: SAGE Publications Inc","page":"96-106","source":"SAGE Journals","title":"The Relationship Between Caregivers and Youth in Foster Care: Examining the Relationship for Mediation and Moderation Effects on Youth Behaviors","title-short":"The Relationship Between Caregivers and Youth in Foster Care","volume":"25","author":[{"family":"Wojciak","given":"Armeda Stevenson"},{"family":"Thompson","given":"Heather M."},{"family":"Cooley","given":"Morgan E."}],"issued":{"date-parts":[["2017",6,1]]}}}],"schema":"https://github.com/citation-style-language/schema/raw/master/csl-citation.json"}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(Wojciak, Thompson, and Cooley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While in foster care, attachments to foster parents or other caregivers provide security which can decrease behavior problems such as withdrawal or opposition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{"citationID":"K7u8skU9","properties":{"formattedCitation":"(Dozier et al. 2002)","plainCitation":"(Dozier et al. 2002)","noteIndex":0},"citationItems":[{"id":382,"uris":["http://zotero.org/users/7501598/items/YEZ9UQU6"],"itemData":{"id":382,"type":"article-journal","abstract":"This article presents the theoretical and empirical rationale for an intervention that targets three critical needs of infants and young children in foster care. First, foster children tend to give behavioral signals that lead even nurturing caregivers to provide non-nurturing care. Foster parents, therefore, need services that help them to reinterpret children's behavioral signals. Second, some caregivers are not comfortable providing nurturance. When surrogate caregivers do not provide nurturance to foster children, their children are at risk for a range of problematic outcomes. The second intervention component, therefore, targets caregiver difficulties in providing nurturance. Third, foster children are at risk for behavioral and biobehavioral dysregulation as the result of disrupted relationships with previous caregivers. The final intervention component helps caregivers provide children with a predictable interpersonal environment such that children develop better regulatory capabilities. (PsycINFO Database Record (c) 2016 APA, all rights reserved)","container-title":"Infant Mental Health Journal","DOI":"10.1002/imhj.10032","ISSN":"1097-0355","issue":"5","note":"publisher-place: US\npublisher: John Wiley &amp; Sons","page":"541-554","source":"APA PsycNet","title":"Intervening with foster infants' caregivers: Targeting three critical needs","title-short":"Intervening with foster infants' caregivers","volume":"23","author":[{"family":"Dozier","given":"Mary"},{"family":"Higley","given":"Elizabeth"},{"family":"Albus","given":"Kathleen E."},{"family":"Nutter","given":"Anna"}],"issued":{"date-parts":[["2002"]]}}}],"schema":"https://github.com/citation-style-language/schema/raw/master/csl-citation.json"}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(Dozier et al. 2002)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Given these findings, more research needs to focus on this critical factor when examining youth who have experienced abuse and neglect and may have had many changes in their caregivers and caregiving relationships, and must constantly re-establish trust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{"citationID":"BtLCuIKN","properties":{"formattedCitation":"(Cederbaum et al. 2017)","plainCitation":"(Cederbaum et al. 2017)","noteIndex":0},"citationItems":[{"id":327,"uris":["http://zotero.org/users/7501598/items/SCZE6EB6"],"itemData":{"id":327,"type":"article-journal","abstract":"Children who come into contact with the child welfare system are at greater risk of experiencing internalizing and externalizing behaviors. This secondary analysis of the National Survey of Child and Adolescent WellBeing explored how caregiver characteristics and behaviors, and caregiver–child closeness inﬂuence these outcomes over time. The ﬁnal sample was 877 caregiver and adolescent (11–17 years old) dyads. Weighted multivariate regression analyses were performed. Caregiver characteristics associated with depressive symptoms included age and education; caregiver health was not associated with internalizing and externalizing behaviors. For adolescents, being female, older, or Hispanic was associated with internalizing behaviors. Although not signiﬁcant for externalizing behaviors, caregiver–adolescent closeness was protective against internalizing behaviors. Understanding factors that contribute to the mental health of child-welfare-exposed adolescents has farreaching implications for family-based interventions with child-welfare-involved youth.","container-title":"Children and Youth Services Review","DOI":"10.1016/j.childyouth.2016.12.007","ISSN":"01907409","journalAbbreviation":"Children and Youth Services Review","language":"en","page":"113-120","source":"DOI.org (Crossref)","title":"Caregiver qualities, family closeness, and the well-being of adolescents engaged in the child welfare system","volume":"73","author":[{"family":"Cederbaum","given":"Julie A."},{"family":"He","given":"Amy S."},{"family":"Fulginiti","given":"Anthony"},{"family":"Sullivan","given":"Kathrine"},{"family":"Krauss","given":"Max D."},{"family":"Amutah","given":"Ndidi"},{"family":"Pohle","given":"Cara"}],"issued":{"date-parts":[["2017",2]]}}}],"schema":"https://github.com/citation-style-language/schema/raw/master/csl-citation.json"}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(Cederbaum et al.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p>
    <w:p w14:paraId="782C9CFA" w14:textId="2AD77346" w:rsidR="0038658B" w:rsidRPr="00E001EC" w:rsidRDefault="00442034" w:rsidP="00E001EC">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The relationship between youth in foster care and a supportive caregiver can also influence </w:t>
      </w:r>
      <w:proofErr w:type="gramStart"/>
      <w:r w:rsidRPr="00442034">
        <w:rPr>
          <w:rFonts w:ascii="Times New Roman" w:hAnsi="Times New Roman" w:cs="Times New Roman"/>
          <w:sz w:val="24"/>
          <w:szCs w:val="24"/>
        </w:rPr>
        <w:t>permanency</w:t>
      </w:r>
      <w:proofErr w:type="gramEnd"/>
      <w:r w:rsidRPr="00442034">
        <w:rPr>
          <w:rFonts w:ascii="Times New Roman" w:hAnsi="Times New Roman" w:cs="Times New Roman"/>
          <w:sz w:val="24"/>
          <w:szCs w:val="24"/>
        </w:rPr>
        <w:t xml:space="preserve"> outcomes. Youth with at least one loving and supportive </w:t>
      </w:r>
      <w:r w:rsidR="00CC0AA5">
        <w:rPr>
          <w:rFonts w:ascii="Times New Roman" w:hAnsi="Times New Roman" w:cs="Times New Roman"/>
          <w:sz w:val="24"/>
          <w:szCs w:val="24"/>
        </w:rPr>
        <w:t xml:space="preserve">biological </w:t>
      </w:r>
      <w:r w:rsidRPr="00442034">
        <w:rPr>
          <w:rFonts w:ascii="Times New Roman" w:hAnsi="Times New Roman" w:cs="Times New Roman"/>
          <w:sz w:val="24"/>
          <w:szCs w:val="24"/>
        </w:rPr>
        <w:t xml:space="preserve">family member experienced 16% fewer placement changes than youth without strong family connections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{"citationID":"FRlnv2hL","properties":{"formattedCitation":"(Summersett-Ringgold et al. 2018)","plainCitation":"(Summersett-Ringgold et al. 2018)","noteIndex":0},"citationItems":[{"id":256,"uris":["http://zotero.org/users/7501598/items/XW3ASQYI"],"itemData":{"id":256,"type":"article-journal","abstract":"While all children deserve a stable living environment, national data illustrate that many states struggle to achieve placement stability for youth in the child welfare system as a significant number of children in foster care continue to experience multiple placements while in state custody. Prior research has not considered the impact of youth protective factors or strengths on the frequency of placement changes that youth experience while in the child welfare system. This study examined the association between strengths measured at multiple levels (i.e., individual, family, and community) and placement stability among 4022 minority youth (aged 10–18) using administrative and clinical data from the Illinois child welfare system. Negative binomial regressions at the family level revealed that youth with at least one loving and supportive family member experienced 16% fewer placement changes than youth without family strengths. At the community level, youth attending schools that work to create an environment that meets its students’ needs experienced 13% fewer placement changes than youth without educational supports. These findings can inform the quality of treatment and services provided to minority youth in the child welfare system.","container-title":"Child Abuse &amp; Neglect","DOI":"10.1016/j.chiabu.2017.09.014","ISSN":"0145-2134","journalAbbreviation":"Child Abuse &amp; Neglect","language":"en","page":"561-572","source":"ScienceDirect","title":"Child strengths and placement stability among racial/ethnic minority youth in the child welfare system","volume":"76","author":[{"family":"Summersett-Ringgold","given":"Faith"},{"family":"Jordan","given":"Neil"},{"family":"Kisiel","given":"Cassandra"},{"family":"Sax","given":"Rachel M."},{"family":"McClelland","given":"Gary"}],"issued":{"date-parts":[["2018",2,1]]}}}],"schema":"https://github.com/citation-style-language/schema/raw/master/csl-citation.json"}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(Summersett-Ringgold et al.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However, the impact of caregiver relationships as a protective factor has not been as well studied for LGBQ youth in the foster care system, who experience family rejection</w:t>
      </w:r>
      <w:r w:rsidR="00DB3CE0">
        <w:rPr>
          <w:rFonts w:ascii="Times New Roman" w:hAnsi="Times New Roman" w:cs="Times New Roman"/>
          <w:sz w:val="24"/>
          <w:szCs w:val="24"/>
        </w:rPr>
        <w:t xml:space="preserve"> (potentially from both birth families and foster families)</w:t>
      </w:r>
      <w:r w:rsidRPr="00442034">
        <w:rPr>
          <w:rFonts w:ascii="Times New Roman" w:hAnsi="Times New Roman" w:cs="Times New Roman"/>
          <w:sz w:val="24"/>
          <w:szCs w:val="24"/>
        </w:rPr>
        <w:t xml:space="preserve">, higher rates </w:t>
      </w:r>
      <w:r w:rsidRPr="00442034">
        <w:rPr>
          <w:rFonts w:ascii="Times New Roman" w:hAnsi="Times New Roman" w:cs="Times New Roman"/>
          <w:sz w:val="24"/>
          <w:szCs w:val="24"/>
        </w:rPr>
        <w:lastRenderedPageBreak/>
        <w:t xml:space="preserve">of placement instability, disproportionate representation in group homes, and higher rates of homelessness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{"citationID":"dWSm9c95","properties":{"formattedCitation":"(Mallon 2011)","plainCitation":"(Mallon 2011)","noteIndex":0},"citationItems":[{"id":389,"uris":["http://zotero.org/users/7501598/items/MQZNW7TN",["http://zotero.org/users/7501598/items/MQZNW7TN"]],"itemData":{"id":389,"type":"article-journal","abstract":"GLBT persons in the United States have been creating families through adoption, foster care, and the establishment of kinship networks for decades. For many GLBT persons, foster parenting or adopting is not a second choice as it may be for heterosexual men and women, but rather their preference from the start. Furthermore, a growing body of research shows that GLBT persons make good parents and raise children who show patterns of positive adjustment comparable to those of heterosexual parents. As a result, it is apparent that GLBT persons represent an untapped resource of potential parents for some of the tens of thousands of children and youths who need permanent and loving families. Although GLBT persons may have been historically discouraged from fostering or adopting, changes in legislation and policy over the past 10 years in some states and nationally reflect a more open attitude to GLBT persons as parents. The home study process, central to the certification and licensing for foster/adoptive parents, is discussed in detail in this article. Implications for competent social work practice with GLBT persons are detailed throughout.","container-title":"Journal of GLBT Family Studies","DOI":"10.1080/1550428X.2011.537229","ISSN":"1550-428X","issue":"1-2","note":"publisher: Routledge\n_eprint: https://doi.org/10.1080/1550428X.2011.537229","page":"9-29","source":"Taylor and Francis+NEJM","title":"The Home Study Assessment Process for Gay, Lesbian, Bisexual, and Transgender Prospective Foster and Adoptive Families","volume":"7","author":[{"family":"Mallon","given":"Gerald P."}],"issued":{"date-parts":[["2011",2,2]]}}}],"schema":"https://github.com/citation-style-language/schema/raw/master/csl-citation.json"}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(Mallon 2011)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Among LGBQ youth, positive and accepting parents or caregivers who can address their unique developmental needs serve as a protective factor and promote well-being by buffering LGBQ youth from negative responses and stressors related to their sexual orientation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{"citationID":"yIZHMl38","properties":{"formattedCitation":"(Salazar et al. 2020)","plainCitation":"(Salazar et al. 2020)","noteIndex":0},"citationItems":[{"id":348,"uris":["http://zotero.org/users/7501598/items/3G6IPJPV"],"itemData":{"id":348,"type":"article-journal","abstract":"LGBTQ+ youth are over-represented in the foster care system. Child welfare systems across the country have been struggling with how to make their systems work better for the LGBTQ+ youth they serve. One strategy is developing foster caregiver trainings that bolster caregivers’ knowledge and support of LGBTQ+ youth in their care. This study has three aims: (1) to provide an overview of a module designed to support relationship building between LGBTQ+ youth in foster care and their caregivers, (2) to describe the theater testing procedure used to assess usability of the developed module with foster caregivers and adults, and (3) to share the results of the theater test. Overall, participants provided positive usability feedback about the module activities, as well as a wide variety of recommendations for strengthening the content for widespread use. Participants felt the module should be directed specifically toward caregiver skill development rather than toward both caregiver and youth support. This module represents one example of how materials focused on building foster caregivers’ knowledge and support have the potential to help LGBTQ+ teens who are overrepresented in the foster care system.","container-title":"Sexuality research &amp; social policy : journal of NSRC : SR &amp; SP","DOI":"10.1007/s13178-019-00387-z","ISSN":"1868-9884","issue":"2","journalAbbreviation":"Sex Res Social Policy","note":"PMID: 32431761\nPMCID: PMC7236553","page":"239-251","source":"PubMed Central","title":"Supporting LGBTQ+ Foster Teens: Development of a Relationship-Focused, Self-Guided Curriculum for Foster Families","title-short":"Supporting LGBTQ+ Foster Teens","volume":"17","author":[{"family":"Salazar","given":"Amy M."},{"family":"Haggerty","given":"Kevin P."},{"family":"Barkan","given":"Susan E."},{"family":"Peterson","given":"Rachel"},{"family":"Furlong","given":"Madeline E."},{"family":"Kim","given":"Eunsaem"},{"family":"Cole","given":"Janice J."},{"family":"Colito","given":"Jessica M."}],"issued":{"date-parts":[["2020",6]]}}}],"schema":"https://github.com/citation-style-language/schema/raw/master/csl-citation.json"}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(Salazar et al. 2020)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r w:rsidR="00E001EC">
        <w:rPr>
          <w:rFonts w:ascii="Times New Roman" w:hAnsi="Times New Roman" w:cs="Times New Roman"/>
          <w:sz w:val="24"/>
          <w:szCs w:val="24"/>
        </w:rPr>
        <w:t xml:space="preserve"> I focus my research on the following question: H</w:t>
      </w:r>
      <w:r w:rsidR="00E001EC" w:rsidRPr="00442034">
        <w:rPr>
          <w:rFonts w:ascii="Times New Roman" w:hAnsi="Times New Roman" w:cs="Times New Roman"/>
          <w:sz w:val="24"/>
          <w:szCs w:val="24"/>
        </w:rPr>
        <w:t xml:space="preserve">ow do youth’s sexual orientation and the quality of their relationship with their primary caregiver affect their well-being </w:t>
      </w:r>
      <w:r w:rsidR="00E001EC">
        <w:rPr>
          <w:rFonts w:ascii="Times New Roman" w:hAnsi="Times New Roman" w:cs="Times New Roman"/>
          <w:sz w:val="24"/>
          <w:szCs w:val="24"/>
        </w:rPr>
        <w:t>within the child welfare system</w:t>
      </w:r>
      <w:r w:rsidR="00E001EC" w:rsidRPr="00442034">
        <w:rPr>
          <w:rFonts w:ascii="Times New Roman" w:hAnsi="Times New Roman" w:cs="Times New Roman"/>
          <w:sz w:val="24"/>
          <w:szCs w:val="24"/>
        </w:rPr>
        <w:t>?</w:t>
      </w:r>
    </w:p>
    <w:p w14:paraId="5A6529F7" w14:textId="77777777" w:rsidR="00442034" w:rsidRPr="00442034" w:rsidRDefault="00442034" w:rsidP="00442034">
      <w:pPr>
        <w:widowControl w:val="0"/>
        <w:autoSpaceDE w:val="0"/>
        <w:autoSpaceDN w:val="0"/>
        <w:adjustRightInd w:val="0"/>
        <w:spacing w:line="480" w:lineRule="auto"/>
        <w:contextualSpacing/>
        <w:jc w:val="center"/>
        <w:rPr>
          <w:rFonts w:ascii="Times New Roman" w:hAnsi="Times New Roman" w:cs="Times New Roman"/>
          <w:b/>
          <w:bCs/>
          <w:sz w:val="24"/>
          <w:szCs w:val="24"/>
        </w:rPr>
      </w:pPr>
      <w:r w:rsidRPr="00442034">
        <w:rPr>
          <w:rFonts w:ascii="Times New Roman" w:hAnsi="Times New Roman" w:cs="Times New Roman"/>
          <w:b/>
          <w:bCs/>
          <w:sz w:val="24"/>
          <w:szCs w:val="24"/>
        </w:rPr>
        <w:t>Methods</w:t>
      </w:r>
    </w:p>
    <w:p w14:paraId="7607E21C" w14:textId="77777777" w:rsidR="00442034" w:rsidRPr="00442034" w:rsidRDefault="00442034" w:rsidP="00442034">
      <w:pPr>
        <w:widowControl w:val="0"/>
        <w:autoSpaceDE w:val="0"/>
        <w:autoSpaceDN w:val="0"/>
        <w:adjustRightInd w:val="0"/>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t>Data and Sample</w:t>
      </w:r>
    </w:p>
    <w:p w14:paraId="277A5644" w14:textId="54C979FD" w:rsidR="00442034" w:rsidRPr="00442034" w:rsidRDefault="00442034" w:rsidP="00442034">
      <w:pPr>
        <w:widowControl w:val="0"/>
        <w:autoSpaceDE w:val="0"/>
        <w:autoSpaceDN w:val="0"/>
        <w:adjustRightInd w:val="0"/>
        <w:spacing w:line="480" w:lineRule="auto"/>
        <w:contextualSpacing/>
        <w:rPr>
          <w:rFonts w:ascii="Times New Roman" w:hAnsi="Times New Roman" w:cs="Times New Roman"/>
          <w:sz w:val="24"/>
          <w:szCs w:val="24"/>
        </w:rPr>
      </w:pPr>
      <w:r w:rsidRPr="00442034">
        <w:rPr>
          <w:rFonts w:ascii="Times New Roman" w:hAnsi="Times New Roman" w:cs="Times New Roman"/>
          <w:i/>
          <w:iCs/>
          <w:sz w:val="24"/>
          <w:szCs w:val="24"/>
        </w:rPr>
        <w:tab/>
      </w:r>
      <w:r w:rsidRPr="00442034">
        <w:rPr>
          <w:rFonts w:ascii="Times New Roman" w:hAnsi="Times New Roman" w:cs="Times New Roman"/>
          <w:sz w:val="24"/>
          <w:szCs w:val="24"/>
        </w:rPr>
        <w:t xml:space="preserve">Data for this study </w:t>
      </w:r>
      <w:proofErr w:type="gramStart"/>
      <w:r w:rsidRPr="00442034">
        <w:rPr>
          <w:rFonts w:ascii="Times New Roman" w:hAnsi="Times New Roman" w:cs="Times New Roman"/>
          <w:sz w:val="24"/>
          <w:szCs w:val="24"/>
        </w:rPr>
        <w:t>come</w:t>
      </w:r>
      <w:proofErr w:type="gramEnd"/>
      <w:r w:rsidRPr="00442034">
        <w:rPr>
          <w:rFonts w:ascii="Times New Roman" w:hAnsi="Times New Roman" w:cs="Times New Roman"/>
          <w:sz w:val="24"/>
          <w:szCs w:val="24"/>
        </w:rPr>
        <w:t xml:space="preserve"> from the National Survey of Child and Adolescent Well-Being II (NSCAW II).</w:t>
      </w:r>
      <w:r w:rsidR="002E60DB">
        <w:rPr>
          <w:rFonts w:ascii="Times New Roman" w:hAnsi="Times New Roman" w:cs="Times New Roman"/>
          <w:sz w:val="24"/>
          <w:szCs w:val="24"/>
        </w:rPr>
        <w:t xml:space="preserve"> </w:t>
      </w:r>
      <w:r w:rsidRPr="00442034">
        <w:rPr>
          <w:rFonts w:ascii="Times New Roman" w:hAnsi="Times New Roman" w:cs="Times New Roman"/>
          <w:sz w:val="24"/>
          <w:szCs w:val="24"/>
        </w:rPr>
        <w:t>NSCAW II is a longitudinal study designed to assess the functioning, service needs, service use, and well-being of 5,782 youth ages 0 to 17.5 years old involved in the child welfare system (CWS).</w:t>
      </w:r>
      <w:r w:rsidR="00E678E7" w:rsidRPr="00E678E7">
        <w:rPr>
          <w:rFonts w:ascii="Times New Roman" w:hAnsi="Times New Roman" w:cs="Times New Roman"/>
          <w:sz w:val="24"/>
          <w:szCs w:val="24"/>
        </w:rPr>
        <w:t xml:space="preserve"> </w:t>
      </w:r>
      <w:bookmarkStart w:id="0" w:name="_Hlk165279368"/>
      <w:r w:rsidR="00E678E7">
        <w:rPr>
          <w:rFonts w:ascii="Times New Roman" w:hAnsi="Times New Roman" w:cs="Times New Roman"/>
          <w:sz w:val="24"/>
          <w:szCs w:val="24"/>
        </w:rPr>
        <w:t xml:space="preserve">This sample includes youth who were the subject of a child maltreatment investigation, </w:t>
      </w:r>
      <w:r w:rsidR="00012D02">
        <w:rPr>
          <w:rFonts w:ascii="Times New Roman" w:hAnsi="Times New Roman" w:cs="Times New Roman"/>
          <w:sz w:val="24"/>
          <w:szCs w:val="24"/>
        </w:rPr>
        <w:t xml:space="preserve">regardless of whether the investigation resulted in a substantiation of child maltreatment or </w:t>
      </w:r>
      <w:proofErr w:type="gramStart"/>
      <w:r w:rsidR="00012D02">
        <w:rPr>
          <w:rFonts w:ascii="Times New Roman" w:hAnsi="Times New Roman" w:cs="Times New Roman"/>
          <w:sz w:val="24"/>
          <w:szCs w:val="24"/>
        </w:rPr>
        <w:t>not,</w:t>
      </w:r>
      <w:r w:rsidR="00E678E7" w:rsidRPr="00F853E6">
        <w:rPr>
          <w:rFonts w:ascii="Times New Roman" w:hAnsi="Times New Roman" w:cs="Times New Roman"/>
          <w:sz w:val="24"/>
          <w:szCs w:val="24"/>
        </w:rPr>
        <w:t xml:space="preserve"> and</w:t>
      </w:r>
      <w:proofErr w:type="gramEnd"/>
      <w:r w:rsidR="00E678E7" w:rsidRPr="00F853E6">
        <w:rPr>
          <w:rFonts w:ascii="Times New Roman" w:hAnsi="Times New Roman" w:cs="Times New Roman"/>
          <w:sz w:val="24"/>
          <w:szCs w:val="24"/>
        </w:rPr>
        <w:t xml:space="preserve"> is stratified by service type to include cases that received no services, received in-home services, and received out-of-home services</w:t>
      </w:r>
      <w:bookmarkEnd w:id="0"/>
      <w:r w:rsidR="00E678E7" w:rsidRPr="00F853E6">
        <w:rPr>
          <w:rFonts w:ascii="Times New Roman" w:hAnsi="Times New Roman" w:cs="Times New Roman"/>
          <w:sz w:val="24"/>
          <w:szCs w:val="24"/>
        </w:rPr>
        <w:t>.</w:t>
      </w:r>
      <w:r w:rsidRPr="00F853E6">
        <w:rPr>
          <w:rFonts w:ascii="Times New Roman" w:hAnsi="Times New Roman" w:cs="Times New Roman"/>
          <w:sz w:val="28"/>
          <w:szCs w:val="28"/>
        </w:rPr>
        <w:t xml:space="preserve"> </w:t>
      </w:r>
      <w:r w:rsidRPr="00442034">
        <w:rPr>
          <w:rFonts w:ascii="Times New Roman" w:hAnsi="Times New Roman" w:cs="Times New Roman"/>
          <w:sz w:val="24"/>
          <w:szCs w:val="24"/>
        </w:rPr>
        <w:t xml:space="preserve">NSCAW II collected data on these youth in three waves: a baseline Wave One (April 2008-December 2009), an 18-month follow-up Wave Two (October 2009-January 2011), and a 36-month follow-up Wave Three (June 2011-December 2012). NSCAW II uses a two-stage stratified sampling design, with stage one sampling nine strata, eight of which represent states with the largest population of CWS-involved youth, and one stratum for the remaining states. Within these strata, 86 primary sampling units (PSUs) were randomly selected. For stage two, CWS cases within the PSUs were sampled, with infants, youth receiving services, or youth in out-of-home placement oversampled. Due to this </w:t>
      </w:r>
      <w:r w:rsidRPr="00442034">
        <w:rPr>
          <w:rFonts w:ascii="Times New Roman" w:hAnsi="Times New Roman" w:cs="Times New Roman"/>
          <w:sz w:val="24"/>
          <w:szCs w:val="24"/>
        </w:rPr>
        <w:lastRenderedPageBreak/>
        <w:t xml:space="preserve">oversampling, NSCAW II includes survey weights to correct for the unequal probability of being sampled and to allow for a nationally representative comparison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{"citationID":"0FB7Sj8h","properties":{"formattedCitation":"(Dolan et al. 2011)","plainCitation":"(Dolan et al. 2011)","noteIndex":0},"citationItems":[{"id":205,"uris":["http://zotero.org/users/7501598/items/2NAMUBV7"],"itemData":{"id":205,"type":"article-journal","container-title":"Washington, DC: Office of Planning, Research and Evaluation, Administration for Children and Families, US Department of Health and Human Services","journalAbbreviation":"Washington, DC: Office of Planning, Research and Evaluation, Administration for Children and Families, US Department of Health and Human Services","title":"NSCAW II baseline report: Introduction to NSCAW II final report","author":[{"family":"Dolan","given":"Melissa"},{"family":"Smith","given":"Keith"},{"family":"Casanueva","given":"Cecilia"},{"family":"Ringeisen","given":"Heather"},{"family":"P2320062930YC","given":"HHS"},{"family":"Dolan","given":"M"},{"family":"Smith","given":"K"},{"family":"Casanueva","given":"C"},{"family":"Ringeisen","given":"H"}],"issued":{"date-parts":[["2011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sz w:val="24"/>
          <w:szCs w:val="24"/>
        </w:rPr>
        <w:t>(Dolan et al. 2011)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p>
    <w:p w14:paraId="1B4C3F8E" w14:textId="43AA9700" w:rsidR="00442034" w:rsidRPr="00442034" w:rsidRDefault="00442034" w:rsidP="00442034">
      <w:pPr>
        <w:widowControl w:val="0"/>
        <w:autoSpaceDE w:val="0"/>
        <w:autoSpaceDN w:val="0"/>
        <w:adjustRightInd w:val="0"/>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For the current study, I focus my sample </w:t>
      </w:r>
      <w:r w:rsidR="00FE70BA">
        <w:rPr>
          <w:rFonts w:ascii="Times New Roman" w:hAnsi="Times New Roman" w:cs="Times New Roman"/>
          <w:sz w:val="24"/>
          <w:szCs w:val="24"/>
        </w:rPr>
        <w:t>on</w:t>
      </w:r>
      <w:r w:rsidRPr="00442034">
        <w:rPr>
          <w:rFonts w:ascii="Times New Roman" w:hAnsi="Times New Roman" w:cs="Times New Roman"/>
          <w:sz w:val="24"/>
          <w:szCs w:val="24"/>
        </w:rPr>
        <w:t xml:space="preserve"> youth ages 11-17 at Wave Three who completed</w:t>
      </w:r>
      <w:r w:rsidR="00E05FD4">
        <w:rPr>
          <w:rFonts w:ascii="Times New Roman" w:hAnsi="Times New Roman" w:cs="Times New Roman"/>
          <w:sz w:val="24"/>
          <w:szCs w:val="24"/>
        </w:rPr>
        <w:t xml:space="preserve"> </w:t>
      </w:r>
      <w:r w:rsidR="00CC0A47">
        <w:rPr>
          <w:rFonts w:ascii="Times New Roman" w:hAnsi="Times New Roman" w:cs="Times New Roman"/>
          <w:sz w:val="24"/>
          <w:szCs w:val="24"/>
        </w:rPr>
        <w:t xml:space="preserve">the measure of support used in this study </w:t>
      </w:r>
      <w:r w:rsidR="00E05FD4">
        <w:rPr>
          <w:rFonts w:ascii="Times New Roman" w:hAnsi="Times New Roman" w:cs="Times New Roman"/>
          <w:sz w:val="24"/>
          <w:szCs w:val="24"/>
        </w:rPr>
        <w:t>--</w:t>
      </w:r>
      <w:r w:rsidRPr="00442034">
        <w:rPr>
          <w:rFonts w:ascii="Times New Roman" w:hAnsi="Times New Roman" w:cs="Times New Roman"/>
          <w:sz w:val="24"/>
          <w:szCs w:val="24"/>
        </w:rPr>
        <w:t xml:space="preserve"> the 12-item version of the relatedness scale of the Research Assessment Package for Schools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{"citationID":"IDRUFRJw","properties":{"formattedCitation":"(Lynch and Cicchetti 1997)","plainCitation":"(Lynch and Cicchetti 1997)","noteIndex":0},"citationItems":[{"id":224,"uris":["http://zotero.org/users/7501598/items/FJVQ8C2N",["http://zotero.org/users/7501598/items/FJVQ8C2N"]],"itemData":{"id":224,"type":"article-journal","abstract":"Social and affective processes connected to children's relationships inside and outside the school setting are important factors in children's successful adaptation to school. This study examines the relationships of 1,226 low-risk elementary and middle school children across a variety of relationship partners. Descriptive data on the profile of these school-aged children's patterns of relatedness with others are presented. Developmental trends are explored as well. There is a shift in the self-reported quality of children's relationships with adults (mothers and teachers) and peers (best friends and classmates) from elementary school to middle school. In middle school, children report more positive perceptions of their relationships with peers and less positive perceptions of their relationships with adults than do elementary school children. These findings are discussed in terms of the implications that children's interpersonal relationships have for facilitating readiness to learn and active engagement in school. Limitations of the present study and methodological issues connected to the assessment of relationships are discussed as well.","container-title":"Journal of School Psychology","DOI":"10.1016/S0022-4405(96)00031-3","ISSN":"0022-4405","issue":"1","journalAbbreviation":"Journal of School Psychology","language":"en","page":"81-99","source":"ScienceDirect","title":"Children's relationships with adults and peers: An examination of elementary and junior high school students","title-short":"Children's relationships with adults and peers","volume":"35","author":[{"family":"Lynch","given":"Michael"},{"family":"Cicchetti","given":"Dante"}],"issued":{"date-parts":[["1997",3,1]]}}}],"schema":"https://github.com/citation-style-language/schema/raw/master/csl-citation.json"}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(Lynch and Cicchetti 1997)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and who had </w:t>
      </w:r>
      <w:r w:rsidR="008C44C3">
        <w:rPr>
          <w:rFonts w:ascii="Times New Roman" w:hAnsi="Times New Roman" w:cs="Times New Roman"/>
          <w:sz w:val="24"/>
          <w:szCs w:val="24"/>
        </w:rPr>
        <w:t>complete information on our behavioral outcomes--the</w:t>
      </w:r>
      <w:r w:rsidRPr="00442034">
        <w:rPr>
          <w:rFonts w:ascii="Times New Roman" w:hAnsi="Times New Roman" w:cs="Times New Roman"/>
          <w:sz w:val="24"/>
          <w:szCs w:val="24"/>
        </w:rPr>
        <w:t xml:space="preserve"> Child Behavior Checklist (CBCL 4-18)</w:t>
      </w:r>
      <w:r w:rsidR="008C44C3">
        <w:rPr>
          <w:rFonts w:ascii="Times New Roman" w:hAnsi="Times New Roman" w:cs="Times New Roman"/>
          <w:sz w:val="24"/>
          <w:szCs w:val="24"/>
        </w:rPr>
        <w:t xml:space="preserve">. This resulted in a sample of </w:t>
      </w:r>
      <w:r w:rsidRPr="00442034">
        <w:rPr>
          <w:rFonts w:ascii="Times New Roman" w:hAnsi="Times New Roman" w:cs="Times New Roman"/>
          <w:sz w:val="24"/>
          <w:szCs w:val="24"/>
        </w:rPr>
        <w:t>796</w:t>
      </w:r>
      <w:r w:rsidR="00D300AF">
        <w:rPr>
          <w:rFonts w:ascii="Times New Roman" w:hAnsi="Times New Roman" w:cs="Times New Roman"/>
          <w:sz w:val="24"/>
          <w:szCs w:val="24"/>
        </w:rPr>
        <w:t xml:space="preserve"> youth</w:t>
      </w:r>
      <w:r w:rsidRPr="00442034">
        <w:rPr>
          <w:rFonts w:ascii="Times New Roman" w:hAnsi="Times New Roman" w:cs="Times New Roman"/>
          <w:sz w:val="24"/>
          <w:szCs w:val="24"/>
        </w:rPr>
        <w:t xml:space="preserve">. These inclusion criteria are necessary based on data availability of the variables needed for this analysis. We dropped an additional 188 cases due to missing data through listwise deletion after including our </w:t>
      </w:r>
      <w:r w:rsidR="00D300AF">
        <w:rPr>
          <w:rFonts w:ascii="Times New Roman" w:hAnsi="Times New Roman" w:cs="Times New Roman"/>
          <w:sz w:val="24"/>
          <w:szCs w:val="24"/>
        </w:rPr>
        <w:t xml:space="preserve">other </w:t>
      </w:r>
      <w:r w:rsidRPr="00442034">
        <w:rPr>
          <w:rFonts w:ascii="Times New Roman" w:hAnsi="Times New Roman" w:cs="Times New Roman"/>
          <w:sz w:val="24"/>
          <w:szCs w:val="24"/>
        </w:rPr>
        <w:t>independent and control variables. Therefore, my analytical sample is 608 youth</w:t>
      </w:r>
      <w:r w:rsidR="00FE70BA">
        <w:rPr>
          <w:rFonts w:ascii="Times New Roman" w:hAnsi="Times New Roman" w:cs="Times New Roman"/>
          <w:sz w:val="24"/>
          <w:szCs w:val="24"/>
        </w:rPr>
        <w:t>.</w:t>
      </w:r>
    </w:p>
    <w:p w14:paraId="13B3FB4A" w14:textId="49D4B9F1" w:rsidR="00442034" w:rsidRPr="00442034" w:rsidRDefault="00E001EC" w:rsidP="000827F5">
      <w:pPr>
        <w:widowControl w:val="0"/>
        <w:autoSpaceDE w:val="0"/>
        <w:autoSpaceDN w:val="0"/>
        <w:adjustRightInd w:val="0"/>
        <w:spacing w:line="480" w:lineRule="auto"/>
        <w:rPr>
          <w:rFonts w:ascii="Times New Roman" w:hAnsi="Times New Roman" w:cs="Times New Roman"/>
          <w:i/>
          <w:iCs/>
          <w:sz w:val="24"/>
          <w:szCs w:val="24"/>
        </w:rPr>
      </w:pPr>
      <w:r>
        <w:rPr>
          <w:rFonts w:ascii="Times New Roman" w:hAnsi="Times New Roman" w:cs="Times New Roman"/>
          <w:i/>
          <w:iCs/>
          <w:sz w:val="24"/>
          <w:szCs w:val="24"/>
        </w:rPr>
        <w:t>M</w:t>
      </w:r>
      <w:r w:rsidR="00442034" w:rsidRPr="00442034">
        <w:rPr>
          <w:rFonts w:ascii="Times New Roman" w:hAnsi="Times New Roman" w:cs="Times New Roman"/>
          <w:i/>
          <w:iCs/>
          <w:sz w:val="24"/>
          <w:szCs w:val="24"/>
        </w:rPr>
        <w:t>easures</w:t>
      </w:r>
    </w:p>
    <w:p w14:paraId="1800F41B" w14:textId="5B3ACDBF" w:rsidR="00442034" w:rsidRPr="00442034" w:rsidRDefault="002750C8" w:rsidP="00E001EC">
      <w:pPr>
        <w:widowControl w:val="0"/>
        <w:autoSpaceDE w:val="0"/>
        <w:autoSpaceDN w:val="0"/>
        <w:adjustRightInd w:val="0"/>
        <w:spacing w:line="480" w:lineRule="auto"/>
        <w:ind w:firstLine="720"/>
        <w:contextualSpacing/>
        <w:rPr>
          <w:rFonts w:ascii="Times New Roman" w:hAnsi="Times New Roman" w:cs="Times New Roman"/>
          <w:sz w:val="24"/>
          <w:szCs w:val="24"/>
        </w:rPr>
      </w:pPr>
      <w:r>
        <w:rPr>
          <w:rFonts w:ascii="Times New Roman" w:hAnsi="Times New Roman" w:cs="Times New Roman"/>
          <w:i/>
          <w:iCs/>
          <w:sz w:val="24"/>
          <w:szCs w:val="24"/>
        </w:rPr>
        <w:t>Well-Being</w:t>
      </w:r>
      <w:r w:rsidR="00442034" w:rsidRPr="00442034">
        <w:rPr>
          <w:rFonts w:ascii="Times New Roman" w:hAnsi="Times New Roman" w:cs="Times New Roman"/>
          <w:i/>
          <w:iCs/>
          <w:sz w:val="24"/>
          <w:szCs w:val="24"/>
        </w:rPr>
        <w:t xml:space="preserve">. </w:t>
      </w:r>
      <w:r w:rsidR="00442034" w:rsidRPr="00442034">
        <w:rPr>
          <w:rFonts w:ascii="Times New Roman" w:hAnsi="Times New Roman" w:cs="Times New Roman"/>
          <w:sz w:val="24"/>
          <w:szCs w:val="24"/>
        </w:rPr>
        <w:t>To measure youth’s well-being</w:t>
      </w:r>
      <w:r>
        <w:rPr>
          <w:rFonts w:ascii="Times New Roman" w:hAnsi="Times New Roman" w:cs="Times New Roman"/>
          <w:sz w:val="24"/>
          <w:szCs w:val="24"/>
        </w:rPr>
        <w:t xml:space="preserve"> as my outcome variable</w:t>
      </w:r>
      <w:r w:rsidR="00442034" w:rsidRPr="00442034">
        <w:rPr>
          <w:rFonts w:ascii="Times New Roman" w:hAnsi="Times New Roman" w:cs="Times New Roman"/>
          <w:sz w:val="24"/>
          <w:szCs w:val="24"/>
        </w:rPr>
        <w:t xml:space="preserve">, I used the broadband Internalizing and Externalizing scales of the Child Behavior Checklist (CBCL) 4-18 at Wave 3 </w:t>
      </w:r>
      <w:r w:rsidR="00442034"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{"citationID":"0XA5V2g3","properties":{"formattedCitation":"(Achenbach 1999)","plainCitation":"(Achenbach 1999)","dontUpdate":true,"noteIndex":0},"citationItems":[{"id":201,"uris":["http://zotero.org/users/7501598/items/A5Q5JLYC",["http://zotero.org/users/7501598/items/A5Q5JLYC"]],"itemData":{"id":201,"type":"chapter","abstract":"The Child Behavior Checklist (CBCL) is one of a family of instruments designed to obtain data on behavioral/emotional problems and competencies. These instruments represent an approach called multiaxial empirically based assessment. This approach is \"multiaxial\" in the sense that it focuses on assessment data obtained from multiple sources. In the clinical assessment of most children, data from parents, teachers, standardized tests, physical examinations, and direct assessment of the child are relevant, as summarized in terms of the 5 axes (parent reports, teacher reports, cognitive assessment, physical assessment, and direct assessment of subject). This chapter focuses on standardized data obtained from parents, teachers, and direct assessment of the child, including observations, interviews, and self-reports. (PsycInfo Database Record (c) 2021 APA, all rights reserved)","container-title":"The use of psychological testing for treatment planning and outcomes assessment, 2nd ed","event-place":"Mahwah, NJ, US","ISBN":"978-0-8058-2761-3","page":"429-466","publisher":"Lawrence Erlbaum Associates Publishers","publisher-place":"Mahwah, NJ, US","source":"APA PsycNet","title":"The Child Behavior Checklist and related instruments","author":[{"family":"Achenbach","given":"Thomas M."}],"issued":{"date-parts":[["1999"]]}}}],"schema":"https://github.com/citation-style-language/schema/raw/master/csl-citation.json"} </w:instrText>
      </w:r>
      <w:r w:rsidR="00442034" w:rsidRPr="00442034">
        <w:rPr>
          <w:rFonts w:ascii="Times New Roman" w:hAnsi="Times New Roman" w:cs="Times New Roman"/>
          <w:sz w:val="24"/>
          <w:szCs w:val="24"/>
        </w:rPr>
        <w:fldChar w:fldCharType="separate"/>
      </w:r>
      <w:r w:rsidR="00442034" w:rsidRPr="00442034">
        <w:rPr>
          <w:rFonts w:ascii="Times New Roman" w:hAnsi="Times New Roman" w:cs="Times New Roman"/>
          <w:noProof/>
          <w:sz w:val="24"/>
          <w:szCs w:val="24"/>
        </w:rPr>
        <w:t>(Achenbach 1991)</w:t>
      </w:r>
      <w:r w:rsidR="00442034" w:rsidRPr="00442034">
        <w:rPr>
          <w:rFonts w:ascii="Times New Roman" w:hAnsi="Times New Roman" w:cs="Times New Roman"/>
          <w:sz w:val="24"/>
          <w:szCs w:val="24"/>
        </w:rPr>
        <w:fldChar w:fldCharType="end"/>
      </w:r>
      <w:r w:rsidR="00442034" w:rsidRPr="00442034">
        <w:rPr>
          <w:rFonts w:ascii="Times New Roman" w:hAnsi="Times New Roman" w:cs="Times New Roman"/>
          <w:sz w:val="24"/>
          <w:szCs w:val="24"/>
        </w:rPr>
        <w:t xml:space="preserve">. The CBCL is an empirically based measure identifying syndromes characteristic of emotional or behavioral problems. The Internalizing scale includes measures of Anxious/Depressed, Somatic Complaints, and Withdrawn syndromes. The Externalizing scale is comprised of Aggressive and Delinquent behavior syndromes. These measures use a checklist of 113 statements for school-aged children with responses on a 3-point Likert scale to indicate how accurately the caregivers feel the statement describes the child (0 = Not true, 1= Sometimes true, 2 = Very true or often true). Scores are then standardized, with scores of 64 or higher indicating children are at elevated risk for behavioral or emotional problems </w:t>
      </w:r>
      <w:r w:rsidR="00442034"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{"citationID":"iiHMqSJv","properties":{"formattedCitation":"(Dolan et al. 2011)","plainCitation":"(Dolan et al. 2011)","noteIndex":0},"citationItems":[{"id":205,"uris":["http://zotero.org/users/7501598/items/2NAMUBV7"],"itemData":{"id":205,"type":"article-journal","container-title":"Washington, DC: Office of Planning, Research and Evaluation, Administration for Children and Families, US Department of Health and Human Services","journalAbbreviation":"Washington, DC: Office of Planning, Research and Evaluation, Administration for Children and Families, US Department of Health and Human Services","title":"NSCAW II baseline report: Introduction to NSCAW II final report","author":[{"family":"Dolan","given":"Melissa"},{"family":"Smith","given":"Keith"},{"family":"Casanueva","given":"Cecilia"},{"family":"Ringeisen","given":"Heather"},{"family":"P2320062930YC","given":"HHS"},{"family":"Dolan","given":"M"},{"family":"Smith","given":"K"},{"family":"Casanueva","given":"C"},{"family":"Ringeisen","given":"H"}],"issued":{"date-parts":[["2011"]]}}}],"schema":"https://github.com/citation-style-language/schema/raw/master/csl-citation.json"} </w:instrText>
      </w:r>
      <w:r w:rsidR="00442034"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(Dolan et al. 2011)</w:t>
      </w:r>
      <w:r w:rsidR="00442034" w:rsidRPr="00442034">
        <w:rPr>
          <w:rFonts w:ascii="Times New Roman" w:hAnsi="Times New Roman" w:cs="Times New Roman"/>
          <w:sz w:val="24"/>
          <w:szCs w:val="24"/>
        </w:rPr>
        <w:fldChar w:fldCharType="end"/>
      </w:r>
      <w:r w:rsidR="00442034" w:rsidRPr="00442034">
        <w:rPr>
          <w:rFonts w:ascii="Times New Roman" w:hAnsi="Times New Roman" w:cs="Times New Roman"/>
          <w:sz w:val="24"/>
          <w:szCs w:val="24"/>
        </w:rPr>
        <w:t>. I used th</w:t>
      </w:r>
      <w:r w:rsidR="002E60DB">
        <w:rPr>
          <w:rFonts w:ascii="Times New Roman" w:hAnsi="Times New Roman" w:cs="Times New Roman"/>
          <w:sz w:val="24"/>
          <w:szCs w:val="24"/>
        </w:rPr>
        <w:t>is</w:t>
      </w:r>
      <w:r w:rsidR="00442034" w:rsidRPr="00442034">
        <w:rPr>
          <w:rFonts w:ascii="Times New Roman" w:hAnsi="Times New Roman" w:cs="Times New Roman"/>
          <w:sz w:val="24"/>
          <w:szCs w:val="24"/>
        </w:rPr>
        <w:t xml:space="preserve"> standard clinical cutoff score to create an indicator variable (coded 1) for the presence of clinical levels of internalizing and externalizing behaviors at Wave 3.</w:t>
      </w:r>
    </w:p>
    <w:p w14:paraId="074223FC" w14:textId="56A3B030" w:rsidR="00442034" w:rsidRPr="00442034" w:rsidRDefault="00442034" w:rsidP="00442034">
      <w:pPr>
        <w:widowControl w:val="0"/>
        <w:autoSpaceDE w:val="0"/>
        <w:autoSpaceDN w:val="0"/>
        <w:adjustRightInd w:val="0"/>
        <w:spacing w:line="480" w:lineRule="auto"/>
        <w:ind w:firstLine="720"/>
        <w:contextualSpacing/>
        <w:rPr>
          <w:rFonts w:ascii="Times New Roman" w:hAnsi="Times New Roman" w:cs="Times New Roman"/>
          <w:sz w:val="24"/>
          <w:szCs w:val="24"/>
        </w:rPr>
      </w:pPr>
      <w:r w:rsidRPr="00442034">
        <w:rPr>
          <w:rFonts w:ascii="Times New Roman" w:hAnsi="Times New Roman" w:cs="Times New Roman"/>
          <w:i/>
          <w:iCs/>
          <w:sz w:val="24"/>
          <w:szCs w:val="24"/>
        </w:rPr>
        <w:lastRenderedPageBreak/>
        <w:t xml:space="preserve">Sexual Orientation. </w:t>
      </w:r>
      <w:r w:rsidR="00FE70BA">
        <w:rPr>
          <w:rFonts w:ascii="Times New Roman" w:hAnsi="Times New Roman" w:cs="Times New Roman"/>
          <w:sz w:val="24"/>
          <w:szCs w:val="24"/>
        </w:rPr>
        <w:t>T</w:t>
      </w:r>
      <w:r w:rsidRPr="00442034">
        <w:rPr>
          <w:rFonts w:ascii="Times New Roman" w:hAnsi="Times New Roman" w:cs="Times New Roman"/>
          <w:sz w:val="24"/>
          <w:szCs w:val="24"/>
        </w:rPr>
        <w:t xml:space="preserve">he first key independent variable for </w:t>
      </w:r>
      <w:proofErr w:type="gramStart"/>
      <w:r w:rsidRPr="00442034">
        <w:rPr>
          <w:rFonts w:ascii="Times New Roman" w:hAnsi="Times New Roman" w:cs="Times New Roman"/>
          <w:sz w:val="24"/>
          <w:szCs w:val="24"/>
        </w:rPr>
        <w:t>the logistic</w:t>
      </w:r>
      <w:proofErr w:type="gramEnd"/>
      <w:r w:rsidRPr="00442034">
        <w:rPr>
          <w:rFonts w:ascii="Times New Roman" w:hAnsi="Times New Roman" w:cs="Times New Roman"/>
          <w:sz w:val="24"/>
          <w:szCs w:val="24"/>
        </w:rPr>
        <w:t xml:space="preserve"> regression is sexual orientation. Youth self-reported how they thought of themselves: totally straight, mostly straight, bisexual, mostly gay, totally gay, or not sexually attracted to either sex. I created an indicator variable with those answering as anything other than totally straight considered LGBQ (coded 1). In </w:t>
      </w:r>
      <w:r w:rsidR="00FE70BA">
        <w:rPr>
          <w:rFonts w:ascii="Times New Roman" w:hAnsi="Times New Roman" w:cs="Times New Roman"/>
          <w:sz w:val="24"/>
          <w:szCs w:val="24"/>
        </w:rPr>
        <w:t>this</w:t>
      </w:r>
      <w:r w:rsidRPr="00442034">
        <w:rPr>
          <w:rFonts w:ascii="Times New Roman" w:hAnsi="Times New Roman" w:cs="Times New Roman"/>
          <w:sz w:val="24"/>
          <w:szCs w:val="24"/>
        </w:rPr>
        <w:t xml:space="preserve"> sample, </w:t>
      </w:r>
      <w:r w:rsidR="00FE70BA">
        <w:rPr>
          <w:rFonts w:ascii="Times New Roman" w:hAnsi="Times New Roman" w:cs="Times New Roman"/>
          <w:sz w:val="24"/>
          <w:szCs w:val="24"/>
        </w:rPr>
        <w:t>22</w:t>
      </w:r>
      <w:r w:rsidRPr="00442034">
        <w:rPr>
          <w:rFonts w:ascii="Times New Roman" w:hAnsi="Times New Roman" w:cs="Times New Roman"/>
          <w:sz w:val="24"/>
          <w:szCs w:val="24"/>
        </w:rPr>
        <w:t xml:space="preserve">% of youth identified as LGBQ, compared to only 8% of America’s youth grades 9-12 who identify as LGBQ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{"citationID":"vKTLbB80","properties":{"formattedCitation":"(Dettlaff and Washburn 2018)","plainCitation":"(Dettlaff and Washburn 2018)","noteIndex":0},"citationItems":[{"id":152,"uris":["http://zotero.org/users/7501598/items/ICVZWQ4R"],"itemData":{"id":152,"type":"article-journal","container-title":"Child abuse &amp; neglect","note":"ISBN: 0145-2134\npublisher: Elsevier","page":"183-193","title":"Lesbian, gay, and bisexual (LGB) youth within in welfare: Prevalence, risk and outcomes","volume":"80","author":[{"family":"Dettlaff","given":"Alan J."},{"family":"Washburn","given":"Micki"}],"issued":{"date-parts":[["2018"]]}}}],"schema":"https://github.com/citation-style-language/schema/raw/master/csl-citation.json"}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sz w:val="24"/>
          <w:szCs w:val="24"/>
        </w:rPr>
        <w:t>(Dettlaff and Washburn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This is consistent with prior research on the disproportionality of LGBQ youth in the child welfare system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{"citationID":"goWNh3D5","properties":{"formattedCitation":"(Fish et al. 2019)","plainCitation":"(Fish et al. 2019)","noteIndex":0},"citationItems":[{"id":150,"uris":["http://zotero.org/users/7501598/items/LFVXHAYH"],"itemData":{"id":150,"type":"article-journal","abstract":"Background\nPreliminary evidence suggests that sexual minority (e.g. lesbian, gay, bisexual, and same-sex attracted) youth are overrepresented in child welfare services. Yet, no study to date has been able to test this hypothesis with national data.\nObjective\nUsing a two-study design, we test whether sexual minority youth are overrepresented in child welfare, foster care, and out-of-home placement using nationally representative data from the United States.\nParticipants and setting\nStudy 1 data are from the National Longitudinal Study of Adolescent to Adult Health (n = 14,154; Mean age = 15.4). Study 2 data are from wave three of the National Survey of Child and Adolescent Well-Being II (n = 1309; Mean age = 15.0).\nMethods\nFor Study 1, we use adjusted logistic regression models to test differences in lifetime foster care involvement between sexual minority and heterosexual youth. In Study 2, we calculate a Disproportionality Representation Index (DRI) – a ratio of sample prevalence relative to the general population – to estimate whether sexual minority youth were overrepresented in child welfare and out-of-home care.\nResults\nStudy 1 results indicate that sexual minority youth are nearly 2.5 times as likely as heterosexual youth to experience foster care placement (aOR = 2.43, 95% CI 1.40, 4.21, p = .002). Results from Study 2 show that sexual minority youth were largely overrepresented in child welfare services (DRI = 1.95–2.48) and out-of-home placement (DRI = 3.69–4.68).\nConclusions\nFindings are the first to demonstrate sexual minority youth’s overrepresentation in child welfare, foster care, and out-of-home placement using nationally representative data and emphasizes the need for focused research on sexual minority youth involved in the child welfare system.","container-title":"Child Abuse &amp; Neglect","DOI":"10.1016/j.chiabu.2019.01.005","ISSN":"0145-2134","journalAbbreviation":"Child Abuse &amp; Neglect","page":"203-211","title":"Are sexual minority youth overrepresented in foster care, child welfare, and out-of-home placement? Findings from nationally representative data","volume":"89","author":[{"family":"Fish","given":"Jessica N."},{"family":"Baams","given":"Laura"},{"family":"Wojciak","given":"Armeda Stevenson"},{"family":"Russell","given":"Stephen T."}],"issued":{"date-parts":[["2019",3,1]]}}}],"schema":"https://github.com/citation-style-language/schema/raw/master/csl-citation.json"}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(Fish et al.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0F6B3C43" w14:textId="5FE3508C" w:rsidR="00442034" w:rsidRDefault="00442034" w:rsidP="00442034">
      <w:pPr>
        <w:widowControl w:val="0"/>
        <w:autoSpaceDE w:val="0"/>
        <w:autoSpaceDN w:val="0"/>
        <w:adjustRightInd w:val="0"/>
        <w:spacing w:line="480" w:lineRule="auto"/>
        <w:ind w:firstLine="720"/>
        <w:contextualSpacing/>
        <w:rPr>
          <w:rFonts w:ascii="Times New Roman" w:hAnsi="Times New Roman" w:cs="Times New Roman"/>
          <w:sz w:val="24"/>
          <w:szCs w:val="24"/>
        </w:rPr>
      </w:pPr>
      <w:r w:rsidRPr="00442034">
        <w:rPr>
          <w:rFonts w:ascii="Times New Roman" w:hAnsi="Times New Roman" w:cs="Times New Roman"/>
          <w:i/>
          <w:iCs/>
          <w:sz w:val="24"/>
          <w:szCs w:val="24"/>
        </w:rPr>
        <w:t>Relationship with Caregiver.</w:t>
      </w:r>
      <w:r w:rsidRPr="00442034">
        <w:rPr>
          <w:rFonts w:ascii="Times New Roman" w:hAnsi="Times New Roman" w:cs="Times New Roman"/>
          <w:sz w:val="24"/>
          <w:szCs w:val="24"/>
        </w:rPr>
        <w:t xml:space="preserve"> The second key independent variable is </w:t>
      </w:r>
      <w:r w:rsidR="00FE70BA">
        <w:rPr>
          <w:rFonts w:ascii="Times New Roman" w:hAnsi="Times New Roman" w:cs="Times New Roman"/>
          <w:sz w:val="24"/>
          <w:szCs w:val="24"/>
        </w:rPr>
        <w:t xml:space="preserve">the quality of the </w:t>
      </w:r>
      <w:r w:rsidRPr="00442034">
        <w:rPr>
          <w:rFonts w:ascii="Times New Roman" w:hAnsi="Times New Roman" w:cs="Times New Roman"/>
          <w:sz w:val="24"/>
          <w:szCs w:val="24"/>
        </w:rPr>
        <w:t>relationship with the youth’s current caregiver</w:t>
      </w:r>
      <w:r w:rsidR="000B7041">
        <w:rPr>
          <w:rFonts w:ascii="Times New Roman" w:hAnsi="Times New Roman" w:cs="Times New Roman"/>
          <w:sz w:val="24"/>
          <w:szCs w:val="24"/>
        </w:rPr>
        <w:t xml:space="preserve"> at Wave Three</w:t>
      </w:r>
      <w:r w:rsidR="00DC7E8C">
        <w:rPr>
          <w:rFonts w:ascii="Times New Roman" w:hAnsi="Times New Roman" w:cs="Times New Roman"/>
          <w:sz w:val="24"/>
          <w:szCs w:val="24"/>
        </w:rPr>
        <w:t>, whether this is their foster parent or their birth</w:t>
      </w:r>
      <w:r w:rsidR="00BC0940">
        <w:rPr>
          <w:rFonts w:ascii="Times New Roman" w:hAnsi="Times New Roman" w:cs="Times New Roman"/>
          <w:sz w:val="24"/>
          <w:szCs w:val="24"/>
        </w:rPr>
        <w:t xml:space="preserve"> parent</w:t>
      </w:r>
      <w:r w:rsidRPr="00442034">
        <w:rPr>
          <w:rFonts w:ascii="Times New Roman" w:hAnsi="Times New Roman" w:cs="Times New Roman"/>
          <w:sz w:val="24"/>
          <w:szCs w:val="24"/>
        </w:rPr>
        <w:t xml:space="preserve">. To measure this, I used the shortened 12-item version of the relatedness scale of the Research Assessment Package for Schools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{"citationID":"4meU3aCm","properties":{"formattedCitation":"(Lynch and Cicchetti 1997)","plainCitation":"(Lynch and Cicchetti 1997)","noteIndex":0},"citationItems":[{"id":224,"uris":["http://zotero.org/users/7501598/items/FJVQ8C2N",["http://zotero.org/users/7501598/items/FJVQ8C2N"]],"itemData":{"id":224,"type":"article-journal","abstract":"Social and affective processes connected to children's relationships inside and outside the school setting are important factors in children's successful adaptation to school. This study examines the relationships of 1,226 low-risk elementary and middle school children across a variety of relationship partners. Descriptive data on the profile of these school-aged children's patterns of relatedness with others are presented. Developmental trends are explored as well. There is a shift in the self-reported quality of children's relationships with adults (mothers and teachers) and peers (best friends and classmates) from elementary school to middle school. In middle school, children report more positive perceptions of their relationships with peers and less positive perceptions of their relationships with adults than do elementary school children. These findings are discussed in terms of the implications that children's interpersonal relationships have for facilitating readiness to learn and active engagement in school. Limitations of the present study and methodological issues connected to the assessment of relationships are discussed as well.","container-title":"Journal of School Psychology","DOI":"10.1016/S0022-4405(96)00031-3","ISSN":"0022-4405","issue":"1","journalAbbreviation":"Journal of School Psychology","language":"en","page":"81-99","source":"ScienceDirect","title":"Children's relationships with adults and peers: An examination of elementary and junior high school students","title-short":"Children's relationships with adults and peers","volume":"35","author":[{"family":"Lynch","given":"Michael"},{"family":"Cicchetti","given":"Dante"}],"issued":{"date-parts":[["1997",3,1]]}}}],"schema":"https://github.com/citation-style-language/schema/raw/master/csl-citation.json"}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(Lynch and Cicchetti 1997)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This scale measures youth’s perceptions of their primary caregivers in areas including parental involvement, autonomy support, and emotional security and structure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{"citationID":"0aFpJQad","properties":{"formattedCitation":"(Yoon et al. 2021)","plainCitation":"(Yoon et al. 2021)","noteIndex":0},"citationItems":[{"id":171,"uris":["http://zotero.org/users/7501598/items/9TYQZCVY",["http://zotero.org/users/7501598/items/9TYQZCVY"]],"itemData":{"id":171,"type":"article-journal","abstract":"The primary aim of the study was to investigate the development of psychobehavioral symptoms (internalizing, externalizing, and posttraumatic stress [PTS]) of child welfare?involved adolescents over a 3-year period and to identify predictors of the trajectories. Using three waves of data from the National Survey of Child and Adolescent Well-Being (NSCAW-II), latent growth curve modeling was conducted on a sample of 350 adolescents who were between 11 and 13 years of age at baseline. Findings indicated that adolescents? internalizing symptoms decreased over time, whereas externalizing symptoms remained stable over time. PTS symptoms decreased over time in girls, but not boys. Physical abuse predicted higher levels of externalizing behaviors and sexual abuse predicted a slower decrease in PTS symptoms. Greater child prosocial skills and higher quality of caregiver?child relationship were associated with lower initial levels of externalizing symptoms. In addition, a higher quality caregiver?child relationship and greater satisfaction with peer relationships were associated with lower initial levels of internalizing and PTS symptoms. Findings suggest that intervention strategies should consider gender, maltreatment type, and interpersonal and social skills to effectively prevent the development of psychobehavioral symptoms among child welfare?involved youth.","container-title":"Journal of Interpersonal Violence","DOI":"10.1177/0886260518799485","ISSN":"0886-2605","issue":"9-10","journalAbbreviation":"J Interpers Violence","note":"publisher: SAGE Publications Inc","page":"NP5281-NP5303","source":"SAGE Journals","title":"Risk and Resilience Factors for Psychobehavioral Symptom Trajectories Among Child Welfare–Involved Youth","volume":"36","author":[{"family":"Yoon","given":"Susan"},{"family":"Cage","given":"Jamie"},{"family":"Pei","given":"Fei"},{"family":"Barnhart","given":"Sheila"}],"issued":{"date-parts":[["2021",5,1]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sz w:val="24"/>
          <w:szCs w:val="24"/>
        </w:rPr>
        <w:t>(Yoon et al. 2021)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Items such as “when I’m with my caregiver, I feel happy” or “my caregiver does a lot for me” were answered using a 4-point Likert scale (1= “not at all true,” 2= “not very true,” 3= “sort of true,” 4= “very true”). Negatively worded questions were </w:t>
      </w:r>
      <w:r w:rsidR="00FE70BA" w:rsidRPr="00442034">
        <w:rPr>
          <w:rFonts w:ascii="Times New Roman" w:hAnsi="Times New Roman" w:cs="Times New Roman"/>
          <w:sz w:val="24"/>
          <w:szCs w:val="24"/>
        </w:rPr>
        <w:t>reverse</w:t>
      </w:r>
      <w:r w:rsidR="00FE70BA">
        <w:rPr>
          <w:rFonts w:ascii="Times New Roman" w:hAnsi="Times New Roman" w:cs="Times New Roman"/>
          <w:sz w:val="24"/>
          <w:szCs w:val="24"/>
        </w:rPr>
        <w:t>-</w:t>
      </w:r>
      <w:r w:rsidRPr="00442034">
        <w:rPr>
          <w:rFonts w:ascii="Times New Roman" w:hAnsi="Times New Roman" w:cs="Times New Roman"/>
          <w:sz w:val="24"/>
          <w:szCs w:val="24"/>
        </w:rPr>
        <w:t xml:space="preserve">coded. I summed these responses to create a total score ranging from 17-48, with higher scores indicating better </w:t>
      </w:r>
      <w:r w:rsidR="00E557A1">
        <w:rPr>
          <w:rFonts w:ascii="Times New Roman" w:hAnsi="Times New Roman" w:cs="Times New Roman"/>
          <w:sz w:val="24"/>
          <w:szCs w:val="24"/>
        </w:rPr>
        <w:t xml:space="preserve">or higher quality </w:t>
      </w:r>
      <w:r w:rsidRPr="00442034">
        <w:rPr>
          <w:rFonts w:ascii="Times New Roman" w:hAnsi="Times New Roman" w:cs="Times New Roman"/>
          <w:sz w:val="24"/>
          <w:szCs w:val="24"/>
        </w:rPr>
        <w:t>relationships with caregivers.</w:t>
      </w:r>
    </w:p>
    <w:p w14:paraId="70815F78" w14:textId="79F4010F" w:rsidR="00E001EC" w:rsidRDefault="00E001EC" w:rsidP="00E001EC">
      <w:pPr>
        <w:widowControl w:val="0"/>
        <w:autoSpaceDE w:val="0"/>
        <w:autoSpaceDN w:val="0"/>
        <w:adjustRightInd w:val="0"/>
        <w:spacing w:line="480" w:lineRule="auto"/>
        <w:ind w:firstLine="720"/>
        <w:contextualSpacing/>
        <w:rPr>
          <w:rFonts w:ascii="Times New Roman" w:hAnsi="Times New Roman" w:cs="Times New Roman"/>
          <w:sz w:val="24"/>
          <w:szCs w:val="24"/>
        </w:rPr>
      </w:pPr>
      <w:r>
        <w:rPr>
          <w:rFonts w:ascii="Times New Roman" w:hAnsi="Times New Roman" w:cs="Times New Roman"/>
          <w:i/>
          <w:iCs/>
          <w:sz w:val="24"/>
          <w:szCs w:val="24"/>
        </w:rPr>
        <w:t>Control</w:t>
      </w:r>
      <w:r w:rsidRPr="00442034">
        <w:rPr>
          <w:rFonts w:ascii="Times New Roman" w:hAnsi="Times New Roman" w:cs="Times New Roman"/>
          <w:i/>
          <w:iCs/>
          <w:sz w:val="24"/>
          <w:szCs w:val="24"/>
        </w:rPr>
        <w:t xml:space="preserve"> Variables.</w:t>
      </w:r>
      <w:r w:rsidRPr="00442034">
        <w:rPr>
          <w:rFonts w:ascii="Times New Roman" w:hAnsi="Times New Roman" w:cs="Times New Roman"/>
          <w:sz w:val="24"/>
          <w:szCs w:val="24"/>
        </w:rPr>
        <w:t xml:space="preserve"> I </w:t>
      </w:r>
      <w:r>
        <w:rPr>
          <w:rFonts w:ascii="Times New Roman" w:hAnsi="Times New Roman" w:cs="Times New Roman"/>
          <w:sz w:val="24"/>
          <w:szCs w:val="24"/>
        </w:rPr>
        <w:t>controlled for Wave 1</w:t>
      </w:r>
      <w:r w:rsidRPr="00442034">
        <w:rPr>
          <w:rFonts w:ascii="Times New Roman" w:hAnsi="Times New Roman" w:cs="Times New Roman"/>
          <w:sz w:val="24"/>
          <w:szCs w:val="24"/>
        </w:rPr>
        <w:t>internalizing and externalizing behaviors, age, sex, race, whether the youth lived in an urban or rural sampling unit, whether the household fell below the federal poverty level, and the youth’s prior history of maltreatment. Using the clinical cutoff of the standard CBCL score (</w:t>
      </w:r>
      <w:r w:rsidRPr="00442034">
        <w:rPr>
          <w:rFonts w:ascii="Times New Roman" w:hAnsi="Times New Roman" w:cs="Times New Roman"/>
          <w:i/>
          <w:iCs/>
          <w:sz w:val="24"/>
          <w:szCs w:val="24"/>
        </w:rPr>
        <w:t>T</w:t>
      </w:r>
      <w:r w:rsidRPr="00442034">
        <w:rPr>
          <w:rFonts w:ascii="Times New Roman" w:hAnsi="Times New Roman" w:cs="Times New Roman"/>
          <w:sz w:val="24"/>
          <w:szCs w:val="24"/>
        </w:rPr>
        <w:t>&gt;64), representing respondents who scored in the 90</w:t>
      </w:r>
      <w:r w:rsidRPr="00442034">
        <w:rPr>
          <w:rFonts w:ascii="Times New Roman" w:hAnsi="Times New Roman" w:cs="Times New Roman"/>
          <w:sz w:val="24"/>
          <w:szCs w:val="24"/>
          <w:vertAlign w:val="superscript"/>
        </w:rPr>
        <w:t>th</w:t>
      </w:r>
      <w:r w:rsidRPr="00442034">
        <w:rPr>
          <w:rFonts w:ascii="Times New Roman" w:hAnsi="Times New Roman" w:cs="Times New Roman"/>
          <w:sz w:val="24"/>
          <w:szCs w:val="24"/>
        </w:rPr>
        <w:t xml:space="preserve"> percentile on these scales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{"citationID":"AmiCA2oH","properties":{"formattedCitation":"(McConaughy 1993)","plainCitation":"(McConaughy 1993)","noteIndex":0},"citationItems":[{"id":198,"uris":["http://zotero.org/users/7501598/items/7ZHZ6ZEY",["http://zotero.org/users/7501598/items/7ZHZ6ZEY"]],"itemData":{"id":198,"type":"article-journal","abstract":"A model of multiaxial empirically based assessment is described that incorporates standardized rating scales for obtaining parent, teacher, and self-reports of behavioral and emotional problems. Special emphasis is placed on the cross-informant scales of the 1991 scoring profiles for the Child Behavior Checklist (CBCL), Teacher's Report Form (TRF), and Youth Self-Report (YSR). Their application to the federal special education definition of Serious Emotional Disturbance (SED) is illustrated in a case example. Data from multiple sources are applied to criteria for SED to determine eligibility for special education services.","container-title":"Journal of Emotional and Behavioral Disorders","DOI":"10.1177/106342669300100107","ISSN":"1063-4266","issue":"1","journalAbbreviation":"Journal of Emotional and Behavioral Disorders","note":"publisher: SAGE Publications Inc","page":"40-52","source":"SAGE Journals","title":"Evaluating Behavioral and Emotional Disorders with the CBCL, TRF, and YSR Cross-Informant Scales","volume":"1","author":[{"family":"McConaughy","given":"Stephanie H."}],"issued":{"date-parts":[["1993",1,1]]}}}],"schema":"https://github.com/citation-style-language/schema/raw/master/csl-citation.json"} </w:instrText>
      </w:r>
      <w:r w:rsidRPr="00442034">
        <w:rPr>
          <w:rFonts w:ascii="Times New Roman" w:hAnsi="Times New Roman" w:cs="Times New Roman"/>
          <w:sz w:val="24"/>
          <w:szCs w:val="24"/>
        </w:rPr>
        <w:fldChar w:fldCharType="separate"/>
      </w:r>
      <w:r>
        <w:rPr>
          <w:rFonts w:ascii="Times New Roman" w:hAnsi="Times New Roman" w:cs="Times New Roman"/>
          <w:noProof/>
          <w:sz w:val="24"/>
          <w:szCs w:val="24"/>
        </w:rPr>
        <w:t>(McConaughy 1993)</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I created indicator variables to detect the </w:t>
      </w:r>
      <w:r w:rsidRPr="00442034">
        <w:rPr>
          <w:rFonts w:ascii="Times New Roman" w:hAnsi="Times New Roman" w:cs="Times New Roman"/>
          <w:sz w:val="24"/>
          <w:szCs w:val="24"/>
        </w:rPr>
        <w:lastRenderedPageBreak/>
        <w:t xml:space="preserve">presence of clinical internalizing and externalizing behavior problems at Wave 1 (coded 1). Age is a continuous variable ranging from 11-17. Sex is a dichotomous variable with females coded 1. Race is a categorical variable coded as White </w:t>
      </w:r>
      <w:r w:rsidR="003F7593">
        <w:rPr>
          <w:rFonts w:ascii="Times New Roman" w:hAnsi="Times New Roman" w:cs="Times New Roman"/>
          <w:sz w:val="24"/>
          <w:szCs w:val="24"/>
        </w:rPr>
        <w:t>n</w:t>
      </w:r>
      <w:r w:rsidRPr="00442034">
        <w:rPr>
          <w:rFonts w:ascii="Times New Roman" w:hAnsi="Times New Roman" w:cs="Times New Roman"/>
          <w:sz w:val="24"/>
          <w:szCs w:val="24"/>
        </w:rPr>
        <w:t xml:space="preserve">on-Hispanic, Black </w:t>
      </w:r>
      <w:r w:rsidR="003F7593">
        <w:rPr>
          <w:rFonts w:ascii="Times New Roman" w:hAnsi="Times New Roman" w:cs="Times New Roman"/>
          <w:sz w:val="24"/>
          <w:szCs w:val="24"/>
        </w:rPr>
        <w:t>n</w:t>
      </w:r>
      <w:r w:rsidRPr="00442034">
        <w:rPr>
          <w:rFonts w:ascii="Times New Roman" w:hAnsi="Times New Roman" w:cs="Times New Roman"/>
          <w:sz w:val="24"/>
          <w:szCs w:val="24"/>
        </w:rPr>
        <w:t>on-Hispanic, Hispanic, and Other Race as reported in NSCAW-II. For youth in urban sampling units, I used a dichotomous variable representing the percentage of youth living in an urban area. I created dichotomous measures of whether the household fell below the federal poverty level, and whether youth had prior reports of child maltreatment.</w:t>
      </w:r>
    </w:p>
    <w:p w14:paraId="452B4B05" w14:textId="77777777" w:rsidR="001600E4" w:rsidRPr="00FF4ECE" w:rsidRDefault="001600E4" w:rsidP="001600E4">
      <w:pPr>
        <w:widowControl w:val="0"/>
        <w:autoSpaceDE w:val="0"/>
        <w:autoSpaceDN w:val="0"/>
        <w:adjustRightInd w:val="0"/>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t>Analytical Strategies</w:t>
      </w:r>
    </w:p>
    <w:p w14:paraId="0F3D7E84" w14:textId="7136D43D" w:rsidR="001600E4" w:rsidRPr="00442034" w:rsidRDefault="001600E4" w:rsidP="001600E4">
      <w:pPr>
        <w:widowControl w:val="0"/>
        <w:autoSpaceDE w:val="0"/>
        <w:autoSpaceDN w:val="0"/>
        <w:adjustRightInd w:val="0"/>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To analyze internalizing and externalizing behavior problems at Wave 3, I ran </w:t>
      </w:r>
      <w:r>
        <w:rPr>
          <w:rFonts w:ascii="Times New Roman" w:hAnsi="Times New Roman" w:cs="Times New Roman"/>
          <w:sz w:val="24"/>
          <w:szCs w:val="24"/>
        </w:rPr>
        <w:t xml:space="preserve">four </w:t>
      </w:r>
      <w:r w:rsidRPr="00442034">
        <w:rPr>
          <w:rFonts w:ascii="Times New Roman" w:hAnsi="Times New Roman" w:cs="Times New Roman"/>
          <w:sz w:val="24"/>
          <w:szCs w:val="24"/>
        </w:rPr>
        <w:t>logistic regression models</w:t>
      </w:r>
      <w:r>
        <w:rPr>
          <w:rFonts w:ascii="Times New Roman" w:hAnsi="Times New Roman" w:cs="Times New Roman"/>
          <w:sz w:val="24"/>
          <w:szCs w:val="24"/>
        </w:rPr>
        <w:t>,</w:t>
      </w:r>
      <w:r w:rsidRPr="00442034">
        <w:rPr>
          <w:rFonts w:ascii="Times New Roman" w:hAnsi="Times New Roman" w:cs="Times New Roman"/>
          <w:sz w:val="24"/>
          <w:szCs w:val="24"/>
        </w:rPr>
        <w:t xml:space="preserve"> examining internalizing behavior problems and externalizing behavior problems separately. Model 1 is a logistic regression of clinical internalizing behaviors on sexual orientation</w:t>
      </w:r>
      <w:r>
        <w:rPr>
          <w:rFonts w:ascii="Times New Roman" w:hAnsi="Times New Roman" w:cs="Times New Roman"/>
          <w:sz w:val="24"/>
          <w:szCs w:val="24"/>
        </w:rPr>
        <w:t xml:space="preserve"> and the quality of the youth’s relationship with their caregiver, controlling for other factors</w:t>
      </w:r>
      <w:r w:rsidRPr="00442034">
        <w:rPr>
          <w:rFonts w:ascii="Times New Roman" w:hAnsi="Times New Roman" w:cs="Times New Roman"/>
          <w:sz w:val="24"/>
          <w:szCs w:val="24"/>
        </w:rPr>
        <w:t xml:space="preserve">. Model 2 includes an interaction term for sexual orientation and the </w:t>
      </w:r>
      <w:r>
        <w:rPr>
          <w:rFonts w:ascii="Times New Roman" w:hAnsi="Times New Roman" w:cs="Times New Roman"/>
          <w:sz w:val="24"/>
          <w:szCs w:val="24"/>
        </w:rPr>
        <w:t xml:space="preserve">quality of the caregiver </w:t>
      </w:r>
      <w:r w:rsidRPr="00442034">
        <w:rPr>
          <w:rFonts w:ascii="Times New Roman" w:hAnsi="Times New Roman" w:cs="Times New Roman"/>
          <w:sz w:val="24"/>
          <w:szCs w:val="24"/>
        </w:rPr>
        <w:t>relationship on internalizing behavior problems. Models 3 and 4 reiterate this process for externalizing behavior problems.</w:t>
      </w:r>
    </w:p>
    <w:p w14:paraId="1FF39548" w14:textId="77777777" w:rsidR="00442034" w:rsidRPr="00442034" w:rsidRDefault="00442034" w:rsidP="00442034">
      <w:pPr>
        <w:spacing w:line="480" w:lineRule="auto"/>
        <w:contextualSpacing/>
        <w:jc w:val="center"/>
        <w:rPr>
          <w:rFonts w:ascii="Times New Roman" w:hAnsi="Times New Roman" w:cs="Times New Roman"/>
          <w:b/>
          <w:bCs/>
          <w:sz w:val="24"/>
          <w:szCs w:val="24"/>
        </w:rPr>
      </w:pPr>
      <w:r w:rsidRPr="00442034">
        <w:rPr>
          <w:rFonts w:ascii="Times New Roman" w:hAnsi="Times New Roman" w:cs="Times New Roman"/>
          <w:b/>
          <w:bCs/>
          <w:sz w:val="24"/>
          <w:szCs w:val="24"/>
        </w:rPr>
        <w:t>Results</w:t>
      </w:r>
    </w:p>
    <w:p w14:paraId="5EB2B4CF" w14:textId="77777777" w:rsidR="00442034" w:rsidRPr="00442034" w:rsidRDefault="00442034" w:rsidP="00442034">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t>[TABLE 1 HERE]</w:t>
      </w:r>
    </w:p>
    <w:p w14:paraId="08CF583F" w14:textId="77777777" w:rsidR="00442034" w:rsidRPr="00442034" w:rsidRDefault="00442034" w:rsidP="00442034">
      <w:pPr>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t>Bivariate Comparisons</w:t>
      </w:r>
    </w:p>
    <w:p w14:paraId="157923B5" w14:textId="29D03126" w:rsidR="00442034" w:rsidRPr="00442034" w:rsidRDefault="00442034" w:rsidP="00442034">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Table 1 shows the descriptive statistics of my analytical sample. The prevalence of internalizing and externalizing behavior problems at Wave 1 is higher for </w:t>
      </w:r>
      <w:r w:rsidR="00FE70BA">
        <w:rPr>
          <w:rFonts w:ascii="Times New Roman" w:hAnsi="Times New Roman" w:cs="Times New Roman"/>
          <w:sz w:val="24"/>
          <w:szCs w:val="24"/>
        </w:rPr>
        <w:t xml:space="preserve">LGBQ </w:t>
      </w:r>
      <w:r w:rsidRPr="00442034">
        <w:rPr>
          <w:rFonts w:ascii="Times New Roman" w:hAnsi="Times New Roman" w:cs="Times New Roman"/>
          <w:sz w:val="24"/>
          <w:szCs w:val="24"/>
        </w:rPr>
        <w:t>youth (</w:t>
      </w:r>
      <w:r w:rsidR="001600E4">
        <w:rPr>
          <w:rFonts w:ascii="Times New Roman" w:hAnsi="Times New Roman" w:cs="Times New Roman"/>
          <w:sz w:val="24"/>
          <w:szCs w:val="24"/>
        </w:rPr>
        <w:t>I</w:t>
      </w:r>
      <w:r w:rsidRPr="00442034">
        <w:rPr>
          <w:rFonts w:ascii="Times New Roman" w:hAnsi="Times New Roman" w:cs="Times New Roman"/>
          <w:sz w:val="24"/>
          <w:szCs w:val="24"/>
        </w:rPr>
        <w:t xml:space="preserve">nternalizing = </w:t>
      </w:r>
      <w:r w:rsidR="004264EA">
        <w:rPr>
          <w:rFonts w:ascii="Times New Roman" w:hAnsi="Times New Roman" w:cs="Times New Roman"/>
          <w:sz w:val="24"/>
          <w:szCs w:val="24"/>
        </w:rPr>
        <w:t>21.83</w:t>
      </w:r>
      <w:r w:rsidRPr="00442034">
        <w:rPr>
          <w:rFonts w:ascii="Times New Roman" w:hAnsi="Times New Roman" w:cs="Times New Roman"/>
          <w:sz w:val="24"/>
          <w:szCs w:val="24"/>
        </w:rPr>
        <w:t xml:space="preserve">%, </w:t>
      </w:r>
      <w:r w:rsidR="001600E4">
        <w:rPr>
          <w:rFonts w:ascii="Times New Roman" w:hAnsi="Times New Roman" w:cs="Times New Roman"/>
          <w:sz w:val="24"/>
          <w:szCs w:val="24"/>
        </w:rPr>
        <w:t>E</w:t>
      </w:r>
      <w:r w:rsidRPr="00442034">
        <w:rPr>
          <w:rFonts w:ascii="Times New Roman" w:hAnsi="Times New Roman" w:cs="Times New Roman"/>
          <w:sz w:val="24"/>
          <w:szCs w:val="24"/>
        </w:rPr>
        <w:t xml:space="preserve">xternalizing = </w:t>
      </w:r>
      <w:r w:rsidR="00595B8C">
        <w:rPr>
          <w:rFonts w:ascii="Times New Roman" w:hAnsi="Times New Roman" w:cs="Times New Roman"/>
          <w:sz w:val="24"/>
          <w:szCs w:val="24"/>
        </w:rPr>
        <w:t>28.85</w:t>
      </w:r>
      <w:r w:rsidRPr="00442034">
        <w:rPr>
          <w:rFonts w:ascii="Times New Roman" w:hAnsi="Times New Roman" w:cs="Times New Roman"/>
          <w:sz w:val="24"/>
          <w:szCs w:val="24"/>
        </w:rPr>
        <w:t xml:space="preserve">%) than for </w:t>
      </w:r>
      <w:r w:rsidR="00FE70BA">
        <w:rPr>
          <w:rFonts w:ascii="Times New Roman" w:hAnsi="Times New Roman" w:cs="Times New Roman"/>
          <w:sz w:val="24"/>
          <w:szCs w:val="24"/>
        </w:rPr>
        <w:t>heterosexual youth</w:t>
      </w:r>
      <w:r w:rsidRPr="00442034">
        <w:rPr>
          <w:rFonts w:ascii="Times New Roman" w:hAnsi="Times New Roman" w:cs="Times New Roman"/>
          <w:sz w:val="24"/>
          <w:szCs w:val="24"/>
        </w:rPr>
        <w:t xml:space="preserve"> (</w:t>
      </w:r>
      <w:r w:rsidR="001600E4">
        <w:rPr>
          <w:rFonts w:ascii="Times New Roman" w:hAnsi="Times New Roman" w:cs="Times New Roman"/>
          <w:sz w:val="24"/>
          <w:szCs w:val="24"/>
        </w:rPr>
        <w:t>I</w:t>
      </w:r>
      <w:r w:rsidRPr="00442034">
        <w:rPr>
          <w:rFonts w:ascii="Times New Roman" w:hAnsi="Times New Roman" w:cs="Times New Roman"/>
          <w:sz w:val="24"/>
          <w:szCs w:val="24"/>
        </w:rPr>
        <w:t xml:space="preserve">nternalizing = </w:t>
      </w:r>
      <w:r w:rsidR="00595B8C">
        <w:rPr>
          <w:rFonts w:ascii="Times New Roman" w:hAnsi="Times New Roman" w:cs="Times New Roman"/>
          <w:sz w:val="24"/>
          <w:szCs w:val="24"/>
        </w:rPr>
        <w:t>20.73</w:t>
      </w:r>
      <w:r w:rsidRPr="00442034">
        <w:rPr>
          <w:rFonts w:ascii="Times New Roman" w:hAnsi="Times New Roman" w:cs="Times New Roman"/>
          <w:sz w:val="24"/>
          <w:szCs w:val="24"/>
        </w:rPr>
        <w:t xml:space="preserve">%, </w:t>
      </w:r>
      <w:r w:rsidR="001600E4">
        <w:rPr>
          <w:rFonts w:ascii="Times New Roman" w:hAnsi="Times New Roman" w:cs="Times New Roman"/>
          <w:sz w:val="24"/>
          <w:szCs w:val="24"/>
        </w:rPr>
        <w:t>E</w:t>
      </w:r>
      <w:r w:rsidRPr="00442034">
        <w:rPr>
          <w:rFonts w:ascii="Times New Roman" w:hAnsi="Times New Roman" w:cs="Times New Roman"/>
          <w:sz w:val="24"/>
          <w:szCs w:val="24"/>
        </w:rPr>
        <w:t xml:space="preserve">xternalizing = </w:t>
      </w:r>
      <w:r w:rsidR="00595B8C">
        <w:rPr>
          <w:rFonts w:ascii="Times New Roman" w:hAnsi="Times New Roman" w:cs="Times New Roman"/>
          <w:sz w:val="24"/>
          <w:szCs w:val="24"/>
        </w:rPr>
        <w:t>23.05</w:t>
      </w:r>
      <w:r w:rsidRPr="00442034">
        <w:rPr>
          <w:rFonts w:ascii="Times New Roman" w:hAnsi="Times New Roman" w:cs="Times New Roman"/>
          <w:sz w:val="24"/>
          <w:szCs w:val="24"/>
        </w:rPr>
        <w:t xml:space="preserve">%), though </w:t>
      </w:r>
      <w:r w:rsidRPr="00442034">
        <w:rPr>
          <w:rFonts w:ascii="Times New Roman" w:hAnsi="Times New Roman" w:cs="Times New Roman"/>
          <w:i/>
          <w:iCs/>
          <w:sz w:val="24"/>
          <w:szCs w:val="24"/>
        </w:rPr>
        <w:t>t</w:t>
      </w:r>
      <w:r w:rsidRPr="00442034">
        <w:rPr>
          <w:rFonts w:ascii="Times New Roman" w:hAnsi="Times New Roman" w:cs="Times New Roman"/>
          <w:sz w:val="24"/>
          <w:szCs w:val="24"/>
        </w:rPr>
        <w:t xml:space="preserve">-test comparisons show no significant difference. This pattern remains for Wave 3 internalizing behavior problems, again with </w:t>
      </w:r>
      <w:r w:rsidR="00FE70BA">
        <w:rPr>
          <w:rFonts w:ascii="Times New Roman" w:hAnsi="Times New Roman" w:cs="Times New Roman"/>
          <w:sz w:val="24"/>
          <w:szCs w:val="24"/>
        </w:rPr>
        <w:t>LGBQ youth</w:t>
      </w:r>
      <w:r w:rsidRPr="00442034">
        <w:rPr>
          <w:rFonts w:ascii="Times New Roman" w:hAnsi="Times New Roman" w:cs="Times New Roman"/>
          <w:sz w:val="24"/>
          <w:szCs w:val="24"/>
        </w:rPr>
        <w:t xml:space="preserve"> having </w:t>
      </w:r>
      <w:r w:rsidRPr="00442034">
        <w:rPr>
          <w:rFonts w:ascii="Times New Roman" w:hAnsi="Times New Roman" w:cs="Times New Roman"/>
          <w:sz w:val="24"/>
          <w:szCs w:val="24"/>
        </w:rPr>
        <w:lastRenderedPageBreak/>
        <w:t xml:space="preserve">higher reported behavior problems (Wave 3 </w:t>
      </w:r>
      <w:r w:rsidR="0014014A">
        <w:rPr>
          <w:rFonts w:ascii="Times New Roman" w:hAnsi="Times New Roman" w:cs="Times New Roman"/>
          <w:sz w:val="24"/>
          <w:szCs w:val="24"/>
        </w:rPr>
        <w:t>I</w:t>
      </w:r>
      <w:r w:rsidRPr="00442034">
        <w:rPr>
          <w:rFonts w:ascii="Times New Roman" w:hAnsi="Times New Roman" w:cs="Times New Roman"/>
          <w:sz w:val="24"/>
          <w:szCs w:val="24"/>
        </w:rPr>
        <w:t xml:space="preserve">nternalizing = </w:t>
      </w:r>
      <w:r w:rsidR="00595B8C">
        <w:rPr>
          <w:rFonts w:ascii="Times New Roman" w:hAnsi="Times New Roman" w:cs="Times New Roman"/>
          <w:sz w:val="24"/>
          <w:szCs w:val="24"/>
        </w:rPr>
        <w:t>24.26</w:t>
      </w:r>
      <w:r w:rsidRPr="00442034">
        <w:rPr>
          <w:rFonts w:ascii="Times New Roman" w:hAnsi="Times New Roman" w:cs="Times New Roman"/>
          <w:sz w:val="24"/>
          <w:szCs w:val="24"/>
        </w:rPr>
        <w:t>%</w:t>
      </w:r>
      <w:r w:rsidR="00FE70BA">
        <w:rPr>
          <w:rFonts w:ascii="Times New Roman" w:hAnsi="Times New Roman" w:cs="Times New Roman"/>
          <w:sz w:val="24"/>
          <w:szCs w:val="24"/>
        </w:rPr>
        <w:t xml:space="preserve">), </w:t>
      </w:r>
      <w:r w:rsidRPr="00442034">
        <w:rPr>
          <w:rFonts w:ascii="Times New Roman" w:hAnsi="Times New Roman" w:cs="Times New Roman"/>
          <w:sz w:val="24"/>
          <w:szCs w:val="24"/>
        </w:rPr>
        <w:t xml:space="preserve">compared to </w:t>
      </w:r>
      <w:r w:rsidR="00FE70BA">
        <w:rPr>
          <w:rFonts w:ascii="Times New Roman" w:hAnsi="Times New Roman" w:cs="Times New Roman"/>
          <w:sz w:val="24"/>
          <w:szCs w:val="24"/>
        </w:rPr>
        <w:t>heterosexual youth</w:t>
      </w:r>
      <w:r w:rsidRPr="00442034">
        <w:rPr>
          <w:rFonts w:ascii="Times New Roman" w:hAnsi="Times New Roman" w:cs="Times New Roman"/>
          <w:sz w:val="24"/>
          <w:szCs w:val="24"/>
        </w:rPr>
        <w:t xml:space="preserve"> (Wave 3 </w:t>
      </w:r>
      <w:r w:rsidR="0014014A">
        <w:rPr>
          <w:rFonts w:ascii="Times New Roman" w:hAnsi="Times New Roman" w:cs="Times New Roman"/>
          <w:sz w:val="24"/>
          <w:szCs w:val="24"/>
        </w:rPr>
        <w:t>I</w:t>
      </w:r>
      <w:r w:rsidRPr="00442034">
        <w:rPr>
          <w:rFonts w:ascii="Times New Roman" w:hAnsi="Times New Roman" w:cs="Times New Roman"/>
          <w:sz w:val="24"/>
          <w:szCs w:val="24"/>
        </w:rPr>
        <w:t xml:space="preserve">nternalizing = </w:t>
      </w:r>
      <w:r w:rsidR="00595B8C">
        <w:rPr>
          <w:rFonts w:ascii="Times New Roman" w:hAnsi="Times New Roman" w:cs="Times New Roman"/>
          <w:sz w:val="24"/>
          <w:szCs w:val="24"/>
        </w:rPr>
        <w:t>15.65</w:t>
      </w:r>
      <w:r w:rsidRPr="00442034">
        <w:rPr>
          <w:rFonts w:ascii="Times New Roman" w:hAnsi="Times New Roman" w:cs="Times New Roman"/>
          <w:sz w:val="24"/>
          <w:szCs w:val="24"/>
        </w:rPr>
        <w:t>%</w:t>
      </w:r>
      <w:r w:rsidR="00595B8C">
        <w:rPr>
          <w:rFonts w:ascii="Times New Roman" w:hAnsi="Times New Roman" w:cs="Times New Roman"/>
          <w:sz w:val="24"/>
          <w:szCs w:val="24"/>
        </w:rPr>
        <w:t xml:space="preserve">), </w:t>
      </w:r>
      <w:r w:rsidRPr="00442034">
        <w:rPr>
          <w:rFonts w:ascii="Times New Roman" w:hAnsi="Times New Roman" w:cs="Times New Roman"/>
          <w:sz w:val="24"/>
          <w:szCs w:val="24"/>
        </w:rPr>
        <w:t xml:space="preserve">though again not significant. </w:t>
      </w:r>
      <w:r w:rsidR="00664EC7">
        <w:rPr>
          <w:rFonts w:ascii="Times New Roman" w:hAnsi="Times New Roman" w:cs="Times New Roman"/>
          <w:sz w:val="24"/>
          <w:szCs w:val="24"/>
        </w:rPr>
        <w:t>The opposite pattern emerges for Wave 3 externalizing behaviors, as heterosexual youth have higher Wave 3 externalizing behaviors (</w:t>
      </w:r>
      <w:r w:rsidR="001C610B">
        <w:rPr>
          <w:rFonts w:ascii="Times New Roman" w:hAnsi="Times New Roman" w:cs="Times New Roman"/>
          <w:sz w:val="24"/>
          <w:szCs w:val="24"/>
        </w:rPr>
        <w:t xml:space="preserve">Wave 3 </w:t>
      </w:r>
      <w:r w:rsidR="0014014A">
        <w:rPr>
          <w:rFonts w:ascii="Times New Roman" w:hAnsi="Times New Roman" w:cs="Times New Roman"/>
          <w:sz w:val="24"/>
          <w:szCs w:val="24"/>
        </w:rPr>
        <w:t>E</w:t>
      </w:r>
      <w:r w:rsidR="001C610B">
        <w:rPr>
          <w:rFonts w:ascii="Times New Roman" w:hAnsi="Times New Roman" w:cs="Times New Roman"/>
          <w:sz w:val="24"/>
          <w:szCs w:val="24"/>
        </w:rPr>
        <w:t xml:space="preserve">xternalizing = 19.13%) compared to LGBQ youth (Wave 3 </w:t>
      </w:r>
      <w:r w:rsidR="0014014A">
        <w:rPr>
          <w:rFonts w:ascii="Times New Roman" w:hAnsi="Times New Roman" w:cs="Times New Roman"/>
          <w:sz w:val="24"/>
          <w:szCs w:val="24"/>
        </w:rPr>
        <w:t>E</w:t>
      </w:r>
      <w:r w:rsidR="001C610B">
        <w:rPr>
          <w:rFonts w:ascii="Times New Roman" w:hAnsi="Times New Roman" w:cs="Times New Roman"/>
          <w:sz w:val="24"/>
          <w:szCs w:val="24"/>
        </w:rPr>
        <w:t xml:space="preserve">xternalizing = 18.95%), though not significant. </w:t>
      </w:r>
      <w:r w:rsidR="00FE70BA">
        <w:rPr>
          <w:rFonts w:ascii="Times New Roman" w:hAnsi="Times New Roman" w:cs="Times New Roman"/>
          <w:sz w:val="24"/>
          <w:szCs w:val="24"/>
        </w:rPr>
        <w:t xml:space="preserve">There is a significant difference </w:t>
      </w:r>
      <w:r w:rsidR="002F5600">
        <w:rPr>
          <w:rFonts w:ascii="Times New Roman" w:hAnsi="Times New Roman" w:cs="Times New Roman"/>
          <w:sz w:val="24"/>
          <w:szCs w:val="24"/>
        </w:rPr>
        <w:t xml:space="preserve">in the perceived relationship quality with their </w:t>
      </w:r>
      <w:proofErr w:type="gramStart"/>
      <w:r w:rsidR="002F5600">
        <w:rPr>
          <w:rFonts w:ascii="Times New Roman" w:hAnsi="Times New Roman" w:cs="Times New Roman"/>
          <w:sz w:val="24"/>
          <w:szCs w:val="24"/>
        </w:rPr>
        <w:t>caregiver</w:t>
      </w:r>
      <w:proofErr w:type="gramEnd"/>
      <w:r w:rsidR="002F5600">
        <w:rPr>
          <w:rFonts w:ascii="Times New Roman" w:hAnsi="Times New Roman" w:cs="Times New Roman"/>
          <w:sz w:val="24"/>
          <w:szCs w:val="24"/>
        </w:rPr>
        <w:t xml:space="preserve"> </w:t>
      </w:r>
      <w:r w:rsidR="00FE70BA">
        <w:rPr>
          <w:rFonts w:ascii="Times New Roman" w:hAnsi="Times New Roman" w:cs="Times New Roman"/>
          <w:sz w:val="24"/>
          <w:szCs w:val="24"/>
        </w:rPr>
        <w:t>between LGBQ youth</w:t>
      </w:r>
      <w:r w:rsidR="002F5600">
        <w:rPr>
          <w:rFonts w:ascii="Times New Roman" w:hAnsi="Times New Roman" w:cs="Times New Roman"/>
          <w:sz w:val="24"/>
          <w:szCs w:val="24"/>
        </w:rPr>
        <w:t xml:space="preserve"> (</w:t>
      </w:r>
      <w:r w:rsidR="002F5600">
        <w:rPr>
          <w:rFonts w:ascii="Times New Roman" w:hAnsi="Times New Roman" w:cs="Times New Roman"/>
          <w:i/>
          <w:iCs/>
          <w:sz w:val="24"/>
          <w:szCs w:val="24"/>
        </w:rPr>
        <w:t>M</w:t>
      </w:r>
      <w:r w:rsidR="001C610B">
        <w:rPr>
          <w:rFonts w:ascii="Times New Roman" w:hAnsi="Times New Roman" w:cs="Times New Roman"/>
          <w:i/>
          <w:iCs/>
          <w:sz w:val="24"/>
          <w:szCs w:val="24"/>
        </w:rPr>
        <w:t xml:space="preserve"> </w:t>
      </w:r>
      <w:r w:rsidR="002F5600">
        <w:rPr>
          <w:rFonts w:ascii="Times New Roman" w:hAnsi="Times New Roman" w:cs="Times New Roman"/>
          <w:sz w:val="24"/>
          <w:szCs w:val="24"/>
        </w:rPr>
        <w:t>=</w:t>
      </w:r>
      <w:r w:rsidR="001C610B">
        <w:rPr>
          <w:rFonts w:ascii="Times New Roman" w:hAnsi="Times New Roman" w:cs="Times New Roman"/>
          <w:sz w:val="24"/>
          <w:szCs w:val="24"/>
        </w:rPr>
        <w:t xml:space="preserve"> </w:t>
      </w:r>
      <w:r w:rsidR="002F5600">
        <w:rPr>
          <w:rFonts w:ascii="Times New Roman" w:hAnsi="Times New Roman" w:cs="Times New Roman"/>
          <w:sz w:val="24"/>
          <w:szCs w:val="24"/>
        </w:rPr>
        <w:t>38.67)</w:t>
      </w:r>
      <w:r w:rsidR="00FE70BA">
        <w:rPr>
          <w:rFonts w:ascii="Times New Roman" w:hAnsi="Times New Roman" w:cs="Times New Roman"/>
          <w:sz w:val="24"/>
          <w:szCs w:val="24"/>
        </w:rPr>
        <w:t xml:space="preserve"> and heterosexual youth</w:t>
      </w:r>
      <w:r w:rsidR="002F5600">
        <w:rPr>
          <w:rFonts w:ascii="Times New Roman" w:hAnsi="Times New Roman" w:cs="Times New Roman"/>
          <w:sz w:val="24"/>
          <w:szCs w:val="24"/>
        </w:rPr>
        <w:t xml:space="preserve"> (</w:t>
      </w:r>
      <w:r w:rsidR="001C610B">
        <w:rPr>
          <w:rFonts w:ascii="Times New Roman" w:hAnsi="Times New Roman" w:cs="Times New Roman"/>
          <w:i/>
          <w:iCs/>
          <w:sz w:val="24"/>
          <w:szCs w:val="24"/>
        </w:rPr>
        <w:t xml:space="preserve">M </w:t>
      </w:r>
      <w:r w:rsidR="001C610B">
        <w:rPr>
          <w:rFonts w:ascii="Times New Roman" w:hAnsi="Times New Roman" w:cs="Times New Roman"/>
          <w:sz w:val="24"/>
          <w:szCs w:val="24"/>
        </w:rPr>
        <w:t xml:space="preserve">= </w:t>
      </w:r>
      <w:r w:rsidR="002F5600" w:rsidRPr="001C610B">
        <w:rPr>
          <w:rFonts w:ascii="Times New Roman" w:hAnsi="Times New Roman" w:cs="Times New Roman"/>
          <w:sz w:val="24"/>
          <w:szCs w:val="24"/>
        </w:rPr>
        <w:t>42</w:t>
      </w:r>
      <w:r w:rsidR="002F5600">
        <w:rPr>
          <w:rFonts w:ascii="Times New Roman" w:hAnsi="Times New Roman" w:cs="Times New Roman"/>
          <w:sz w:val="24"/>
          <w:szCs w:val="24"/>
        </w:rPr>
        <w:t xml:space="preserve">.59). Youth who identified as LGBQ were significantly more likely to be female (76.45%) compared to heterosexual youth (52.00%). </w:t>
      </w:r>
    </w:p>
    <w:p w14:paraId="12090B1A" w14:textId="77EBC52D" w:rsidR="00442034" w:rsidRPr="00442034" w:rsidRDefault="00442034" w:rsidP="00442034">
      <w:pPr>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t>Multivariate Analyses</w:t>
      </w:r>
    </w:p>
    <w:p w14:paraId="7FFBACAC" w14:textId="0F78CF5B" w:rsidR="00442034" w:rsidRPr="00442034" w:rsidRDefault="00442034" w:rsidP="00442034">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Table </w:t>
      </w:r>
      <w:r w:rsidR="00D15D0A">
        <w:rPr>
          <w:rFonts w:ascii="Times New Roman" w:hAnsi="Times New Roman" w:cs="Times New Roman"/>
          <w:sz w:val="24"/>
          <w:szCs w:val="24"/>
        </w:rPr>
        <w:t>2</w:t>
      </w:r>
      <w:r w:rsidRPr="00442034">
        <w:rPr>
          <w:rFonts w:ascii="Times New Roman" w:hAnsi="Times New Roman" w:cs="Times New Roman"/>
          <w:sz w:val="24"/>
          <w:szCs w:val="24"/>
        </w:rPr>
        <w:t xml:space="preserve"> shows the results of my logistic regression models. Model 1 shows the logistic regression of internalizing behavior problems on sexual orientation</w:t>
      </w:r>
      <w:r w:rsidR="008F63FB">
        <w:rPr>
          <w:rFonts w:ascii="Times New Roman" w:hAnsi="Times New Roman" w:cs="Times New Roman"/>
          <w:sz w:val="24"/>
          <w:szCs w:val="24"/>
        </w:rPr>
        <w:t xml:space="preserve"> and the youth’s quality of the relationship with their caregiver, controlling for other factors</w:t>
      </w:r>
      <w:r w:rsidRPr="00442034">
        <w:rPr>
          <w:rFonts w:ascii="Times New Roman" w:hAnsi="Times New Roman" w:cs="Times New Roman"/>
          <w:sz w:val="24"/>
          <w:szCs w:val="24"/>
        </w:rPr>
        <w:t>. Youth in this model who identify as LGBQ have .</w:t>
      </w:r>
      <w:r w:rsidR="008F63FB">
        <w:rPr>
          <w:rFonts w:ascii="Times New Roman" w:hAnsi="Times New Roman" w:cs="Times New Roman"/>
          <w:sz w:val="24"/>
          <w:szCs w:val="24"/>
        </w:rPr>
        <w:t>64</w:t>
      </w:r>
      <w:r w:rsidRPr="00442034">
        <w:rPr>
          <w:rFonts w:ascii="Times New Roman" w:hAnsi="Times New Roman" w:cs="Times New Roman"/>
          <w:sz w:val="24"/>
          <w:szCs w:val="24"/>
        </w:rPr>
        <w:t xml:space="preserve"> higher log odds of internalizing behavior problems, though </w:t>
      </w:r>
      <w:r w:rsidR="003C3A03">
        <w:rPr>
          <w:rFonts w:ascii="Times New Roman" w:hAnsi="Times New Roman" w:cs="Times New Roman"/>
          <w:sz w:val="24"/>
          <w:szCs w:val="24"/>
        </w:rPr>
        <w:t xml:space="preserve">this effect is </w:t>
      </w:r>
      <w:r w:rsidRPr="00442034">
        <w:rPr>
          <w:rFonts w:ascii="Times New Roman" w:hAnsi="Times New Roman" w:cs="Times New Roman"/>
          <w:sz w:val="24"/>
          <w:szCs w:val="24"/>
        </w:rPr>
        <w:t xml:space="preserve">not significant. </w:t>
      </w:r>
      <w:r w:rsidR="00D10FC1">
        <w:rPr>
          <w:rFonts w:ascii="Times New Roman" w:hAnsi="Times New Roman" w:cs="Times New Roman"/>
          <w:sz w:val="24"/>
          <w:szCs w:val="24"/>
        </w:rPr>
        <w:t>Youth’s quality of the relationship</w:t>
      </w:r>
      <w:r w:rsidRPr="00442034">
        <w:rPr>
          <w:rFonts w:ascii="Times New Roman" w:hAnsi="Times New Roman" w:cs="Times New Roman"/>
          <w:sz w:val="24"/>
          <w:szCs w:val="24"/>
        </w:rPr>
        <w:t xml:space="preserve"> with</w:t>
      </w:r>
      <w:r w:rsidR="00D10FC1">
        <w:rPr>
          <w:rFonts w:ascii="Times New Roman" w:hAnsi="Times New Roman" w:cs="Times New Roman"/>
          <w:sz w:val="24"/>
          <w:szCs w:val="24"/>
        </w:rPr>
        <w:t xml:space="preserve"> their</w:t>
      </w:r>
      <w:r w:rsidRPr="00442034">
        <w:rPr>
          <w:rFonts w:ascii="Times New Roman" w:hAnsi="Times New Roman" w:cs="Times New Roman"/>
          <w:sz w:val="24"/>
          <w:szCs w:val="24"/>
        </w:rPr>
        <w:t xml:space="preserve"> caregiver was also not significant</w:t>
      </w:r>
      <w:r w:rsidR="000F2175">
        <w:rPr>
          <w:rFonts w:ascii="Times New Roman" w:hAnsi="Times New Roman" w:cs="Times New Roman"/>
          <w:sz w:val="24"/>
          <w:szCs w:val="24"/>
        </w:rPr>
        <w:t xml:space="preserve"> and small in magnitude</w:t>
      </w:r>
      <w:r w:rsidRPr="00442034">
        <w:rPr>
          <w:rFonts w:ascii="Times New Roman" w:hAnsi="Times New Roman" w:cs="Times New Roman"/>
          <w:sz w:val="24"/>
          <w:szCs w:val="24"/>
        </w:rPr>
        <w:t xml:space="preserve">, though </w:t>
      </w:r>
      <w:r w:rsidR="00462B26">
        <w:rPr>
          <w:rFonts w:ascii="Times New Roman" w:hAnsi="Times New Roman" w:cs="Times New Roman"/>
          <w:sz w:val="24"/>
          <w:szCs w:val="24"/>
        </w:rPr>
        <w:t xml:space="preserve">the direction of the effect suggests </w:t>
      </w:r>
      <w:r w:rsidRPr="00442034">
        <w:rPr>
          <w:rFonts w:ascii="Times New Roman" w:hAnsi="Times New Roman" w:cs="Times New Roman"/>
          <w:sz w:val="24"/>
          <w:szCs w:val="24"/>
        </w:rPr>
        <w:t xml:space="preserve">better relationships were associated with </w:t>
      </w:r>
      <w:r w:rsidR="00C05448">
        <w:rPr>
          <w:rFonts w:ascii="Times New Roman" w:hAnsi="Times New Roman" w:cs="Times New Roman"/>
          <w:sz w:val="24"/>
          <w:szCs w:val="24"/>
        </w:rPr>
        <w:t>higher caregiver reported</w:t>
      </w:r>
      <w:r w:rsidRPr="00442034">
        <w:rPr>
          <w:rFonts w:ascii="Times New Roman" w:hAnsi="Times New Roman" w:cs="Times New Roman"/>
          <w:sz w:val="24"/>
          <w:szCs w:val="24"/>
        </w:rPr>
        <w:t xml:space="preserve"> behavior problems.</w:t>
      </w:r>
      <w:r w:rsidR="002162B8">
        <w:rPr>
          <w:rFonts w:ascii="Times New Roman" w:hAnsi="Times New Roman" w:cs="Times New Roman"/>
          <w:sz w:val="24"/>
          <w:szCs w:val="24"/>
        </w:rPr>
        <w:t xml:space="preserve"> Youth who identified as Black </w:t>
      </w:r>
      <w:r w:rsidR="004A2D60">
        <w:rPr>
          <w:rFonts w:ascii="Times New Roman" w:hAnsi="Times New Roman" w:cs="Times New Roman"/>
          <w:sz w:val="24"/>
          <w:szCs w:val="24"/>
        </w:rPr>
        <w:t>n</w:t>
      </w:r>
      <w:r w:rsidR="002162B8">
        <w:rPr>
          <w:rFonts w:ascii="Times New Roman" w:hAnsi="Times New Roman" w:cs="Times New Roman"/>
          <w:sz w:val="24"/>
          <w:szCs w:val="24"/>
        </w:rPr>
        <w:t xml:space="preserve">on-Hispanic had significantly lower log odds of internalizing behavior problems compared to White </w:t>
      </w:r>
      <w:r w:rsidR="004A2D60">
        <w:rPr>
          <w:rFonts w:ascii="Times New Roman" w:hAnsi="Times New Roman" w:cs="Times New Roman"/>
          <w:sz w:val="24"/>
          <w:szCs w:val="24"/>
        </w:rPr>
        <w:t>n</w:t>
      </w:r>
      <w:r w:rsidR="002162B8">
        <w:rPr>
          <w:rFonts w:ascii="Times New Roman" w:hAnsi="Times New Roman" w:cs="Times New Roman"/>
          <w:sz w:val="24"/>
          <w:szCs w:val="24"/>
        </w:rPr>
        <w:t>on-Hispanic youth</w:t>
      </w:r>
      <w:r w:rsidR="00C80F02">
        <w:rPr>
          <w:rFonts w:ascii="Times New Roman" w:hAnsi="Times New Roman" w:cs="Times New Roman"/>
          <w:sz w:val="24"/>
          <w:szCs w:val="24"/>
        </w:rPr>
        <w:t xml:space="preserve">. Both internalizing and externalizing behavior problems at Wave 1 were significantly associated with </w:t>
      </w:r>
      <w:r w:rsidR="00D10FC1">
        <w:rPr>
          <w:rFonts w:ascii="Times New Roman" w:hAnsi="Times New Roman" w:cs="Times New Roman"/>
          <w:sz w:val="24"/>
          <w:szCs w:val="24"/>
        </w:rPr>
        <w:t>increases in internalizing behavior problems at Wave 3.</w:t>
      </w:r>
      <w:r w:rsidRPr="00442034">
        <w:rPr>
          <w:rFonts w:ascii="Times New Roman" w:hAnsi="Times New Roman" w:cs="Times New Roman"/>
          <w:sz w:val="24"/>
          <w:szCs w:val="24"/>
        </w:rPr>
        <w:t xml:space="preserve"> Placement in foster care was not significant in this model but </w:t>
      </w:r>
      <w:r w:rsidR="00012B91">
        <w:rPr>
          <w:rFonts w:ascii="Times New Roman" w:hAnsi="Times New Roman" w:cs="Times New Roman"/>
          <w:sz w:val="24"/>
          <w:szCs w:val="24"/>
        </w:rPr>
        <w:t>indicates a directional influence that</w:t>
      </w:r>
      <w:r w:rsidR="00012B91" w:rsidRPr="00442034">
        <w:rPr>
          <w:rFonts w:ascii="Times New Roman" w:hAnsi="Times New Roman" w:cs="Times New Roman"/>
          <w:sz w:val="24"/>
          <w:szCs w:val="24"/>
        </w:rPr>
        <w:t xml:space="preserve"> </w:t>
      </w:r>
      <w:r w:rsidRPr="00442034">
        <w:rPr>
          <w:rFonts w:ascii="Times New Roman" w:hAnsi="Times New Roman" w:cs="Times New Roman"/>
          <w:sz w:val="24"/>
          <w:szCs w:val="24"/>
        </w:rPr>
        <w:t xml:space="preserve">placement in foster care led to an increase in internalizing behavior problems. </w:t>
      </w:r>
    </w:p>
    <w:p w14:paraId="751C4694" w14:textId="28B79E71" w:rsidR="00442034" w:rsidRPr="00442034" w:rsidRDefault="00442034" w:rsidP="00442034">
      <w:pPr>
        <w:spacing w:line="480" w:lineRule="auto"/>
        <w:contextualSpacing/>
        <w:jc w:val="center"/>
        <w:rPr>
          <w:rFonts w:ascii="Times New Roman" w:hAnsi="Times New Roman" w:cs="Times New Roman"/>
          <w:sz w:val="24"/>
          <w:szCs w:val="24"/>
        </w:rPr>
      </w:pPr>
      <w:r w:rsidRPr="00442034">
        <w:rPr>
          <w:rFonts w:ascii="Times New Roman" w:hAnsi="Times New Roman" w:cs="Times New Roman"/>
          <w:sz w:val="24"/>
          <w:szCs w:val="24"/>
        </w:rPr>
        <w:t xml:space="preserve">[TABLE </w:t>
      </w:r>
      <w:r w:rsidR="002F5600">
        <w:rPr>
          <w:rFonts w:ascii="Times New Roman" w:hAnsi="Times New Roman" w:cs="Times New Roman"/>
          <w:sz w:val="24"/>
          <w:szCs w:val="24"/>
        </w:rPr>
        <w:t>2</w:t>
      </w:r>
      <w:r w:rsidRPr="00442034">
        <w:rPr>
          <w:rFonts w:ascii="Times New Roman" w:hAnsi="Times New Roman" w:cs="Times New Roman"/>
          <w:sz w:val="24"/>
          <w:szCs w:val="24"/>
        </w:rPr>
        <w:t xml:space="preserve"> HERE]</w:t>
      </w:r>
    </w:p>
    <w:p w14:paraId="58CCA4F5" w14:textId="6483A13C" w:rsidR="00442034" w:rsidRDefault="00442034" w:rsidP="00442034">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lastRenderedPageBreak/>
        <w:t xml:space="preserve">In Model 2, which includes the interaction between sexual orientation and the relationship with their caregiver, the main effect of sexual orientation is not significant. The main effect of youth’s </w:t>
      </w:r>
      <w:r w:rsidR="005D7AF2">
        <w:rPr>
          <w:rFonts w:ascii="Times New Roman" w:hAnsi="Times New Roman" w:cs="Times New Roman"/>
          <w:sz w:val="24"/>
          <w:szCs w:val="24"/>
        </w:rPr>
        <w:t xml:space="preserve">quality of the </w:t>
      </w:r>
      <w:r w:rsidRPr="00442034">
        <w:rPr>
          <w:rFonts w:ascii="Times New Roman" w:hAnsi="Times New Roman" w:cs="Times New Roman"/>
          <w:sz w:val="24"/>
          <w:szCs w:val="24"/>
        </w:rPr>
        <w:t xml:space="preserve">relationship with their caregiver was </w:t>
      </w:r>
      <w:r w:rsidR="005D7AF2">
        <w:rPr>
          <w:rFonts w:ascii="Times New Roman" w:hAnsi="Times New Roman" w:cs="Times New Roman"/>
          <w:sz w:val="24"/>
          <w:szCs w:val="24"/>
        </w:rPr>
        <w:t xml:space="preserve">also not </w:t>
      </w:r>
      <w:r w:rsidR="00F57AD0">
        <w:rPr>
          <w:rFonts w:ascii="Times New Roman" w:hAnsi="Times New Roman" w:cs="Times New Roman"/>
          <w:sz w:val="24"/>
          <w:szCs w:val="24"/>
        </w:rPr>
        <w:t>significant</w:t>
      </w:r>
      <w:r w:rsidR="00F57AD0" w:rsidRPr="00442034">
        <w:rPr>
          <w:rFonts w:ascii="Times New Roman" w:hAnsi="Times New Roman" w:cs="Times New Roman"/>
          <w:sz w:val="24"/>
          <w:szCs w:val="24"/>
        </w:rPr>
        <w:t xml:space="preserve"> but</w:t>
      </w:r>
      <w:r w:rsidR="005D7AF2">
        <w:rPr>
          <w:rFonts w:ascii="Times New Roman" w:hAnsi="Times New Roman" w:cs="Times New Roman"/>
          <w:sz w:val="24"/>
          <w:szCs w:val="24"/>
        </w:rPr>
        <w:t xml:space="preserve"> indicated </w:t>
      </w:r>
      <w:r w:rsidRPr="00442034">
        <w:rPr>
          <w:rFonts w:ascii="Times New Roman" w:hAnsi="Times New Roman" w:cs="Times New Roman"/>
          <w:sz w:val="24"/>
          <w:szCs w:val="24"/>
        </w:rPr>
        <w:t xml:space="preserve">that as </w:t>
      </w:r>
      <w:r w:rsidR="005D7AF2">
        <w:rPr>
          <w:rFonts w:ascii="Times New Roman" w:hAnsi="Times New Roman" w:cs="Times New Roman"/>
          <w:sz w:val="24"/>
          <w:szCs w:val="24"/>
        </w:rPr>
        <w:t xml:space="preserve">the </w:t>
      </w:r>
      <w:r w:rsidRPr="00442034">
        <w:rPr>
          <w:rFonts w:ascii="Times New Roman" w:hAnsi="Times New Roman" w:cs="Times New Roman"/>
          <w:sz w:val="24"/>
          <w:szCs w:val="24"/>
        </w:rPr>
        <w:t xml:space="preserve">youth’s relationship with their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improved, their log odds of clinical internalizing behaviors decreased. </w:t>
      </w:r>
      <w:r w:rsidR="00F57AD0">
        <w:rPr>
          <w:rFonts w:ascii="Times New Roman" w:hAnsi="Times New Roman" w:cs="Times New Roman"/>
          <w:sz w:val="24"/>
          <w:szCs w:val="24"/>
        </w:rPr>
        <w:t>T</w:t>
      </w:r>
      <w:r w:rsidRPr="00442034">
        <w:rPr>
          <w:rFonts w:ascii="Times New Roman" w:hAnsi="Times New Roman" w:cs="Times New Roman"/>
          <w:sz w:val="24"/>
          <w:szCs w:val="24"/>
        </w:rPr>
        <w:t xml:space="preserve">o </w:t>
      </w:r>
      <w:r w:rsidR="00D93FB2">
        <w:rPr>
          <w:rFonts w:ascii="Times New Roman" w:hAnsi="Times New Roman" w:cs="Times New Roman"/>
          <w:sz w:val="24"/>
          <w:szCs w:val="24"/>
        </w:rPr>
        <w:t xml:space="preserve">help </w:t>
      </w:r>
      <w:r w:rsidRPr="00442034">
        <w:rPr>
          <w:rFonts w:ascii="Times New Roman" w:hAnsi="Times New Roman" w:cs="Times New Roman"/>
          <w:sz w:val="24"/>
          <w:szCs w:val="24"/>
        </w:rPr>
        <w:t xml:space="preserve">interpret the interaction effect, I used post-estimation analyses. The relationship between sexual orientation and the relationship with their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on internalizing behavior problems is positive but not significant. Figure </w:t>
      </w:r>
      <w:r w:rsidR="00095BFE">
        <w:rPr>
          <w:rFonts w:ascii="Times New Roman" w:hAnsi="Times New Roman" w:cs="Times New Roman"/>
          <w:sz w:val="24"/>
          <w:szCs w:val="24"/>
        </w:rPr>
        <w:t>1</w:t>
      </w:r>
      <w:r w:rsidRPr="00442034">
        <w:rPr>
          <w:rFonts w:ascii="Times New Roman" w:hAnsi="Times New Roman" w:cs="Times New Roman"/>
          <w:sz w:val="24"/>
          <w:szCs w:val="24"/>
        </w:rPr>
        <w:t xml:space="preserve"> illustrates the predicted probabilities for internalizing behavior problems for LGBQ youth and non-LGBQ youth by the </w:t>
      </w:r>
      <w:r w:rsidR="00976E4D">
        <w:rPr>
          <w:rFonts w:ascii="Times New Roman" w:hAnsi="Times New Roman" w:cs="Times New Roman"/>
          <w:sz w:val="24"/>
          <w:szCs w:val="24"/>
        </w:rPr>
        <w:t xml:space="preserve">perceived quality of their </w:t>
      </w:r>
      <w:r w:rsidRPr="00442034">
        <w:rPr>
          <w:rFonts w:ascii="Times New Roman" w:hAnsi="Times New Roman" w:cs="Times New Roman"/>
          <w:sz w:val="24"/>
          <w:szCs w:val="24"/>
        </w:rPr>
        <w:t>relationship with their caregiver</w:t>
      </w:r>
      <w:r w:rsidR="00906FE9">
        <w:rPr>
          <w:rFonts w:ascii="Times New Roman" w:hAnsi="Times New Roman" w:cs="Times New Roman"/>
          <w:sz w:val="24"/>
          <w:szCs w:val="24"/>
        </w:rPr>
        <w:t>, holding other variables at their mean</w:t>
      </w:r>
      <w:r w:rsidRPr="00442034">
        <w:rPr>
          <w:rFonts w:ascii="Times New Roman" w:hAnsi="Times New Roman" w:cs="Times New Roman"/>
          <w:sz w:val="24"/>
          <w:szCs w:val="24"/>
        </w:rPr>
        <w:t>.</w:t>
      </w:r>
    </w:p>
    <w:p w14:paraId="01540A89" w14:textId="719F4F0F" w:rsidR="0018236F" w:rsidRPr="00442034" w:rsidRDefault="0018236F" w:rsidP="0018236F">
      <w:pPr>
        <w:spacing w:line="480" w:lineRule="auto"/>
        <w:contextualSpacing/>
        <w:rPr>
          <w:rFonts w:ascii="Times New Roman" w:hAnsi="Times New Roman" w:cs="Times New Roman"/>
          <w:sz w:val="24"/>
          <w:szCs w:val="24"/>
        </w:rPr>
      </w:pPr>
      <w:r>
        <w:rPr>
          <w:rFonts w:ascii="Times New Roman" w:hAnsi="Times New Roman" w:cs="Times New Roman"/>
          <w:sz w:val="24"/>
          <w:szCs w:val="24"/>
        </w:rPr>
        <w:t>Among our control variables, we find th</w:t>
      </w:r>
      <w:r w:rsidR="00B82C66">
        <w:rPr>
          <w:rFonts w:ascii="Times New Roman" w:hAnsi="Times New Roman" w:cs="Times New Roman"/>
          <w:sz w:val="24"/>
          <w:szCs w:val="24"/>
        </w:rPr>
        <w:t>e</w:t>
      </w:r>
      <w:r>
        <w:rPr>
          <w:rFonts w:ascii="Times New Roman" w:hAnsi="Times New Roman" w:cs="Times New Roman"/>
          <w:sz w:val="24"/>
          <w:szCs w:val="24"/>
        </w:rPr>
        <w:t xml:space="preserve"> same pattern that Black </w:t>
      </w:r>
      <w:r w:rsidR="00095BFE">
        <w:rPr>
          <w:rFonts w:ascii="Times New Roman" w:hAnsi="Times New Roman" w:cs="Times New Roman"/>
          <w:sz w:val="24"/>
          <w:szCs w:val="24"/>
        </w:rPr>
        <w:t>n</w:t>
      </w:r>
      <w:r>
        <w:rPr>
          <w:rFonts w:ascii="Times New Roman" w:hAnsi="Times New Roman" w:cs="Times New Roman"/>
          <w:sz w:val="24"/>
          <w:szCs w:val="24"/>
        </w:rPr>
        <w:t xml:space="preserve">on-Hispanic youth had significantly lower log odds of internalizing behaviors compared to White </w:t>
      </w:r>
      <w:r w:rsidR="00095BFE">
        <w:rPr>
          <w:rFonts w:ascii="Times New Roman" w:hAnsi="Times New Roman" w:cs="Times New Roman"/>
          <w:sz w:val="24"/>
          <w:szCs w:val="24"/>
        </w:rPr>
        <w:t>n</w:t>
      </w:r>
      <w:r>
        <w:rPr>
          <w:rFonts w:ascii="Times New Roman" w:hAnsi="Times New Roman" w:cs="Times New Roman"/>
          <w:sz w:val="24"/>
          <w:szCs w:val="24"/>
        </w:rPr>
        <w:t xml:space="preserve">on-Hispanic youth, and both internalizing and externalizing behaviors at Wave 1 predicted </w:t>
      </w:r>
      <w:r w:rsidR="00B5512D">
        <w:rPr>
          <w:rFonts w:ascii="Times New Roman" w:hAnsi="Times New Roman" w:cs="Times New Roman"/>
          <w:sz w:val="24"/>
          <w:szCs w:val="24"/>
        </w:rPr>
        <w:t xml:space="preserve">increases in the </w:t>
      </w:r>
      <w:proofErr w:type="spellStart"/>
      <w:r w:rsidR="00B5512D">
        <w:rPr>
          <w:rFonts w:ascii="Times New Roman" w:hAnsi="Times New Roman" w:cs="Times New Roman"/>
          <w:sz w:val="24"/>
          <w:szCs w:val="24"/>
        </w:rPr>
        <w:t>log</w:t>
      </w:r>
      <w:proofErr w:type="spellEnd"/>
      <w:r w:rsidR="00B5512D">
        <w:rPr>
          <w:rFonts w:ascii="Times New Roman" w:hAnsi="Times New Roman" w:cs="Times New Roman"/>
          <w:sz w:val="24"/>
          <w:szCs w:val="24"/>
        </w:rPr>
        <w:t xml:space="preserve"> odds of internalizing behavior problems at Wave 3.</w:t>
      </w:r>
    </w:p>
    <w:p w14:paraId="3DE13B52" w14:textId="2269881B" w:rsidR="00442034" w:rsidRPr="00442034" w:rsidRDefault="00442034" w:rsidP="00442034">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For Model 3 (Table </w:t>
      </w:r>
      <w:r w:rsidR="00B5512D">
        <w:rPr>
          <w:rFonts w:ascii="Times New Roman" w:hAnsi="Times New Roman" w:cs="Times New Roman"/>
          <w:sz w:val="24"/>
          <w:szCs w:val="24"/>
        </w:rPr>
        <w:t>2</w:t>
      </w:r>
      <w:r w:rsidRPr="00442034">
        <w:rPr>
          <w:rFonts w:ascii="Times New Roman" w:hAnsi="Times New Roman" w:cs="Times New Roman"/>
          <w:sz w:val="24"/>
          <w:szCs w:val="24"/>
        </w:rPr>
        <w:t xml:space="preserve">), sexual orientation is </w:t>
      </w:r>
      <w:r w:rsidR="00F57AD0">
        <w:rPr>
          <w:rFonts w:ascii="Times New Roman" w:hAnsi="Times New Roman" w:cs="Times New Roman"/>
          <w:sz w:val="24"/>
          <w:szCs w:val="24"/>
        </w:rPr>
        <w:t xml:space="preserve">not </w:t>
      </w:r>
      <w:r w:rsidRPr="00442034">
        <w:rPr>
          <w:rFonts w:ascii="Times New Roman" w:hAnsi="Times New Roman" w:cs="Times New Roman"/>
          <w:sz w:val="24"/>
          <w:szCs w:val="24"/>
        </w:rPr>
        <w:t xml:space="preserve">a significant predictor of clinical externalizing behavior problems. The relationship with the caregiver is </w:t>
      </w:r>
      <w:r w:rsidR="00D81C84">
        <w:rPr>
          <w:rFonts w:ascii="Times New Roman" w:hAnsi="Times New Roman" w:cs="Times New Roman"/>
          <w:sz w:val="24"/>
          <w:szCs w:val="24"/>
        </w:rPr>
        <w:t xml:space="preserve">marginally </w:t>
      </w:r>
      <w:r w:rsidRPr="00442034">
        <w:rPr>
          <w:rFonts w:ascii="Times New Roman" w:hAnsi="Times New Roman" w:cs="Times New Roman"/>
          <w:sz w:val="24"/>
          <w:szCs w:val="24"/>
        </w:rPr>
        <w:t>significant in this model</w:t>
      </w:r>
      <w:r w:rsidR="00D81C84">
        <w:rPr>
          <w:rFonts w:ascii="Times New Roman" w:hAnsi="Times New Roman" w:cs="Times New Roman"/>
          <w:sz w:val="24"/>
          <w:szCs w:val="24"/>
        </w:rPr>
        <w:t xml:space="preserve">, indicating that as the youth’s relationship with their caregiver improved, </w:t>
      </w:r>
      <w:r w:rsidR="00B5512D">
        <w:rPr>
          <w:rFonts w:ascii="Times New Roman" w:hAnsi="Times New Roman" w:cs="Times New Roman"/>
          <w:sz w:val="24"/>
          <w:szCs w:val="24"/>
        </w:rPr>
        <w:t xml:space="preserve">the log odds of </w:t>
      </w:r>
      <w:r w:rsidR="00D81C84">
        <w:rPr>
          <w:rFonts w:ascii="Times New Roman" w:hAnsi="Times New Roman" w:cs="Times New Roman"/>
          <w:sz w:val="24"/>
          <w:szCs w:val="24"/>
        </w:rPr>
        <w:t>externalizing behavior problems decreased.</w:t>
      </w:r>
      <w:r w:rsidRPr="00442034">
        <w:rPr>
          <w:rFonts w:ascii="Times New Roman" w:hAnsi="Times New Roman" w:cs="Times New Roman"/>
          <w:sz w:val="24"/>
          <w:szCs w:val="24"/>
        </w:rPr>
        <w:t xml:space="preserve"> </w:t>
      </w:r>
      <w:r w:rsidR="001F47DE">
        <w:rPr>
          <w:rFonts w:ascii="Times New Roman" w:hAnsi="Times New Roman" w:cs="Times New Roman"/>
          <w:sz w:val="24"/>
          <w:szCs w:val="24"/>
        </w:rPr>
        <w:t xml:space="preserve">Black </w:t>
      </w:r>
      <w:r w:rsidR="00444FEA">
        <w:rPr>
          <w:rFonts w:ascii="Times New Roman" w:hAnsi="Times New Roman" w:cs="Times New Roman"/>
          <w:sz w:val="24"/>
          <w:szCs w:val="24"/>
        </w:rPr>
        <w:t>non-Hispanic</w:t>
      </w:r>
      <w:r w:rsidR="001F47DE">
        <w:rPr>
          <w:rFonts w:ascii="Times New Roman" w:hAnsi="Times New Roman" w:cs="Times New Roman"/>
          <w:sz w:val="24"/>
          <w:szCs w:val="24"/>
        </w:rPr>
        <w:t xml:space="preserve"> youth </w:t>
      </w:r>
      <w:r w:rsidR="000E500C">
        <w:rPr>
          <w:rFonts w:ascii="Times New Roman" w:hAnsi="Times New Roman" w:cs="Times New Roman"/>
          <w:sz w:val="24"/>
          <w:szCs w:val="24"/>
        </w:rPr>
        <w:t xml:space="preserve">again had lower log odds of externalizing behavior problems compared to White </w:t>
      </w:r>
      <w:r w:rsidR="00444FEA">
        <w:rPr>
          <w:rFonts w:ascii="Times New Roman" w:hAnsi="Times New Roman" w:cs="Times New Roman"/>
          <w:sz w:val="24"/>
          <w:szCs w:val="24"/>
        </w:rPr>
        <w:t>n</w:t>
      </w:r>
      <w:r w:rsidR="000E500C">
        <w:rPr>
          <w:rFonts w:ascii="Times New Roman" w:hAnsi="Times New Roman" w:cs="Times New Roman"/>
          <w:sz w:val="24"/>
          <w:szCs w:val="24"/>
        </w:rPr>
        <w:t xml:space="preserve">on-Hispanic youth, though this was marginally significant. </w:t>
      </w:r>
      <w:r w:rsidR="009D7B4B">
        <w:rPr>
          <w:rFonts w:ascii="Times New Roman" w:hAnsi="Times New Roman" w:cs="Times New Roman"/>
          <w:sz w:val="24"/>
          <w:szCs w:val="24"/>
        </w:rPr>
        <w:t>Wave 1 externalizing behavior problems w</w:t>
      </w:r>
      <w:r w:rsidR="004347F7">
        <w:rPr>
          <w:rFonts w:ascii="Times New Roman" w:hAnsi="Times New Roman" w:cs="Times New Roman"/>
          <w:sz w:val="24"/>
          <w:szCs w:val="24"/>
        </w:rPr>
        <w:t>ere</w:t>
      </w:r>
      <w:r w:rsidR="009D7B4B">
        <w:rPr>
          <w:rFonts w:ascii="Times New Roman" w:hAnsi="Times New Roman" w:cs="Times New Roman"/>
          <w:sz w:val="24"/>
          <w:szCs w:val="24"/>
        </w:rPr>
        <w:t xml:space="preserve"> </w:t>
      </w:r>
      <w:r w:rsidR="00444FEA">
        <w:rPr>
          <w:rFonts w:ascii="Times New Roman" w:hAnsi="Times New Roman" w:cs="Times New Roman"/>
          <w:sz w:val="24"/>
          <w:szCs w:val="24"/>
        </w:rPr>
        <w:t xml:space="preserve">significantly </w:t>
      </w:r>
      <w:r w:rsidR="009D7B4B">
        <w:rPr>
          <w:rFonts w:ascii="Times New Roman" w:hAnsi="Times New Roman" w:cs="Times New Roman"/>
          <w:sz w:val="24"/>
          <w:szCs w:val="24"/>
        </w:rPr>
        <w:t>associated with increased log odds of externalizing behavior problems at Wave 3</w:t>
      </w:r>
      <w:r w:rsidR="00444FEA">
        <w:rPr>
          <w:rFonts w:ascii="Times New Roman" w:hAnsi="Times New Roman" w:cs="Times New Roman"/>
          <w:sz w:val="24"/>
          <w:szCs w:val="24"/>
        </w:rPr>
        <w:t xml:space="preserve">, as </w:t>
      </w:r>
      <w:r w:rsidR="004463EC">
        <w:rPr>
          <w:rFonts w:ascii="Times New Roman" w:hAnsi="Times New Roman" w:cs="Times New Roman"/>
          <w:sz w:val="24"/>
          <w:szCs w:val="24"/>
        </w:rPr>
        <w:t xml:space="preserve">were </w:t>
      </w:r>
      <w:r w:rsidR="00444FEA">
        <w:rPr>
          <w:rFonts w:ascii="Times New Roman" w:hAnsi="Times New Roman" w:cs="Times New Roman"/>
          <w:sz w:val="24"/>
          <w:szCs w:val="24"/>
        </w:rPr>
        <w:t>prior reports of maltreatment.</w:t>
      </w:r>
    </w:p>
    <w:p w14:paraId="04AD9D59" w14:textId="074B3461" w:rsidR="00442034" w:rsidRPr="00442034" w:rsidRDefault="00442034" w:rsidP="00442034">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In my final model, Model 4, the main effect of sexual orientation </w:t>
      </w:r>
      <w:r w:rsidR="00444FEA">
        <w:rPr>
          <w:rFonts w:ascii="Times New Roman" w:hAnsi="Times New Roman" w:cs="Times New Roman"/>
          <w:sz w:val="24"/>
          <w:szCs w:val="24"/>
        </w:rPr>
        <w:t>is</w:t>
      </w:r>
      <w:r w:rsidR="00B63745" w:rsidRPr="00442034">
        <w:rPr>
          <w:rFonts w:ascii="Times New Roman" w:hAnsi="Times New Roman" w:cs="Times New Roman"/>
          <w:sz w:val="24"/>
          <w:szCs w:val="24"/>
        </w:rPr>
        <w:t xml:space="preserve"> </w:t>
      </w:r>
      <w:r w:rsidRPr="00442034">
        <w:rPr>
          <w:rFonts w:ascii="Times New Roman" w:hAnsi="Times New Roman" w:cs="Times New Roman"/>
          <w:sz w:val="24"/>
          <w:szCs w:val="24"/>
        </w:rPr>
        <w:t xml:space="preserve">significant. </w:t>
      </w:r>
      <w:r w:rsidR="00444FEA">
        <w:rPr>
          <w:rFonts w:ascii="Times New Roman" w:hAnsi="Times New Roman" w:cs="Times New Roman"/>
          <w:sz w:val="24"/>
          <w:szCs w:val="24"/>
        </w:rPr>
        <w:t>In this model,</w:t>
      </w:r>
      <w:r w:rsidRPr="00442034">
        <w:rPr>
          <w:rFonts w:ascii="Times New Roman" w:hAnsi="Times New Roman" w:cs="Times New Roman"/>
          <w:sz w:val="24"/>
          <w:szCs w:val="24"/>
        </w:rPr>
        <w:t xml:space="preserve"> LGBQ youth without any relationship with their caregiver have </w:t>
      </w:r>
      <w:r w:rsidR="007D4C6B">
        <w:rPr>
          <w:rFonts w:ascii="Times New Roman" w:hAnsi="Times New Roman" w:cs="Times New Roman"/>
          <w:sz w:val="24"/>
          <w:szCs w:val="24"/>
        </w:rPr>
        <w:t>4.27</w:t>
      </w:r>
      <w:r w:rsidRPr="00442034">
        <w:rPr>
          <w:rFonts w:ascii="Times New Roman" w:hAnsi="Times New Roman" w:cs="Times New Roman"/>
          <w:sz w:val="24"/>
          <w:szCs w:val="24"/>
        </w:rPr>
        <w:t xml:space="preserve"> lower log odds of </w:t>
      </w:r>
      <w:r w:rsidRPr="00442034">
        <w:rPr>
          <w:rFonts w:ascii="Times New Roman" w:hAnsi="Times New Roman" w:cs="Times New Roman"/>
          <w:sz w:val="24"/>
          <w:szCs w:val="24"/>
        </w:rPr>
        <w:lastRenderedPageBreak/>
        <w:t>externalizing behavior problems compared to non-LGBQ youth without a relationship with their caregiver</w:t>
      </w:r>
      <w:r w:rsidR="007D4C6B">
        <w:rPr>
          <w:rFonts w:ascii="Times New Roman" w:hAnsi="Times New Roman" w:cs="Times New Roman"/>
          <w:sz w:val="24"/>
          <w:szCs w:val="24"/>
        </w:rPr>
        <w:t>, which was significant</w:t>
      </w:r>
      <w:r w:rsidRPr="00442034">
        <w:rPr>
          <w:rFonts w:ascii="Times New Roman" w:hAnsi="Times New Roman" w:cs="Times New Roman"/>
          <w:sz w:val="24"/>
          <w:szCs w:val="24"/>
        </w:rPr>
        <w:t xml:space="preserve">. The main effect of the caregiver relationship </w:t>
      </w:r>
      <w:r w:rsidR="00444FEA">
        <w:rPr>
          <w:rFonts w:ascii="Times New Roman" w:hAnsi="Times New Roman" w:cs="Times New Roman"/>
          <w:sz w:val="24"/>
          <w:szCs w:val="24"/>
        </w:rPr>
        <w:t>was also significant, indicating that as the quality of the youth’s relationship improved</w:t>
      </w:r>
      <w:r w:rsidR="00F60AFC">
        <w:rPr>
          <w:rFonts w:ascii="Times New Roman" w:hAnsi="Times New Roman" w:cs="Times New Roman"/>
          <w:sz w:val="24"/>
          <w:szCs w:val="24"/>
        </w:rPr>
        <w:t>, their log odds of externalizing behavior problems decreased</w:t>
      </w:r>
      <w:r w:rsidR="007D4C6B">
        <w:rPr>
          <w:rFonts w:ascii="Times New Roman" w:hAnsi="Times New Roman" w:cs="Times New Roman"/>
          <w:sz w:val="24"/>
          <w:szCs w:val="24"/>
        </w:rPr>
        <w:t xml:space="preserve"> by .</w:t>
      </w:r>
      <w:r w:rsidR="004900A1">
        <w:rPr>
          <w:rFonts w:ascii="Times New Roman" w:hAnsi="Times New Roman" w:cs="Times New Roman"/>
          <w:sz w:val="24"/>
          <w:szCs w:val="24"/>
        </w:rPr>
        <w:t>08</w:t>
      </w:r>
      <w:r w:rsidR="007D4C6B">
        <w:rPr>
          <w:rFonts w:ascii="Times New Roman" w:hAnsi="Times New Roman" w:cs="Times New Roman"/>
          <w:sz w:val="24"/>
          <w:szCs w:val="24"/>
        </w:rPr>
        <w:t xml:space="preserve"> (</w:t>
      </w:r>
      <w:r w:rsidR="004900A1">
        <w:rPr>
          <w:rFonts w:ascii="Times New Roman" w:hAnsi="Times New Roman" w:cs="Times New Roman"/>
          <w:i/>
          <w:iCs/>
          <w:sz w:val="24"/>
          <w:szCs w:val="24"/>
        </w:rPr>
        <w:t xml:space="preserve">p </w:t>
      </w:r>
      <w:r w:rsidR="004900A1">
        <w:rPr>
          <w:rFonts w:ascii="Times New Roman" w:hAnsi="Times New Roman" w:cs="Times New Roman"/>
          <w:sz w:val="24"/>
          <w:szCs w:val="24"/>
        </w:rPr>
        <w:t>&lt; .05)</w:t>
      </w:r>
      <w:r w:rsidRPr="00442034">
        <w:rPr>
          <w:rFonts w:ascii="Times New Roman" w:hAnsi="Times New Roman" w:cs="Times New Roman"/>
          <w:sz w:val="24"/>
          <w:szCs w:val="24"/>
        </w:rPr>
        <w:t>. The interaction effect between sexual orientation and</w:t>
      </w:r>
      <w:r w:rsidR="00F60AFC">
        <w:rPr>
          <w:rFonts w:ascii="Times New Roman" w:hAnsi="Times New Roman" w:cs="Times New Roman"/>
          <w:sz w:val="24"/>
          <w:szCs w:val="24"/>
        </w:rPr>
        <w:t xml:space="preserve"> the quality of the</w:t>
      </w:r>
      <w:r w:rsidRPr="00442034">
        <w:rPr>
          <w:rFonts w:ascii="Times New Roman" w:hAnsi="Times New Roman" w:cs="Times New Roman"/>
          <w:sz w:val="24"/>
          <w:szCs w:val="24"/>
        </w:rPr>
        <w:t xml:space="preserve"> </w:t>
      </w:r>
      <w:r w:rsidR="00F60AFC">
        <w:rPr>
          <w:rFonts w:ascii="Times New Roman" w:hAnsi="Times New Roman" w:cs="Times New Roman"/>
          <w:sz w:val="24"/>
          <w:szCs w:val="24"/>
        </w:rPr>
        <w:t xml:space="preserve">youth’s </w:t>
      </w:r>
      <w:r w:rsidRPr="00442034">
        <w:rPr>
          <w:rFonts w:ascii="Times New Roman" w:hAnsi="Times New Roman" w:cs="Times New Roman"/>
          <w:sz w:val="24"/>
          <w:szCs w:val="24"/>
        </w:rPr>
        <w:t xml:space="preserve">relationship with </w:t>
      </w:r>
      <w:r w:rsidR="00F60AFC">
        <w:rPr>
          <w:rFonts w:ascii="Times New Roman" w:hAnsi="Times New Roman" w:cs="Times New Roman"/>
          <w:sz w:val="24"/>
          <w:szCs w:val="24"/>
        </w:rPr>
        <w:t xml:space="preserve">their </w:t>
      </w:r>
      <w:r w:rsidRPr="00442034">
        <w:rPr>
          <w:rFonts w:ascii="Times New Roman" w:hAnsi="Times New Roman" w:cs="Times New Roman"/>
          <w:sz w:val="24"/>
          <w:szCs w:val="24"/>
        </w:rPr>
        <w:t>caregiver was marginally significant and positive</w:t>
      </w:r>
      <w:r w:rsidR="004900A1">
        <w:rPr>
          <w:rFonts w:ascii="Times New Roman" w:hAnsi="Times New Roman" w:cs="Times New Roman"/>
          <w:sz w:val="24"/>
          <w:szCs w:val="24"/>
        </w:rPr>
        <w:t xml:space="preserve"> (</w:t>
      </w:r>
      <w:r w:rsidR="0011040F">
        <w:rPr>
          <w:rFonts w:ascii="Times New Roman" w:hAnsi="Times New Roman" w:cs="Times New Roman"/>
          <w:sz w:val="24"/>
          <w:szCs w:val="24"/>
        </w:rPr>
        <w:t xml:space="preserve">β = .10, </w:t>
      </w:r>
      <w:r w:rsidR="0011040F">
        <w:rPr>
          <w:rFonts w:ascii="Times New Roman" w:hAnsi="Times New Roman" w:cs="Times New Roman"/>
          <w:i/>
          <w:iCs/>
          <w:sz w:val="24"/>
          <w:szCs w:val="24"/>
        </w:rPr>
        <w:t>p</w:t>
      </w:r>
      <w:r w:rsidR="0011040F">
        <w:rPr>
          <w:rFonts w:ascii="Times New Roman" w:hAnsi="Times New Roman" w:cs="Times New Roman"/>
          <w:sz w:val="24"/>
          <w:szCs w:val="24"/>
        </w:rPr>
        <w:t xml:space="preserve"> &lt; .10)</w:t>
      </w:r>
      <w:r w:rsidRPr="00442034">
        <w:rPr>
          <w:rFonts w:ascii="Times New Roman" w:hAnsi="Times New Roman" w:cs="Times New Roman"/>
          <w:sz w:val="24"/>
          <w:szCs w:val="24"/>
        </w:rPr>
        <w:t xml:space="preserve">, with the predicted probabilities of externalizing behavior problems for LGBQ youth and non-LGBQ youth </w:t>
      </w:r>
      <w:r w:rsidR="00345EAD">
        <w:rPr>
          <w:rFonts w:ascii="Times New Roman" w:hAnsi="Times New Roman" w:cs="Times New Roman"/>
          <w:sz w:val="24"/>
          <w:szCs w:val="24"/>
        </w:rPr>
        <w:t>based on</w:t>
      </w:r>
      <w:r w:rsidR="00F60AFC">
        <w:rPr>
          <w:rFonts w:ascii="Times New Roman" w:hAnsi="Times New Roman" w:cs="Times New Roman"/>
          <w:sz w:val="24"/>
          <w:szCs w:val="24"/>
        </w:rPr>
        <w:t xml:space="preserve"> the quality of the </w:t>
      </w:r>
      <w:r w:rsidRPr="00442034">
        <w:rPr>
          <w:rFonts w:ascii="Times New Roman" w:hAnsi="Times New Roman" w:cs="Times New Roman"/>
          <w:sz w:val="24"/>
          <w:szCs w:val="24"/>
        </w:rPr>
        <w:t xml:space="preserve">relationship with their caregiver illustrated in Figure </w:t>
      </w:r>
      <w:r w:rsidR="002F5600">
        <w:rPr>
          <w:rFonts w:ascii="Times New Roman" w:hAnsi="Times New Roman" w:cs="Times New Roman"/>
          <w:sz w:val="24"/>
          <w:szCs w:val="24"/>
        </w:rPr>
        <w:t>1</w:t>
      </w:r>
      <w:r w:rsidRPr="00442034">
        <w:rPr>
          <w:rFonts w:ascii="Times New Roman" w:hAnsi="Times New Roman" w:cs="Times New Roman"/>
          <w:sz w:val="24"/>
          <w:szCs w:val="24"/>
        </w:rPr>
        <w:t>.</w:t>
      </w:r>
    </w:p>
    <w:p w14:paraId="137A09AB" w14:textId="476E15EF" w:rsidR="00442034" w:rsidRPr="00442034" w:rsidRDefault="00442034" w:rsidP="00442034">
      <w:pPr>
        <w:spacing w:line="480" w:lineRule="auto"/>
        <w:contextualSpacing/>
        <w:jc w:val="center"/>
        <w:rPr>
          <w:rFonts w:ascii="Times New Roman" w:hAnsi="Times New Roman" w:cs="Times New Roman"/>
          <w:sz w:val="24"/>
          <w:szCs w:val="24"/>
        </w:rPr>
      </w:pPr>
      <w:r w:rsidRPr="00442034">
        <w:rPr>
          <w:rFonts w:ascii="Times New Roman" w:hAnsi="Times New Roman" w:cs="Times New Roman"/>
          <w:sz w:val="24"/>
          <w:szCs w:val="24"/>
        </w:rPr>
        <w:t xml:space="preserve">[FIGURE </w:t>
      </w:r>
      <w:r w:rsidR="002F5600">
        <w:rPr>
          <w:rFonts w:ascii="Times New Roman" w:hAnsi="Times New Roman" w:cs="Times New Roman"/>
          <w:sz w:val="24"/>
          <w:szCs w:val="24"/>
        </w:rPr>
        <w:t>1</w:t>
      </w:r>
      <w:r w:rsidRPr="00442034">
        <w:rPr>
          <w:rFonts w:ascii="Times New Roman" w:hAnsi="Times New Roman" w:cs="Times New Roman"/>
          <w:sz w:val="24"/>
          <w:szCs w:val="24"/>
        </w:rPr>
        <w:t xml:space="preserve"> HERE]</w:t>
      </w:r>
    </w:p>
    <w:p w14:paraId="4BD1B0A6" w14:textId="654C5BD9" w:rsidR="00442034" w:rsidRPr="00442034" w:rsidRDefault="00442034" w:rsidP="00442034">
      <w:pPr>
        <w:spacing w:line="480" w:lineRule="auto"/>
        <w:contextualSpacing/>
        <w:rPr>
          <w:rFonts w:ascii="Times New Roman" w:hAnsi="Times New Roman" w:cs="Times New Roman"/>
          <w:sz w:val="24"/>
          <w:szCs w:val="24"/>
        </w:rPr>
      </w:pPr>
      <w:r w:rsidRPr="00442034">
        <w:rPr>
          <w:rFonts w:ascii="Times New Roman" w:hAnsi="Times New Roman" w:cs="Times New Roman"/>
          <w:b/>
          <w:bCs/>
          <w:sz w:val="24"/>
          <w:szCs w:val="24"/>
        </w:rPr>
        <w:tab/>
      </w:r>
      <w:r w:rsidRPr="00442034">
        <w:rPr>
          <w:rFonts w:ascii="Times New Roman" w:hAnsi="Times New Roman" w:cs="Times New Roman"/>
          <w:sz w:val="24"/>
          <w:szCs w:val="24"/>
        </w:rPr>
        <w:t xml:space="preserve">Figure </w:t>
      </w:r>
      <w:r w:rsidR="002F5600">
        <w:rPr>
          <w:rFonts w:ascii="Times New Roman" w:hAnsi="Times New Roman" w:cs="Times New Roman"/>
          <w:sz w:val="24"/>
          <w:szCs w:val="24"/>
        </w:rPr>
        <w:t>1</w:t>
      </w:r>
      <w:r w:rsidRPr="00442034">
        <w:rPr>
          <w:rFonts w:ascii="Times New Roman" w:hAnsi="Times New Roman" w:cs="Times New Roman"/>
          <w:sz w:val="24"/>
          <w:szCs w:val="24"/>
        </w:rPr>
        <w:t xml:space="preserve"> shows the predicted probabilities for internalizing and externalizing behavior problems by sexual orientation and </w:t>
      </w:r>
      <w:r w:rsidR="00613002">
        <w:rPr>
          <w:rFonts w:ascii="Times New Roman" w:hAnsi="Times New Roman" w:cs="Times New Roman"/>
          <w:sz w:val="24"/>
          <w:szCs w:val="24"/>
        </w:rPr>
        <w:t xml:space="preserve">the quality of the </w:t>
      </w:r>
      <w:r w:rsidR="003F04D6">
        <w:rPr>
          <w:rFonts w:ascii="Times New Roman" w:hAnsi="Times New Roman" w:cs="Times New Roman"/>
          <w:sz w:val="24"/>
          <w:szCs w:val="24"/>
        </w:rPr>
        <w:t xml:space="preserve">youth’s </w:t>
      </w:r>
      <w:r w:rsidRPr="00442034">
        <w:rPr>
          <w:rFonts w:ascii="Times New Roman" w:hAnsi="Times New Roman" w:cs="Times New Roman"/>
          <w:sz w:val="24"/>
          <w:szCs w:val="24"/>
        </w:rPr>
        <w:t>relationship with</w:t>
      </w:r>
      <w:r w:rsidR="00613002">
        <w:rPr>
          <w:rFonts w:ascii="Times New Roman" w:hAnsi="Times New Roman" w:cs="Times New Roman"/>
          <w:sz w:val="24"/>
          <w:szCs w:val="24"/>
        </w:rPr>
        <w:t xml:space="preserve"> their</w:t>
      </w:r>
      <w:r w:rsidRPr="00442034">
        <w:rPr>
          <w:rFonts w:ascii="Times New Roman" w:hAnsi="Times New Roman" w:cs="Times New Roman"/>
          <w:sz w:val="24"/>
          <w:szCs w:val="24"/>
        </w:rPr>
        <w:t xml:space="preserve">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For non-LGBQ youth, the predicted probabilities of internalizing behavior problems decrease as their relationship </w:t>
      </w:r>
      <w:r w:rsidR="003D62CE">
        <w:rPr>
          <w:rFonts w:ascii="Times New Roman" w:hAnsi="Times New Roman" w:cs="Times New Roman"/>
          <w:sz w:val="24"/>
          <w:szCs w:val="24"/>
        </w:rPr>
        <w:t xml:space="preserve">quality with their </w:t>
      </w:r>
      <w:r w:rsidRPr="00442034">
        <w:rPr>
          <w:rFonts w:ascii="Times New Roman" w:hAnsi="Times New Roman" w:cs="Times New Roman"/>
          <w:sz w:val="24"/>
          <w:szCs w:val="24"/>
        </w:rPr>
        <w:t>caregiver increases. Post-estimation analyses showed this pattern is significant (</w:t>
      </w:r>
      <w:r w:rsidRPr="00442034">
        <w:rPr>
          <w:rFonts w:ascii="Times New Roman" w:hAnsi="Times New Roman" w:cs="Times New Roman"/>
          <w:i/>
          <w:iCs/>
          <w:sz w:val="24"/>
          <w:szCs w:val="24"/>
        </w:rPr>
        <w:t>p</w:t>
      </w:r>
      <w:r w:rsidRPr="00442034">
        <w:rPr>
          <w:rFonts w:ascii="Times New Roman" w:hAnsi="Times New Roman" w:cs="Times New Roman"/>
          <w:sz w:val="24"/>
          <w:szCs w:val="24"/>
        </w:rPr>
        <w:t xml:space="preserve"> &lt; .0</w:t>
      </w:r>
      <w:r w:rsidR="00FC3E56">
        <w:rPr>
          <w:rFonts w:ascii="Times New Roman" w:hAnsi="Times New Roman" w:cs="Times New Roman"/>
          <w:sz w:val="24"/>
          <w:szCs w:val="24"/>
        </w:rPr>
        <w:t>5</w:t>
      </w:r>
      <w:r w:rsidRPr="00442034">
        <w:rPr>
          <w:rFonts w:ascii="Times New Roman" w:hAnsi="Times New Roman" w:cs="Times New Roman"/>
          <w:sz w:val="24"/>
          <w:szCs w:val="24"/>
        </w:rPr>
        <w:t xml:space="preserve">). For LGBQ youth, the opposite pattern is found, as the predicted probabilities of internalizing behavior problems increase </w:t>
      </w:r>
      <w:r w:rsidR="00FC3E56">
        <w:rPr>
          <w:rFonts w:ascii="Times New Roman" w:hAnsi="Times New Roman" w:cs="Times New Roman"/>
          <w:sz w:val="24"/>
          <w:szCs w:val="24"/>
        </w:rPr>
        <w:t>as the quality of the</w:t>
      </w:r>
      <w:r w:rsidR="00B0256E">
        <w:rPr>
          <w:rFonts w:ascii="Times New Roman" w:hAnsi="Times New Roman" w:cs="Times New Roman"/>
          <w:sz w:val="24"/>
          <w:szCs w:val="24"/>
        </w:rPr>
        <w:t>ir</w:t>
      </w:r>
      <w:r w:rsidRPr="00442034">
        <w:rPr>
          <w:rFonts w:ascii="Times New Roman" w:hAnsi="Times New Roman" w:cs="Times New Roman"/>
          <w:sz w:val="24"/>
          <w:szCs w:val="24"/>
        </w:rPr>
        <w:t xml:space="preserve"> relationship with their caregiver</w:t>
      </w:r>
      <w:r w:rsidR="00B0256E">
        <w:rPr>
          <w:rFonts w:ascii="Times New Roman" w:hAnsi="Times New Roman" w:cs="Times New Roman"/>
          <w:sz w:val="24"/>
          <w:szCs w:val="24"/>
        </w:rPr>
        <w:t xml:space="preserve"> increases</w:t>
      </w:r>
      <w:r w:rsidR="00675CF9">
        <w:rPr>
          <w:rFonts w:ascii="Times New Roman" w:hAnsi="Times New Roman" w:cs="Times New Roman"/>
          <w:sz w:val="24"/>
          <w:szCs w:val="24"/>
        </w:rPr>
        <w:t xml:space="preserve"> </w:t>
      </w:r>
      <w:r w:rsidRPr="00442034">
        <w:rPr>
          <w:rFonts w:ascii="Times New Roman" w:hAnsi="Times New Roman" w:cs="Times New Roman"/>
          <w:sz w:val="24"/>
          <w:szCs w:val="24"/>
        </w:rPr>
        <w:t>(</w:t>
      </w:r>
      <w:r w:rsidRPr="00442034">
        <w:rPr>
          <w:rFonts w:ascii="Times New Roman" w:hAnsi="Times New Roman" w:cs="Times New Roman"/>
          <w:i/>
          <w:iCs/>
          <w:sz w:val="24"/>
          <w:szCs w:val="24"/>
        </w:rPr>
        <w:t>p</w:t>
      </w:r>
      <w:r w:rsidRPr="00442034">
        <w:rPr>
          <w:rFonts w:ascii="Times New Roman" w:hAnsi="Times New Roman" w:cs="Times New Roman"/>
          <w:sz w:val="24"/>
          <w:szCs w:val="24"/>
        </w:rPr>
        <w:t xml:space="preserve"> &lt; .05). LGBQ youth who reported the best-perceived relationship with their caregiver had a </w:t>
      </w:r>
      <w:r w:rsidR="006B3623">
        <w:rPr>
          <w:rFonts w:ascii="Times New Roman" w:hAnsi="Times New Roman" w:cs="Times New Roman"/>
          <w:sz w:val="24"/>
          <w:szCs w:val="24"/>
        </w:rPr>
        <w:t>29</w:t>
      </w:r>
      <w:r w:rsidRPr="00442034">
        <w:rPr>
          <w:rFonts w:ascii="Times New Roman" w:hAnsi="Times New Roman" w:cs="Times New Roman"/>
          <w:sz w:val="24"/>
          <w:szCs w:val="24"/>
        </w:rPr>
        <w:t xml:space="preserve">% predicted probability of having internalizing behavior problems compared to only </w:t>
      </w:r>
      <w:r w:rsidR="00A01C4A">
        <w:rPr>
          <w:rFonts w:ascii="Times New Roman" w:hAnsi="Times New Roman" w:cs="Times New Roman"/>
          <w:sz w:val="24"/>
          <w:szCs w:val="24"/>
        </w:rPr>
        <w:t>16</w:t>
      </w:r>
      <w:r w:rsidRPr="00442034">
        <w:rPr>
          <w:rFonts w:ascii="Times New Roman" w:hAnsi="Times New Roman" w:cs="Times New Roman"/>
          <w:sz w:val="24"/>
          <w:szCs w:val="24"/>
        </w:rPr>
        <w:t>% of non-LGBQ youth with this score (</w:t>
      </w:r>
      <w:r w:rsidRPr="00442034">
        <w:rPr>
          <w:rFonts w:ascii="Times New Roman" w:hAnsi="Times New Roman" w:cs="Times New Roman"/>
          <w:i/>
          <w:iCs/>
          <w:sz w:val="24"/>
          <w:szCs w:val="24"/>
        </w:rPr>
        <w:t>p</w:t>
      </w:r>
      <w:r w:rsidRPr="00442034">
        <w:rPr>
          <w:rFonts w:ascii="Times New Roman" w:hAnsi="Times New Roman" w:cs="Times New Roman"/>
          <w:sz w:val="24"/>
          <w:szCs w:val="24"/>
        </w:rPr>
        <w:t xml:space="preserve"> &lt; .05). For externalizing behavior problems, the same pattern emerged with greater significance. LGBQ youth with better relationships with their caregivers have a significantly higher predicted probability of externalizing behavior problems compared to non-LGBQ youth. Among youth with the best possible relationship with their caregiver, LGBQ youth had a </w:t>
      </w:r>
      <w:r w:rsidR="00D02B51">
        <w:rPr>
          <w:rFonts w:ascii="Times New Roman" w:hAnsi="Times New Roman" w:cs="Times New Roman"/>
          <w:sz w:val="24"/>
          <w:szCs w:val="24"/>
        </w:rPr>
        <w:t>20</w:t>
      </w:r>
      <w:r w:rsidRPr="00442034">
        <w:rPr>
          <w:rFonts w:ascii="Times New Roman" w:hAnsi="Times New Roman" w:cs="Times New Roman"/>
          <w:sz w:val="24"/>
          <w:szCs w:val="24"/>
        </w:rPr>
        <w:t xml:space="preserve">% predicted probability of externalizing behavior problems compared to </w:t>
      </w:r>
      <w:r w:rsidR="0097184D">
        <w:rPr>
          <w:rFonts w:ascii="Times New Roman" w:hAnsi="Times New Roman" w:cs="Times New Roman"/>
          <w:sz w:val="24"/>
          <w:szCs w:val="24"/>
        </w:rPr>
        <w:t>15</w:t>
      </w:r>
      <w:r w:rsidRPr="00442034">
        <w:rPr>
          <w:rFonts w:ascii="Times New Roman" w:hAnsi="Times New Roman" w:cs="Times New Roman"/>
          <w:sz w:val="24"/>
          <w:szCs w:val="24"/>
        </w:rPr>
        <w:t>% of non-LGBQ youth (</w:t>
      </w:r>
      <w:r w:rsidRPr="00442034">
        <w:rPr>
          <w:rFonts w:ascii="Times New Roman" w:hAnsi="Times New Roman" w:cs="Times New Roman"/>
          <w:i/>
          <w:iCs/>
          <w:sz w:val="24"/>
          <w:szCs w:val="24"/>
        </w:rPr>
        <w:t>p</w:t>
      </w:r>
      <w:r w:rsidRPr="00442034">
        <w:rPr>
          <w:rFonts w:ascii="Times New Roman" w:hAnsi="Times New Roman" w:cs="Times New Roman"/>
          <w:sz w:val="24"/>
          <w:szCs w:val="24"/>
        </w:rPr>
        <w:t xml:space="preserve"> &lt; .00</w:t>
      </w:r>
      <w:r w:rsidR="0097184D">
        <w:rPr>
          <w:rFonts w:ascii="Times New Roman" w:hAnsi="Times New Roman" w:cs="Times New Roman"/>
          <w:sz w:val="24"/>
          <w:szCs w:val="24"/>
        </w:rPr>
        <w:t>1</w:t>
      </w:r>
      <w:r w:rsidRPr="00442034">
        <w:rPr>
          <w:rFonts w:ascii="Times New Roman" w:hAnsi="Times New Roman" w:cs="Times New Roman"/>
          <w:sz w:val="24"/>
          <w:szCs w:val="24"/>
        </w:rPr>
        <w:t xml:space="preserve">). </w:t>
      </w:r>
    </w:p>
    <w:p w14:paraId="4672ADBD" w14:textId="77777777" w:rsidR="00442034" w:rsidRPr="00442034" w:rsidRDefault="00442034" w:rsidP="00442034">
      <w:pPr>
        <w:jc w:val="center"/>
        <w:rPr>
          <w:rFonts w:ascii="Times New Roman" w:hAnsi="Times New Roman" w:cs="Times New Roman"/>
          <w:b/>
          <w:bCs/>
          <w:sz w:val="24"/>
          <w:szCs w:val="24"/>
        </w:rPr>
      </w:pPr>
      <w:r w:rsidRPr="00442034">
        <w:rPr>
          <w:rFonts w:ascii="Times New Roman" w:hAnsi="Times New Roman" w:cs="Times New Roman"/>
          <w:b/>
          <w:bCs/>
          <w:sz w:val="24"/>
          <w:szCs w:val="24"/>
        </w:rPr>
        <w:lastRenderedPageBreak/>
        <w:t>Discussion</w:t>
      </w:r>
    </w:p>
    <w:p w14:paraId="4C7941C7" w14:textId="16B9DBFC" w:rsidR="00D55076" w:rsidRDefault="00442034" w:rsidP="00442034">
      <w:pPr>
        <w:spacing w:line="480" w:lineRule="auto"/>
        <w:ind w:firstLine="720"/>
        <w:contextualSpacing/>
        <w:rPr>
          <w:rFonts w:ascii="Times New Roman" w:hAnsi="Times New Roman" w:cs="Times New Roman"/>
          <w:iCs/>
          <w:sz w:val="24"/>
          <w:szCs w:val="24"/>
        </w:rPr>
      </w:pPr>
      <w:r w:rsidRPr="00442034">
        <w:rPr>
          <w:rFonts w:ascii="Times New Roman" w:hAnsi="Times New Roman" w:cs="Times New Roman"/>
          <w:sz w:val="24"/>
          <w:szCs w:val="24"/>
        </w:rPr>
        <w:t xml:space="preserve">Prior research on youth involved in the </w:t>
      </w:r>
      <w:r w:rsidR="003853B3">
        <w:rPr>
          <w:rFonts w:ascii="Times New Roman" w:hAnsi="Times New Roman" w:cs="Times New Roman"/>
          <w:sz w:val="24"/>
          <w:szCs w:val="24"/>
        </w:rPr>
        <w:t>child welfare</w:t>
      </w:r>
      <w:r w:rsidRPr="00442034">
        <w:rPr>
          <w:rFonts w:ascii="Times New Roman" w:hAnsi="Times New Roman" w:cs="Times New Roman"/>
          <w:sz w:val="24"/>
          <w:szCs w:val="24"/>
        </w:rPr>
        <w:t xml:space="preserve"> system using NSCAW-II data show these youth are more likely to present with internalizing and externalizing behavioral problems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{"citationID":"EqXdGNU7","properties":{"formattedCitation":"(McCrae 2009)","plainCitation":"(McCrae 2009)","noteIndex":0},"citationItems":[{"id":238,"uris":["http://zotero.org/users/7501598/items/6EKICFY4",["http://zotero.org/users/7501598/items/6EKICFY4"]],"itemData":{"id":238,"type":"article-journal","abstract":"Child welfare agencies are required to provide services that ensure that children receive adequate mental health care. This study provides a comprehensive view of the emotional and behavioral problems of children who are referred to child welfare services, using nationally representative data. Bivariate analyses compare rates by child demographics, and conditional probability tables present changes in clinical status. Results show that 62% of children have at least one clinical-level score over 3 years. Rates are highest at baseline. Posttraumatic stress most frequently improves, whereas thought, attention, and aggressive/ delinquent behavior problems are most persistent. Sexualized behavior is more common among White and Hispanic children, and boys are reported with more internalizing problems than do girls. Targeted services are needed for young children who experience posttraumatic stress, as is treatment for attention problems that accounts for both biological and environmental components. Distinguishing the effects of age, environment, and assessment methods on boys' internalizing problems is also critical.","container-title":"Journal of Emotional and Behavioral Disorders","DOI":"10.1177/1063426608319141","ISSN":"1063-4266","issue":"1","journalAbbreviation":"Journal of Emotional and Behavioral Disorders","language":"en","note":"publisher: SAGE Publications Inc","page":"17-28","source":"SAGE Journals","title":"Emotional and Behavioral Problems Reported in Child Welfare Over 3 Years","volume":"17","author":[{"family":"McCrae","given":"Julie S."}],"issued":{"date-parts":[["2009",3,1]]}}}],"schema":"https://github.com/citation-style-language/schema/raw/master/csl-citation.json"}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(McCrae 2009)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r w:rsidR="00EE13E2">
        <w:rPr>
          <w:rFonts w:ascii="Times New Roman" w:hAnsi="Times New Roman" w:cs="Times New Roman"/>
          <w:sz w:val="24"/>
          <w:szCs w:val="24"/>
        </w:rPr>
        <w:t>Using logistic regression analyses to examine how protective factors such as the youth’s quality of the relationship with their caregiver</w:t>
      </w:r>
      <w:r w:rsidR="00CC2C1D">
        <w:rPr>
          <w:rFonts w:ascii="Times New Roman" w:hAnsi="Times New Roman" w:cs="Times New Roman"/>
          <w:sz w:val="24"/>
          <w:szCs w:val="24"/>
        </w:rPr>
        <w:t xml:space="preserve"> can improve these outcomes</w:t>
      </w:r>
      <w:r w:rsidR="00EE13E2">
        <w:rPr>
          <w:rFonts w:ascii="Times New Roman" w:hAnsi="Times New Roman" w:cs="Times New Roman"/>
          <w:sz w:val="24"/>
          <w:szCs w:val="24"/>
        </w:rPr>
        <w:t>, I find that</w:t>
      </w:r>
      <w:r w:rsidR="002721E4">
        <w:rPr>
          <w:rFonts w:ascii="Times New Roman" w:hAnsi="Times New Roman" w:cs="Times New Roman"/>
          <w:sz w:val="24"/>
          <w:szCs w:val="24"/>
        </w:rPr>
        <w:t xml:space="preserve"> better</w:t>
      </w:r>
      <w:r w:rsidR="00EE13E2">
        <w:rPr>
          <w:rFonts w:ascii="Times New Roman" w:hAnsi="Times New Roman" w:cs="Times New Roman"/>
          <w:sz w:val="24"/>
          <w:szCs w:val="24"/>
        </w:rPr>
        <w:t xml:space="preserve"> caregiver relationships </w:t>
      </w:r>
      <w:r w:rsidR="002721E4">
        <w:rPr>
          <w:rFonts w:ascii="Times New Roman" w:hAnsi="Times New Roman" w:cs="Times New Roman"/>
          <w:sz w:val="24"/>
          <w:szCs w:val="24"/>
        </w:rPr>
        <w:t xml:space="preserve">significantly decrease externalizing behavior problems, but only for heterosexual youth. </w:t>
      </w:r>
      <w:r w:rsidRPr="00442034">
        <w:rPr>
          <w:rFonts w:ascii="Times New Roman" w:hAnsi="Times New Roman" w:cs="Times New Roman"/>
          <w:sz w:val="24"/>
          <w:szCs w:val="24"/>
        </w:rPr>
        <w:t xml:space="preserve">For </w:t>
      </w:r>
      <w:r w:rsidR="002721E4">
        <w:rPr>
          <w:rFonts w:ascii="Times New Roman" w:hAnsi="Times New Roman" w:cs="Times New Roman"/>
          <w:sz w:val="24"/>
          <w:szCs w:val="24"/>
        </w:rPr>
        <w:t>these</w:t>
      </w:r>
      <w:r w:rsidRPr="00442034">
        <w:rPr>
          <w:rFonts w:ascii="Times New Roman" w:hAnsi="Times New Roman" w:cs="Times New Roman"/>
          <w:sz w:val="24"/>
          <w:szCs w:val="24"/>
        </w:rPr>
        <w:t xml:space="preserve"> youth, the perceived relationship with their caregiver </w:t>
      </w:r>
      <w:r w:rsidR="002721E4">
        <w:rPr>
          <w:rFonts w:ascii="Times New Roman" w:hAnsi="Times New Roman" w:cs="Times New Roman"/>
          <w:sz w:val="24"/>
          <w:szCs w:val="24"/>
        </w:rPr>
        <w:t>does serve</w:t>
      </w:r>
      <w:r w:rsidRPr="00442034">
        <w:rPr>
          <w:rFonts w:ascii="Times New Roman" w:hAnsi="Times New Roman" w:cs="Times New Roman"/>
          <w:sz w:val="24"/>
          <w:szCs w:val="24"/>
        </w:rPr>
        <w:t xml:space="preserve"> as a protective factor to reduce the probabilities of having clinically significant</w:t>
      </w:r>
      <w:r w:rsidR="002721E4">
        <w:rPr>
          <w:rFonts w:ascii="Times New Roman" w:hAnsi="Times New Roman" w:cs="Times New Roman"/>
          <w:sz w:val="24"/>
          <w:szCs w:val="24"/>
        </w:rPr>
        <w:t xml:space="preserve"> externalizing</w:t>
      </w:r>
      <w:r w:rsidRPr="00442034">
        <w:rPr>
          <w:rFonts w:ascii="Times New Roman" w:hAnsi="Times New Roman" w:cs="Times New Roman"/>
          <w:sz w:val="24"/>
          <w:szCs w:val="24"/>
        </w:rPr>
        <w:t xml:space="preserve"> behavioral problems. However, for LGBQ youth, as their perceived relationship quality with their caregiver increases, so too does their probabilities of reported behavioral problems. </w:t>
      </w:r>
      <w:r w:rsidRPr="00442034">
        <w:rPr>
          <w:rFonts w:ascii="Times New Roman" w:hAnsi="Times New Roman" w:cs="Times New Roman"/>
          <w:iCs/>
          <w:sz w:val="24"/>
          <w:szCs w:val="24"/>
        </w:rPr>
        <w:t xml:space="preserve">This distinction </w:t>
      </w:r>
      <w:r w:rsidR="00C27A6F">
        <w:rPr>
          <w:rFonts w:ascii="Times New Roman" w:hAnsi="Times New Roman" w:cs="Times New Roman"/>
          <w:iCs/>
          <w:sz w:val="24"/>
          <w:szCs w:val="24"/>
        </w:rPr>
        <w:t xml:space="preserve">is an important one </w:t>
      </w:r>
      <w:r w:rsidRPr="00442034">
        <w:rPr>
          <w:rFonts w:ascii="Times New Roman" w:hAnsi="Times New Roman" w:cs="Times New Roman"/>
          <w:iCs/>
          <w:sz w:val="24"/>
          <w:szCs w:val="24"/>
        </w:rPr>
        <w:t xml:space="preserve">because according to </w:t>
      </w:r>
      <w:r w:rsidR="00347E68">
        <w:rPr>
          <w:rFonts w:ascii="Times New Roman" w:hAnsi="Times New Roman" w:cs="Times New Roman"/>
          <w:iCs/>
          <w:sz w:val="24"/>
          <w:szCs w:val="24"/>
        </w:rPr>
        <w:t>previous research</w:t>
      </w:r>
      <w:r w:rsidRPr="00442034">
        <w:rPr>
          <w:rFonts w:ascii="Times New Roman" w:hAnsi="Times New Roman" w:cs="Times New Roman"/>
          <w:iCs/>
          <w:sz w:val="24"/>
          <w:szCs w:val="24"/>
        </w:rPr>
        <w:t xml:space="preserve">, these youth do have higher reported behavioral problems </w:t>
      </w:r>
      <w:r w:rsidRPr="00442034">
        <w:rPr>
          <w:rFonts w:ascii="Times New Roman" w:hAnsi="Times New Roman" w:cs="Times New Roman"/>
          <w:iCs/>
          <w:sz w:val="24"/>
          <w:szCs w:val="24"/>
        </w:rPr>
        <w:fldChar w:fldCharType="begin"/>
      </w:r>
      <w:r w:rsidR="00B17A86">
        <w:rPr>
          <w:rFonts w:ascii="Times New Roman" w:hAnsi="Times New Roman" w:cs="Times New Roman"/>
          <w:iCs/>
          <w:sz w:val="24"/>
          <w:szCs w:val="24"/>
        </w:rPr>
        <w:instrText xml:space="preserve"> ADDIN ZOTERO_ITEM CSL_CITATION {"citationID":"ejMuZdk5","properties":{"formattedCitation":"(Fergusson et al. 1999)","plainCitation":"(Fergusson et al. 1999)","noteIndex":0},"citationItems":[{"id":391,"uris":["http://zotero.org/users/7501598/items/UMXYCKMW",["http://zotero.org/users/7501598/items/UMXYCKMW"]],"itemData":{"id":391,"type":"article-journal","abstract":"BACKGROUND: This study examines the extent to which gay, lesbian, and bisexual young people are at increased risk of psychiatric disorder and suicidal behaviors using data gathered on a New Zealand birth cohort studied to age 21 years.\nMETHODS: Data were gathered during the course of the Christchurch Health and Development Study, a 21-year longitudinal study of a birth cohort of 1265 children born in Christchurch, New Zealand. At 21 years of age, 1007 sample members were questioned about their sexual orientation and relationships with same-sex partners since the age of 16 years. Twenty-eight subjects (2.8%) were classified as being of gay, lesbian, or bisexual sexual orientation. Over the period from age 14 to 21 years, data were gathered on a range of psychiatric disorders that included major depression, generalized anxiety disorder, conduct disorder, and substance use disorders. Data were also gathered on suicidal ideation and suicide attempts.\nRESULTS: Gay, lesbian, and bisexual young people were at increased risks of major depression (odds ratio [OR], 4.0; 95% confidence interval [CI], 1.8-9.3), generalized anxiety disorder (OR, 2.8; 95% CI, 1.2-6.5), conduct disorder (OR, 3.8; 95% CI, 1.7-8.7), nicotine dependence (OR, 5.0; 95%, CI, 2.3-10.9), other substance abuse and/or dependence (OR, 1.9; 95% CI, 0.9-4.2), multiple disorders (OR, 5.9; 95% CI, 2.4-14.8), suicidal ideation (OR, 5.4; 95% CI, 2.4-12.2), and suicide attempts (OR, 6.2; 95% CI, 2.7-14.3).\nCONCLUSIONS: Findings support recent evidence suggesting that gay, lesbian, and bisexual young people are at increased risk of mental health problems, with these associations being particularly evident for measures of suicidal behavior and multiple disorder.","container-title":"Archives of General Psychiatry","DOI":"10.1001/archpsyc.56.10.876","ISSN":"0003-990X","issue":"10","journalAbbreviation":"Arch Gen Psychiatry","language":"eng","note":"PMID: 10530626","page":"876-880","source":"PubMed","title":"Is sexual orientation related to mental health problems and suicidality in young people?","volume":"56","author":[{"family":"Fergusson","given":"D. M."},{"family":"Horwood","given":"L. J."},{"family":"Beautrais","given":"A. L."}],"issued":{"date-parts":[["1999",10]]}}}],"schema":"https://github.com/citation-style-language/schema/raw/master/csl-citation.json"} </w:instrText>
      </w:r>
      <w:r w:rsidRPr="00442034">
        <w:rPr>
          <w:rFonts w:ascii="Times New Roman" w:hAnsi="Times New Roman" w:cs="Times New Roman"/>
          <w:iCs/>
          <w:sz w:val="24"/>
          <w:szCs w:val="24"/>
        </w:rPr>
        <w:fldChar w:fldCharType="separate"/>
      </w:r>
      <w:r w:rsidR="006B1B57">
        <w:rPr>
          <w:rFonts w:ascii="Times New Roman" w:hAnsi="Times New Roman" w:cs="Times New Roman"/>
          <w:iCs/>
          <w:noProof/>
          <w:sz w:val="24"/>
          <w:szCs w:val="24"/>
        </w:rPr>
        <w:t>(Fergusson et al. 1999)</w:t>
      </w:r>
      <w:r w:rsidRPr="00442034">
        <w:rPr>
          <w:rFonts w:ascii="Times New Roman" w:hAnsi="Times New Roman" w:cs="Times New Roman"/>
          <w:iCs/>
          <w:sz w:val="24"/>
          <w:szCs w:val="24"/>
        </w:rPr>
        <w:fldChar w:fldCharType="end"/>
      </w:r>
      <w:r w:rsidRPr="00442034">
        <w:rPr>
          <w:rFonts w:ascii="Times New Roman" w:hAnsi="Times New Roman" w:cs="Times New Roman"/>
          <w:iCs/>
          <w:sz w:val="24"/>
          <w:szCs w:val="24"/>
        </w:rPr>
        <w:t>.</w:t>
      </w:r>
      <w:r w:rsidR="00D55076">
        <w:rPr>
          <w:rFonts w:ascii="Times New Roman" w:hAnsi="Times New Roman" w:cs="Times New Roman"/>
          <w:iCs/>
          <w:sz w:val="24"/>
          <w:szCs w:val="24"/>
        </w:rPr>
        <w:t xml:space="preserve"> </w:t>
      </w:r>
      <w:r w:rsidR="00E13FCF">
        <w:rPr>
          <w:rFonts w:ascii="Times New Roman" w:hAnsi="Times New Roman" w:cs="Times New Roman"/>
          <w:iCs/>
          <w:sz w:val="24"/>
          <w:szCs w:val="24"/>
        </w:rPr>
        <w:t xml:space="preserve">Sexual minority stress </w:t>
      </w:r>
      <w:r w:rsidR="00347E68">
        <w:rPr>
          <w:rFonts w:ascii="Times New Roman" w:hAnsi="Times New Roman" w:cs="Times New Roman"/>
          <w:iCs/>
          <w:sz w:val="24"/>
          <w:szCs w:val="24"/>
        </w:rPr>
        <w:t xml:space="preserve">theory </w:t>
      </w:r>
      <w:r w:rsidR="00E13FCF">
        <w:rPr>
          <w:rFonts w:ascii="Times New Roman" w:hAnsi="Times New Roman" w:cs="Times New Roman"/>
          <w:iCs/>
          <w:sz w:val="24"/>
          <w:szCs w:val="24"/>
        </w:rPr>
        <w:t xml:space="preserve">posits that the experiences of heterosexism, prejudice, and discrimination that LGBQ youth face </w:t>
      </w:r>
      <w:r w:rsidR="00BA23D0">
        <w:rPr>
          <w:rFonts w:ascii="Times New Roman" w:hAnsi="Times New Roman" w:cs="Times New Roman"/>
          <w:iCs/>
          <w:sz w:val="24"/>
          <w:szCs w:val="24"/>
        </w:rPr>
        <w:t>exacerbates</w:t>
      </w:r>
      <w:r w:rsidR="00E13FCF">
        <w:rPr>
          <w:rFonts w:ascii="Times New Roman" w:hAnsi="Times New Roman" w:cs="Times New Roman"/>
          <w:iCs/>
          <w:sz w:val="24"/>
          <w:szCs w:val="24"/>
        </w:rPr>
        <w:t xml:space="preserve"> stress</w:t>
      </w:r>
      <w:r w:rsidR="00347E68">
        <w:rPr>
          <w:rFonts w:ascii="Times New Roman" w:hAnsi="Times New Roman" w:cs="Times New Roman"/>
          <w:iCs/>
          <w:sz w:val="24"/>
          <w:szCs w:val="24"/>
        </w:rPr>
        <w:t xml:space="preserve">, contributing to higher rates of internalizing and externalizing behavior problems and </w:t>
      </w:r>
      <w:r w:rsidR="00BA23D0">
        <w:rPr>
          <w:rFonts w:ascii="Times New Roman" w:hAnsi="Times New Roman" w:cs="Times New Roman"/>
          <w:iCs/>
          <w:sz w:val="24"/>
          <w:szCs w:val="24"/>
        </w:rPr>
        <w:t xml:space="preserve">reduced well-being overall </w:t>
      </w:r>
      <w:r w:rsidR="00B17A86">
        <w:rPr>
          <w:rFonts w:ascii="Times New Roman" w:hAnsi="Times New Roman" w:cs="Times New Roman"/>
          <w:iCs/>
          <w:sz w:val="24"/>
          <w:szCs w:val="24"/>
        </w:rPr>
        <w:fldChar w:fldCharType="begin"/>
      </w:r>
      <w:r w:rsidR="00B17A86">
        <w:rPr>
          <w:rFonts w:ascii="Times New Roman" w:hAnsi="Times New Roman" w:cs="Times New Roman"/>
          <w:iCs/>
          <w:sz w:val="24"/>
          <w:szCs w:val="24"/>
        </w:rPr>
        <w:instrText xml:space="preserve"> ADDIN ZOTERO_ITEM CSL_CITATION {"citationID":"BZbbHjU2","properties":{"formattedCitation":"(Brooks 1981)","plainCitation":"(Brooks 1981)","noteIndex":0},"citationItems":[{"id":393,"uris":["http://zotero.org/users/7501598/items/Q33VJYNW",["http://zotero.org/users/7501598/items/Q33VJYNW"]],"itemData":{"id":393,"type":"book","event-place":"Lexington, Mass","ISBN":"0-669-03953-5","publisher":"Lexington Books","publisher-place":"Lexington, Mass","title":"Minority stress and lesbian women / Virginia R. Brooks.","author":[{"family":"Brooks","given":"Virginia R."}],"issued":{"date-parts":[["1981"]]}}}],"schema":"https://github.com/citation-style-language/schema/raw/master/csl-citation.json"} </w:instrText>
      </w:r>
      <w:r w:rsidR="00B17A86">
        <w:rPr>
          <w:rFonts w:ascii="Times New Roman" w:hAnsi="Times New Roman" w:cs="Times New Roman"/>
          <w:iCs/>
          <w:sz w:val="24"/>
          <w:szCs w:val="24"/>
        </w:rPr>
        <w:fldChar w:fldCharType="separate"/>
      </w:r>
      <w:r w:rsidR="00B17A86" w:rsidRPr="00B17A86">
        <w:rPr>
          <w:rFonts w:ascii="Times New Roman" w:hAnsi="Times New Roman" w:cs="Times New Roman"/>
          <w:sz w:val="24"/>
        </w:rPr>
        <w:t>(Brooks 1981)</w:t>
      </w:r>
      <w:r w:rsidR="00B17A86">
        <w:rPr>
          <w:rFonts w:ascii="Times New Roman" w:hAnsi="Times New Roman" w:cs="Times New Roman"/>
          <w:iCs/>
          <w:sz w:val="24"/>
          <w:szCs w:val="24"/>
        </w:rPr>
        <w:fldChar w:fldCharType="end"/>
      </w:r>
      <w:r w:rsidR="00B3363E">
        <w:rPr>
          <w:rFonts w:ascii="Times New Roman" w:hAnsi="Times New Roman" w:cs="Times New Roman"/>
          <w:iCs/>
          <w:sz w:val="24"/>
          <w:szCs w:val="24"/>
        </w:rPr>
        <w:t>. These findings are in line with this theory in that LGBQ youth in this sample do present with higher rates of both internalizing and externalizing behaviors</w:t>
      </w:r>
      <w:r w:rsidR="00FB45AD">
        <w:rPr>
          <w:rFonts w:ascii="Times New Roman" w:hAnsi="Times New Roman" w:cs="Times New Roman"/>
          <w:iCs/>
          <w:sz w:val="24"/>
          <w:szCs w:val="24"/>
        </w:rPr>
        <w:t>. However, our ana</w:t>
      </w:r>
      <w:r w:rsidR="00FE0494">
        <w:rPr>
          <w:rFonts w:ascii="Times New Roman" w:hAnsi="Times New Roman" w:cs="Times New Roman"/>
          <w:iCs/>
          <w:sz w:val="24"/>
          <w:szCs w:val="24"/>
        </w:rPr>
        <w:t xml:space="preserve">lysis revealed that </w:t>
      </w:r>
      <w:r w:rsidR="008B3FFA">
        <w:rPr>
          <w:rFonts w:ascii="Times New Roman" w:hAnsi="Times New Roman" w:cs="Times New Roman"/>
          <w:iCs/>
          <w:sz w:val="24"/>
          <w:szCs w:val="24"/>
        </w:rPr>
        <w:t>for LGBQ youth</w:t>
      </w:r>
      <w:r w:rsidR="00E959E4">
        <w:rPr>
          <w:rFonts w:ascii="Times New Roman" w:hAnsi="Times New Roman" w:cs="Times New Roman"/>
          <w:iCs/>
          <w:sz w:val="24"/>
          <w:szCs w:val="24"/>
        </w:rPr>
        <w:t xml:space="preserve"> who perceived a close relationship with their caregiver, behavioral problems did not decrease, inconsistent with previous research that caregiver support can contribute to </w:t>
      </w:r>
      <w:r w:rsidR="00936109">
        <w:rPr>
          <w:rFonts w:ascii="Times New Roman" w:hAnsi="Times New Roman" w:cs="Times New Roman"/>
          <w:iCs/>
          <w:sz w:val="24"/>
          <w:szCs w:val="24"/>
        </w:rPr>
        <w:t>fewer behavioral problems and increased overall well-being</w:t>
      </w:r>
      <w:r w:rsidR="00A77B03">
        <w:rPr>
          <w:rFonts w:ascii="Times New Roman" w:hAnsi="Times New Roman" w:cs="Times New Roman"/>
          <w:iCs/>
          <w:sz w:val="24"/>
          <w:szCs w:val="24"/>
        </w:rPr>
        <w:t xml:space="preserve"> </w:t>
      </w:r>
      <w:r w:rsidR="00A77B03">
        <w:rPr>
          <w:rFonts w:ascii="Times New Roman" w:hAnsi="Times New Roman" w:cs="Times New Roman"/>
          <w:iCs/>
          <w:sz w:val="24"/>
          <w:szCs w:val="24"/>
        </w:rPr>
        <w:fldChar w:fldCharType="begin"/>
      </w:r>
      <w:r w:rsidR="00A77B03">
        <w:rPr>
          <w:rFonts w:ascii="Times New Roman" w:hAnsi="Times New Roman" w:cs="Times New Roman"/>
          <w:iCs/>
          <w:sz w:val="24"/>
          <w:szCs w:val="24"/>
        </w:rPr>
        <w:instrText xml:space="preserve"> ADDIN ZOTERO_ITEM CSL_CITATION {"citationID":"wYPemzjV","properties":{"formattedCitation":"(Traube et al. 2012; Wojciak et al. 2017)","plainCitation":"(Traube et al. 2012; Wojciak et al. 2017)","noteIndex":0},"citationItems":[{"id":254,"uris":["http://zotero.org/users/7501598/items/4DLQDS4M"],"itemData":{"id":254,"type":"article-journal","abstract":"While child welfare services are intended, in part, to diminish maltreatment's negative impact on adolescents' development, there is evidence that receiving child welfare services affects adolescents' substance use adversely. The literature on the extent and correlates of this problem is still emerging. The present study aims to fill part of this gap by examining the association between baseline psychosocial risk and protective factors on engagement in substance use behavior over a period of 36months for child welfare involved youth. It further compares substance use behavior between youth placed in out-of-home care and those who remained with their biological families. Data come from the National Survey of Child and Adolescent Well-Being (NSCAW), a national probability study of children and adolescents undergoing investigation for abuse or neglect. The sample for this analysis was restricted to 827 youth who were 11years or older at baseline data collection. Key findings include a high rate of social substance use (47.7%) and illicit substance use (17.4%). There was a limited role of protective factors in mitigating risk behavior for social substance use (caregiver connectedness; OR=0.51, p&lt;0.05). Avoiding foster care placement was a protective factor for illicit substance use (OR=0.43, p&lt;0.05). Delinquency was a risk factor associated with both social substance use (OR=1.06, p&lt;0.01) and hard substance use (OR=1.10, p&lt;0.001). Given the high prevalence of substance use among child welfare involved youth, prevention efforts for this population require a better understanding of biological, psychological, and social protective factors. The child welfare system is an untapped resource that has the potential to be a gateway to and a platform for substance abuse prevention services that should be incorporated into child welfare safety and permanency interventions.","container-title":"Addictive Behaviors","DOI":"10.1016/j.addbeh.2012.01.015","ISSN":"0306-4603","issue":"5","journalAbbreviation":"Addictive Behaviors","language":"en","page":"641-650","source":"ScienceDirect","title":"A national study of risk and protective factors for substance use among youth in the child welfare system","volume":"37","author":[{"family":"Traube","given":"Dorian E."},{"family":"James","given":"Sigrid"},{"family":"Zhang","given":"Jinjin"},{"family":"Landsverk","given":"John"}],"issued":{"date-parts":[["2012",5,1]]}}},{"id":432,"uris":["http://zotero.org/users/7501598/items/AEQ55337",["http://zotero.org/users/7501598/items/AEQ55337"]],"itemData":{"id":432,"type":"article-journal","abstract":"Youth in foster care often experience many negative outcomes. Fortunately, the empirical examination of potential protective factors is beginning to grow. The aim of this study was to investigate the influence that a warm relationship with one’s caregiver has on the well-established association between trauma symptoms and youth reports of internalizing and externalizing behaviors. Mediation and moderation analyses were conducted to explore the impact of this protective factor on this association. A warm relationship with a caregiver was a significant moderator of trauma and youth report of internalizing behaviors. Implications for practice and policy are discussed.","container-title":"Journal of Emotional and Behavioral Disorders","DOI":"10.1177/1063426616628816","ISSN":"1063-4266","issue":"2","journalAbbreviation":"Journal of Emotional and Behavioral Disorders","language":"en","note":"publisher: SAGE Publications Inc","page":"96-106","source":"SAGE Journals","title":"The Relationship Between Caregivers and Youth in Foster Care: Examining the Relationship for Mediation and Moderation Effects on Youth Behaviors","title-short":"The Relationship Between Caregivers and Youth in Foster Care","volume":"25","author":[{"family":"Wojciak","given":"Armeda Stevenson"},{"family":"Thompson","given":"Heather M."},{"family":"Cooley","given":"Morgan E."}],"issued":{"date-parts":[["2017",6,1]]}}}],"schema":"https://github.com/citation-style-language/schema/raw/master/csl-citation.json"} </w:instrText>
      </w:r>
      <w:r w:rsidR="00A77B03">
        <w:rPr>
          <w:rFonts w:ascii="Times New Roman" w:hAnsi="Times New Roman" w:cs="Times New Roman"/>
          <w:iCs/>
          <w:sz w:val="24"/>
          <w:szCs w:val="24"/>
        </w:rPr>
        <w:fldChar w:fldCharType="separate"/>
      </w:r>
      <w:r w:rsidR="00A77B03" w:rsidRPr="00A77B03">
        <w:rPr>
          <w:rFonts w:ascii="Times New Roman" w:hAnsi="Times New Roman" w:cs="Times New Roman"/>
          <w:sz w:val="24"/>
        </w:rPr>
        <w:t>(Traube et al. 2012; Wojciak et al. 2017)</w:t>
      </w:r>
      <w:r w:rsidR="00A77B03">
        <w:rPr>
          <w:rFonts w:ascii="Times New Roman" w:hAnsi="Times New Roman" w:cs="Times New Roman"/>
          <w:iCs/>
          <w:sz w:val="24"/>
          <w:szCs w:val="24"/>
        </w:rPr>
        <w:fldChar w:fldCharType="end"/>
      </w:r>
      <w:r w:rsidR="00096920">
        <w:rPr>
          <w:rFonts w:ascii="Times New Roman" w:hAnsi="Times New Roman" w:cs="Times New Roman"/>
          <w:iCs/>
          <w:sz w:val="24"/>
          <w:szCs w:val="24"/>
        </w:rPr>
        <w:t>.</w:t>
      </w:r>
      <w:r w:rsidR="00E13FCF">
        <w:rPr>
          <w:rFonts w:ascii="Times New Roman" w:hAnsi="Times New Roman" w:cs="Times New Roman"/>
          <w:iCs/>
          <w:sz w:val="24"/>
          <w:szCs w:val="24"/>
        </w:rPr>
        <w:t xml:space="preserve"> </w:t>
      </w:r>
    </w:p>
    <w:p w14:paraId="388018E8" w14:textId="65FC06AA" w:rsidR="00442034" w:rsidRPr="00442034" w:rsidRDefault="00160B45" w:rsidP="0044203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w:t>
      </w:r>
      <w:r w:rsidR="00442034" w:rsidRPr="00442034">
        <w:rPr>
          <w:rFonts w:ascii="Times New Roman" w:hAnsi="Times New Roman" w:cs="Times New Roman"/>
          <w:sz w:val="24"/>
          <w:szCs w:val="24"/>
        </w:rPr>
        <w:t xml:space="preserve">his </w:t>
      </w:r>
      <w:r w:rsidR="00DA6965">
        <w:rPr>
          <w:rFonts w:ascii="Times New Roman" w:hAnsi="Times New Roman" w:cs="Times New Roman"/>
          <w:sz w:val="24"/>
          <w:szCs w:val="24"/>
        </w:rPr>
        <w:t xml:space="preserve">potentially counterintuitive </w:t>
      </w:r>
      <w:r w:rsidR="00442034" w:rsidRPr="00442034">
        <w:rPr>
          <w:rFonts w:ascii="Times New Roman" w:hAnsi="Times New Roman" w:cs="Times New Roman"/>
          <w:sz w:val="24"/>
          <w:szCs w:val="24"/>
        </w:rPr>
        <w:t xml:space="preserve">finding may indicate that caregivers with good relationships with LGBQ youth may be able to better identify and more accurately report their well-being. </w:t>
      </w:r>
      <w:r w:rsidR="004F11AE">
        <w:rPr>
          <w:rFonts w:ascii="Times New Roman" w:hAnsi="Times New Roman" w:cs="Times New Roman"/>
          <w:sz w:val="24"/>
          <w:szCs w:val="24"/>
        </w:rPr>
        <w:t xml:space="preserve">For </w:t>
      </w:r>
      <w:r w:rsidR="00355E12">
        <w:rPr>
          <w:rFonts w:ascii="Times New Roman" w:hAnsi="Times New Roman" w:cs="Times New Roman"/>
          <w:sz w:val="24"/>
          <w:szCs w:val="24"/>
        </w:rPr>
        <w:t xml:space="preserve">example, LGBQ youth who have a strong relationship with their </w:t>
      </w:r>
      <w:proofErr w:type="gramStart"/>
      <w:r w:rsidR="00355E12">
        <w:rPr>
          <w:rFonts w:ascii="Times New Roman" w:hAnsi="Times New Roman" w:cs="Times New Roman"/>
          <w:sz w:val="24"/>
          <w:szCs w:val="24"/>
        </w:rPr>
        <w:t>caregiver</w:t>
      </w:r>
      <w:proofErr w:type="gramEnd"/>
      <w:r w:rsidR="00355E12">
        <w:rPr>
          <w:rFonts w:ascii="Times New Roman" w:hAnsi="Times New Roman" w:cs="Times New Roman"/>
          <w:sz w:val="24"/>
          <w:szCs w:val="24"/>
        </w:rPr>
        <w:t xml:space="preserve"> may be more likely to express their </w:t>
      </w:r>
      <w:r w:rsidR="00F15E73">
        <w:rPr>
          <w:rFonts w:ascii="Times New Roman" w:hAnsi="Times New Roman" w:cs="Times New Roman"/>
          <w:sz w:val="24"/>
          <w:szCs w:val="24"/>
        </w:rPr>
        <w:t xml:space="preserve">sexual orientation and emotions surrounding the stress of </w:t>
      </w:r>
      <w:r w:rsidR="00F15E73">
        <w:rPr>
          <w:rFonts w:ascii="Times New Roman" w:hAnsi="Times New Roman" w:cs="Times New Roman"/>
          <w:sz w:val="24"/>
          <w:szCs w:val="24"/>
        </w:rPr>
        <w:lastRenderedPageBreak/>
        <w:t>identifying as a sexual minority</w:t>
      </w:r>
      <w:r w:rsidR="009D4F7C">
        <w:rPr>
          <w:rFonts w:ascii="Times New Roman" w:hAnsi="Times New Roman" w:cs="Times New Roman"/>
          <w:sz w:val="24"/>
          <w:szCs w:val="24"/>
        </w:rPr>
        <w:t xml:space="preserve">. </w:t>
      </w:r>
      <w:r w:rsidR="00CA4CD8">
        <w:rPr>
          <w:rFonts w:ascii="Times New Roman" w:hAnsi="Times New Roman" w:cs="Times New Roman"/>
          <w:sz w:val="24"/>
          <w:szCs w:val="24"/>
        </w:rPr>
        <w:t>The caregiver</w:t>
      </w:r>
      <w:r w:rsidR="006F0D53">
        <w:rPr>
          <w:rFonts w:ascii="Times New Roman" w:hAnsi="Times New Roman" w:cs="Times New Roman"/>
          <w:sz w:val="24"/>
          <w:szCs w:val="24"/>
        </w:rPr>
        <w:t xml:space="preserve"> in turn may more accurately report behavioral problems among these youth and work to find services for </w:t>
      </w:r>
      <w:r w:rsidR="00D958BF">
        <w:rPr>
          <w:rFonts w:ascii="Times New Roman" w:hAnsi="Times New Roman" w:cs="Times New Roman"/>
          <w:sz w:val="24"/>
          <w:szCs w:val="24"/>
        </w:rPr>
        <w:t>them.</w:t>
      </w:r>
      <w:r w:rsidR="006F0D53">
        <w:rPr>
          <w:rFonts w:ascii="Times New Roman" w:hAnsi="Times New Roman" w:cs="Times New Roman"/>
          <w:sz w:val="24"/>
          <w:szCs w:val="24"/>
        </w:rPr>
        <w:t xml:space="preserve"> </w:t>
      </w:r>
      <w:r>
        <w:rPr>
          <w:rFonts w:ascii="Times New Roman" w:hAnsi="Times New Roman" w:cs="Times New Roman"/>
          <w:sz w:val="24"/>
          <w:szCs w:val="24"/>
        </w:rPr>
        <w:t>Alternatively, it could be that the caregivers of LGBQ youth may</w:t>
      </w:r>
      <w:r w:rsidR="00D76E64">
        <w:rPr>
          <w:rFonts w:ascii="Times New Roman" w:hAnsi="Times New Roman" w:cs="Times New Roman"/>
          <w:sz w:val="24"/>
          <w:szCs w:val="24"/>
        </w:rPr>
        <w:t xml:space="preserve"> be</w:t>
      </w:r>
      <w:r>
        <w:rPr>
          <w:rFonts w:ascii="Times New Roman" w:hAnsi="Times New Roman" w:cs="Times New Roman"/>
          <w:sz w:val="24"/>
          <w:szCs w:val="24"/>
        </w:rPr>
        <w:t xml:space="preserve"> </w:t>
      </w:r>
      <w:r w:rsidR="005C248C">
        <w:rPr>
          <w:rFonts w:ascii="Times New Roman" w:hAnsi="Times New Roman" w:cs="Times New Roman"/>
          <w:sz w:val="24"/>
          <w:szCs w:val="24"/>
        </w:rPr>
        <w:t xml:space="preserve">projecting their </w:t>
      </w:r>
      <w:r w:rsidR="00D76E64">
        <w:rPr>
          <w:rFonts w:ascii="Times New Roman" w:hAnsi="Times New Roman" w:cs="Times New Roman"/>
          <w:sz w:val="24"/>
          <w:szCs w:val="24"/>
        </w:rPr>
        <w:t xml:space="preserve">biases of these youth onto the reports of behavioral problems </w:t>
      </w:r>
      <w:r w:rsidR="00057F60">
        <w:rPr>
          <w:rFonts w:ascii="Times New Roman" w:hAnsi="Times New Roman" w:cs="Times New Roman"/>
          <w:sz w:val="24"/>
          <w:szCs w:val="24"/>
        </w:rPr>
        <w:t xml:space="preserve">as a form of prejudice. </w:t>
      </w:r>
      <w:r w:rsidR="00920A7B">
        <w:rPr>
          <w:rFonts w:ascii="Times New Roman" w:hAnsi="Times New Roman" w:cs="Times New Roman"/>
          <w:sz w:val="24"/>
          <w:szCs w:val="24"/>
        </w:rPr>
        <w:t>It may also be possible that</w:t>
      </w:r>
      <w:r w:rsidR="008B3FFA">
        <w:rPr>
          <w:rFonts w:ascii="Times New Roman" w:hAnsi="Times New Roman" w:cs="Times New Roman"/>
          <w:sz w:val="24"/>
          <w:szCs w:val="24"/>
        </w:rPr>
        <w:t xml:space="preserve"> LGBQ</w:t>
      </w:r>
      <w:r w:rsidR="00920A7B">
        <w:rPr>
          <w:rFonts w:ascii="Times New Roman" w:hAnsi="Times New Roman" w:cs="Times New Roman"/>
          <w:sz w:val="24"/>
          <w:szCs w:val="24"/>
        </w:rPr>
        <w:t xml:space="preserve"> </w:t>
      </w:r>
      <w:r w:rsidR="002F6310">
        <w:rPr>
          <w:rFonts w:ascii="Times New Roman" w:hAnsi="Times New Roman" w:cs="Times New Roman"/>
          <w:sz w:val="24"/>
          <w:szCs w:val="24"/>
        </w:rPr>
        <w:t xml:space="preserve">youth with </w:t>
      </w:r>
      <w:r w:rsidR="00A03F8A">
        <w:rPr>
          <w:rFonts w:ascii="Times New Roman" w:hAnsi="Times New Roman" w:cs="Times New Roman"/>
          <w:sz w:val="24"/>
          <w:szCs w:val="24"/>
        </w:rPr>
        <w:t xml:space="preserve">less attachments to their </w:t>
      </w:r>
      <w:proofErr w:type="gramStart"/>
      <w:r w:rsidR="00A03F8A">
        <w:rPr>
          <w:rFonts w:ascii="Times New Roman" w:hAnsi="Times New Roman" w:cs="Times New Roman"/>
          <w:sz w:val="24"/>
          <w:szCs w:val="24"/>
        </w:rPr>
        <w:t>caregiver</w:t>
      </w:r>
      <w:proofErr w:type="gramEnd"/>
      <w:r w:rsidR="00A03F8A">
        <w:rPr>
          <w:rFonts w:ascii="Times New Roman" w:hAnsi="Times New Roman" w:cs="Times New Roman"/>
          <w:sz w:val="24"/>
          <w:szCs w:val="24"/>
        </w:rPr>
        <w:t xml:space="preserve"> may be masking their behaviors to avoid conflict or potential rejection</w:t>
      </w:r>
      <w:r w:rsidR="009030B2">
        <w:rPr>
          <w:rFonts w:ascii="Times New Roman" w:hAnsi="Times New Roman" w:cs="Times New Roman"/>
          <w:sz w:val="24"/>
          <w:szCs w:val="24"/>
        </w:rPr>
        <w:t xml:space="preserve"> given the stakes are so high once involved with child welfare</w:t>
      </w:r>
      <w:r w:rsidR="00A03F8A">
        <w:rPr>
          <w:rFonts w:ascii="Times New Roman" w:hAnsi="Times New Roman" w:cs="Times New Roman"/>
          <w:sz w:val="24"/>
          <w:szCs w:val="24"/>
        </w:rPr>
        <w:t xml:space="preserve">. </w:t>
      </w:r>
      <w:r w:rsidR="00057F60">
        <w:rPr>
          <w:rFonts w:ascii="Times New Roman" w:hAnsi="Times New Roman" w:cs="Times New Roman"/>
          <w:sz w:val="24"/>
          <w:szCs w:val="24"/>
        </w:rPr>
        <w:t>Future research should include better measures of the youth’s quality of the relationship with their caregiver, including whether the caregiver is aware of their youth’s sexual orientation and gender identity.</w:t>
      </w:r>
      <w:r w:rsidR="00096920">
        <w:rPr>
          <w:rFonts w:ascii="Times New Roman" w:hAnsi="Times New Roman" w:cs="Times New Roman"/>
          <w:sz w:val="24"/>
          <w:szCs w:val="24"/>
        </w:rPr>
        <w:t xml:space="preserve"> These improved measures could help identify </w:t>
      </w:r>
      <w:proofErr w:type="gramStart"/>
      <w:r w:rsidR="00096920">
        <w:rPr>
          <w:rFonts w:ascii="Times New Roman" w:hAnsi="Times New Roman" w:cs="Times New Roman"/>
          <w:sz w:val="24"/>
          <w:szCs w:val="24"/>
        </w:rPr>
        <w:t>what about the</w:t>
      </w:r>
      <w:proofErr w:type="gramEnd"/>
      <w:r w:rsidR="00096920">
        <w:rPr>
          <w:rFonts w:ascii="Times New Roman" w:hAnsi="Times New Roman" w:cs="Times New Roman"/>
          <w:sz w:val="24"/>
          <w:szCs w:val="24"/>
        </w:rPr>
        <w:t xml:space="preserve"> caregiver relationship may be helpful or harmful for LGBQ youth’s well-being.</w:t>
      </w:r>
    </w:p>
    <w:p w14:paraId="25484FAE" w14:textId="77777777" w:rsidR="00442034" w:rsidRPr="00442034" w:rsidRDefault="00442034" w:rsidP="00442034">
      <w:pPr>
        <w:spacing w:line="480" w:lineRule="auto"/>
        <w:contextualSpacing/>
        <w:rPr>
          <w:rFonts w:ascii="Times New Roman" w:hAnsi="Times New Roman" w:cs="Times New Roman"/>
          <w:i/>
          <w:sz w:val="24"/>
          <w:szCs w:val="24"/>
        </w:rPr>
      </w:pPr>
      <w:r w:rsidRPr="00442034">
        <w:rPr>
          <w:rFonts w:ascii="Times New Roman" w:hAnsi="Times New Roman" w:cs="Times New Roman"/>
          <w:i/>
          <w:sz w:val="24"/>
          <w:szCs w:val="24"/>
        </w:rPr>
        <w:t>Limitations</w:t>
      </w:r>
    </w:p>
    <w:p w14:paraId="6225800E" w14:textId="2C616D20" w:rsidR="00442034" w:rsidRPr="00442034" w:rsidRDefault="00F47C3C" w:rsidP="00442034">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While the findings from this study are i</w:t>
      </w:r>
      <w:r w:rsidR="0033684E">
        <w:rPr>
          <w:rFonts w:ascii="Times New Roman" w:hAnsi="Times New Roman" w:cs="Times New Roman"/>
          <w:iCs/>
          <w:sz w:val="24"/>
          <w:szCs w:val="24"/>
        </w:rPr>
        <w:t xml:space="preserve">nteresting as they pertain to LGBQ youth, it is not without limitations. </w:t>
      </w:r>
      <w:r w:rsidR="00442034" w:rsidRPr="00442034">
        <w:rPr>
          <w:rFonts w:ascii="Times New Roman" w:hAnsi="Times New Roman" w:cs="Times New Roman"/>
          <w:iCs/>
          <w:sz w:val="24"/>
          <w:szCs w:val="24"/>
        </w:rPr>
        <w:t>A</w:t>
      </w:r>
      <w:r w:rsidR="0033684E">
        <w:rPr>
          <w:rFonts w:ascii="Times New Roman" w:hAnsi="Times New Roman" w:cs="Times New Roman"/>
          <w:iCs/>
          <w:sz w:val="24"/>
          <w:szCs w:val="24"/>
        </w:rPr>
        <w:t xml:space="preserve"> major</w:t>
      </w:r>
      <w:r w:rsidR="00442034" w:rsidRPr="00442034">
        <w:rPr>
          <w:rFonts w:ascii="Times New Roman" w:hAnsi="Times New Roman" w:cs="Times New Roman"/>
          <w:iCs/>
          <w:sz w:val="24"/>
          <w:szCs w:val="24"/>
        </w:rPr>
        <w:t xml:space="preserve"> limitation is that sexual orientation is only asked at Wave Three of NSCAW-II and is a self-reported measure by the youth, therefore it is unclear whether caregivers are aware of their youth’s sexual orientation. This could impact how caregivers report the behavioral problems of these youth and lead to different interpretations of the results.</w:t>
      </w:r>
      <w:r w:rsidR="002F0ACB">
        <w:rPr>
          <w:rFonts w:ascii="Times New Roman" w:hAnsi="Times New Roman" w:cs="Times New Roman"/>
          <w:iCs/>
          <w:sz w:val="24"/>
          <w:szCs w:val="24"/>
        </w:rPr>
        <w:t xml:space="preserve"> Additionally, </w:t>
      </w:r>
      <w:r w:rsidR="007D52E1">
        <w:rPr>
          <w:rFonts w:ascii="Times New Roman" w:hAnsi="Times New Roman" w:cs="Times New Roman"/>
          <w:iCs/>
          <w:sz w:val="24"/>
          <w:szCs w:val="24"/>
        </w:rPr>
        <w:t xml:space="preserve">the variable for the quality of the relationship with the youth’s caregiver only measures their current caregiver and not former caregivers or birth parents that may still </w:t>
      </w:r>
      <w:r w:rsidR="004F11AE">
        <w:rPr>
          <w:rFonts w:ascii="Times New Roman" w:hAnsi="Times New Roman" w:cs="Times New Roman"/>
          <w:iCs/>
          <w:sz w:val="24"/>
          <w:szCs w:val="24"/>
        </w:rPr>
        <w:t>exert influence on behaviors.</w:t>
      </w:r>
      <w:r w:rsidR="00442034" w:rsidRPr="00442034">
        <w:rPr>
          <w:rFonts w:ascii="Times New Roman" w:hAnsi="Times New Roman" w:cs="Times New Roman"/>
          <w:iCs/>
          <w:sz w:val="24"/>
          <w:szCs w:val="24"/>
        </w:rPr>
        <w:t xml:space="preserve"> </w:t>
      </w:r>
      <w:r w:rsidR="002F0ACB">
        <w:rPr>
          <w:rFonts w:ascii="Times New Roman" w:hAnsi="Times New Roman" w:cs="Times New Roman"/>
          <w:iCs/>
          <w:sz w:val="24"/>
          <w:szCs w:val="24"/>
        </w:rPr>
        <w:t xml:space="preserve">Another </w:t>
      </w:r>
      <w:r w:rsidR="00A2214D">
        <w:rPr>
          <w:rFonts w:ascii="Times New Roman" w:hAnsi="Times New Roman" w:cs="Times New Roman"/>
          <w:iCs/>
          <w:sz w:val="24"/>
          <w:szCs w:val="24"/>
        </w:rPr>
        <w:t xml:space="preserve">limitation was the amount of missing data on our variables of interest, limiting the sample size. </w:t>
      </w:r>
      <w:r w:rsidR="00442034" w:rsidRPr="00442034">
        <w:rPr>
          <w:rFonts w:ascii="Times New Roman" w:hAnsi="Times New Roman" w:cs="Times New Roman"/>
          <w:iCs/>
          <w:sz w:val="24"/>
          <w:szCs w:val="24"/>
        </w:rPr>
        <w:t xml:space="preserve">Additionally, this study is not causal and uses cross-sectional data by only analyzing one wave of NSCAW-II. </w:t>
      </w:r>
      <w:r w:rsidR="00442034" w:rsidRPr="00442034">
        <w:rPr>
          <w:rFonts w:ascii="Times New Roman" w:hAnsi="Times New Roman" w:cs="Times New Roman"/>
          <w:sz w:val="24"/>
          <w:szCs w:val="24"/>
        </w:rPr>
        <w:t xml:space="preserve">Future research will </w:t>
      </w:r>
      <w:r w:rsidR="0033684E">
        <w:rPr>
          <w:rFonts w:ascii="Times New Roman" w:hAnsi="Times New Roman" w:cs="Times New Roman"/>
          <w:sz w:val="24"/>
          <w:szCs w:val="24"/>
        </w:rPr>
        <w:t xml:space="preserve">need to </w:t>
      </w:r>
      <w:r w:rsidR="00442034" w:rsidRPr="00442034">
        <w:rPr>
          <w:rFonts w:ascii="Times New Roman" w:hAnsi="Times New Roman" w:cs="Times New Roman"/>
          <w:sz w:val="24"/>
          <w:szCs w:val="24"/>
        </w:rPr>
        <w:t xml:space="preserve">focus on these trends over time, as behavioral problems are expected to decrease over time among this population </w:t>
      </w:r>
      <w:r w:rsidR="00442034"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{"citationID":"hxfydVKj","properties":{"formattedCitation":"(McCrae 2009)","plainCitation":"(McCrae 2009)","noteIndex":0},"citationItems":[{"id":238,"uris":["http://zotero.org/users/7501598/items/6EKICFY4",["http://zotero.org/users/7501598/items/6EKICFY4"]],"itemData":{"id":238,"type":"article-journal","abstract":"Child welfare agencies are required to provide services that ensure that children receive adequate mental health care. This study provides a comprehensive view of the emotional and behavioral problems of children who are referred to child welfare services, using nationally representative data. Bivariate analyses compare rates by child demographics, and conditional probability tables present changes in clinical status. Results show that 62% of children have at least one clinical-level score over 3 years. Rates are highest at baseline. Posttraumatic stress most frequently improves, whereas thought, attention, and aggressive/ delinquent behavior problems are most persistent. Sexualized behavior is more common among White and Hispanic children, and boys are reported with more internalizing problems than do girls. Targeted services are needed for young children who experience posttraumatic stress, as is treatment for attention problems that accounts for both biological and environmental components. Distinguishing the effects of age, environment, and assessment methods on boys' internalizing problems is also critical.","container-title":"Journal of Emotional and Behavioral Disorders","DOI":"10.1177/1063426608319141","ISSN":"1063-4266","issue":"1","journalAbbreviation":"Journal of Emotional and Behavioral Disorders","language":"en","note":"publisher: SAGE Publications Inc","page":"17-28","source":"SAGE Journals","title":"Emotional and Behavioral Problems Reported in Child Welfare Over 3 Years","volume":"17","author":[{"family":"McCrae","given":"Julie S."}],"issued":{"date-parts":[["2009",3,1]]}}}],"schema":"https://github.com/citation-style-language/schema/raw/master/csl-citation.json"} </w:instrText>
      </w:r>
      <w:r w:rsidR="00442034"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(McCrae 2009)</w:t>
      </w:r>
      <w:r w:rsidR="00442034" w:rsidRPr="00442034">
        <w:rPr>
          <w:rFonts w:ascii="Times New Roman" w:hAnsi="Times New Roman" w:cs="Times New Roman"/>
          <w:sz w:val="24"/>
          <w:szCs w:val="24"/>
        </w:rPr>
        <w:fldChar w:fldCharType="end"/>
      </w:r>
      <w:r w:rsidR="00442034" w:rsidRPr="00442034">
        <w:rPr>
          <w:rFonts w:ascii="Times New Roman" w:hAnsi="Times New Roman" w:cs="Times New Roman"/>
          <w:sz w:val="24"/>
          <w:szCs w:val="24"/>
        </w:rPr>
        <w:t xml:space="preserve">. Finally, looking at other protective factors such as the relationships </w:t>
      </w:r>
      <w:r w:rsidR="00442034" w:rsidRPr="00442034">
        <w:rPr>
          <w:rFonts w:ascii="Times New Roman" w:hAnsi="Times New Roman" w:cs="Times New Roman"/>
          <w:sz w:val="24"/>
          <w:szCs w:val="24"/>
        </w:rPr>
        <w:lastRenderedPageBreak/>
        <w:t xml:space="preserve">with peers and the overall support within the community may also influence youth’s well-being and help explain disparate outcomes between LGBQ youth and their heterosexual peers. </w:t>
      </w:r>
    </w:p>
    <w:p w14:paraId="53AE7B9E" w14:textId="77777777" w:rsidR="00442034" w:rsidRPr="00442034" w:rsidRDefault="00442034" w:rsidP="00442034">
      <w:pPr>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t>Conclusion</w:t>
      </w:r>
    </w:p>
    <w:p w14:paraId="67C930C4" w14:textId="6047179A" w:rsidR="00442034" w:rsidRPr="00442034" w:rsidRDefault="00442034" w:rsidP="00442034">
      <w:pPr>
        <w:spacing w:line="480" w:lineRule="auto"/>
        <w:rPr>
          <w:rFonts w:ascii="Times New Roman" w:hAnsi="Times New Roman" w:cs="Times New Roman"/>
          <w:sz w:val="24"/>
          <w:szCs w:val="24"/>
        </w:rPr>
      </w:pPr>
      <w:r w:rsidRPr="00442034">
        <w:rPr>
          <w:rFonts w:ascii="Times New Roman" w:hAnsi="Times New Roman" w:cs="Times New Roman"/>
          <w:sz w:val="24"/>
          <w:szCs w:val="24"/>
        </w:rPr>
        <w:tab/>
        <w:t xml:space="preserve">Implications of this study include a focus on parent or caregiver interventions to support the well-being of youth </w:t>
      </w:r>
      <w:r w:rsidR="00450286">
        <w:rPr>
          <w:rFonts w:ascii="Times New Roman" w:hAnsi="Times New Roman" w:cs="Times New Roman"/>
          <w:sz w:val="24"/>
          <w:szCs w:val="24"/>
        </w:rPr>
        <w:t>involved in the child welfare system</w:t>
      </w:r>
      <w:r w:rsidRPr="00442034">
        <w:rPr>
          <w:rFonts w:ascii="Times New Roman" w:hAnsi="Times New Roman" w:cs="Times New Roman"/>
          <w:sz w:val="24"/>
          <w:szCs w:val="24"/>
        </w:rPr>
        <w:t xml:space="preserve">, specifically for LGBQ youth. Though LGBQ youth show higher predicted probabilities of internalizing and externalizing behaviors as their perception the relationship with their caregiver increased, this may be the result of their caregiver being aware of their well-being and could lead to potential service involvement. Evidence-supported interventions found to promote well-being among LGBQ youth in </w:t>
      </w:r>
      <w:r w:rsidR="00450286">
        <w:rPr>
          <w:rFonts w:ascii="Times New Roman" w:hAnsi="Times New Roman" w:cs="Times New Roman"/>
          <w:sz w:val="24"/>
          <w:szCs w:val="24"/>
        </w:rPr>
        <w:t>child welfare</w:t>
      </w:r>
      <w:r w:rsidRPr="00442034">
        <w:rPr>
          <w:rFonts w:ascii="Times New Roman" w:hAnsi="Times New Roman" w:cs="Times New Roman"/>
          <w:sz w:val="24"/>
          <w:szCs w:val="24"/>
        </w:rPr>
        <w:t xml:space="preserve"> include the AFFIRM caregiver model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{"citationID":"130HLzvM","properties":{"formattedCitation":"(Austin et al. 2021)","plainCitation":"(Austin et al. 2021)","noteIndex":0},"citationItems":[{"id":347,"uris":["http://zotero.org/users/7501598/items/8WLIDVHL"],"itemData":{"id":347,"type":"article-journal","abstract":"Lesbian, gay, bisexual, transgender, or questioning (LGBTQ+) youth are notably overrepresented in the foster care system, often entering the child welfare system because of abuse or neglect associated with familial rejection of youths’ sexual orientation, gender identity, and/or gender expression. LGBTQ+ foster youth are often exposed to identity-based victimization within the foster care system. There is a call for evidence-informed interventions aimed at improving the well-being of LGBTQ+ youth in systems of care. This study examines the initial effec­ tiveness of AFFIRM Caregiver, a 7-session, manualized intervention aimed at enhancing affirmative parenting practices among foster parents. AFFIRM Caregiver was delivered to foster parents (n = 103) at two U.S. sites. Findings indicate significant improvements in affirmative caregiving attitudes, behaviors, and self-efficacy at post-test, as well as at the 3-month follow-up assessment. Given positive preliminary results, AFFIRM Caregiver represents a promising option to address a particularly notable challenge to the safety and well-being of LGBTQ+ youth in care.","container-title":"Children and Youth Services Review","DOI":"10.1016/j.childyouth.2021.106107","ISSN":"01907409","journalAbbreviation":"Children and Youth Services Review","language":"en","page":"106107","source":"DOI.org (Crossref)","title":"Preliminary effectiveness of an LGBTQ+ affirmative parenting intervention with foster parents","volume":"127","author":[{"family":"Austin","given":"Ashley"},{"family":"Craig","given":"Shelley L."},{"family":"Matarese","given":"Marlene"},{"family":"Greeno","given":"Elizabeth J."},{"family":"Weeks","given":"Angela"},{"family":"Betsinger","given":"S. Aaron"}],"issued":{"date-parts":[["2021",8]]}}}],"schema":"https://github.com/citation-style-language/schema/raw/master/csl-citation.json"}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(Austin et al. 2021)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and the </w:t>
      </w:r>
      <w:r w:rsidRPr="00442034">
        <w:rPr>
          <w:rFonts w:ascii="Times New Roman" w:hAnsi="Times New Roman" w:cs="Times New Roman"/>
          <w:i/>
          <w:iCs/>
          <w:sz w:val="24"/>
          <w:szCs w:val="24"/>
        </w:rPr>
        <w:t>Connecting</w:t>
      </w:r>
      <w:r w:rsidRPr="00442034">
        <w:rPr>
          <w:rFonts w:ascii="Times New Roman" w:hAnsi="Times New Roman" w:cs="Times New Roman"/>
          <w:sz w:val="24"/>
          <w:szCs w:val="24"/>
        </w:rPr>
        <w:t xml:space="preserve"> program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{"citationID":"NhALmzuT","properties":{"formattedCitation":"(Salazar et al. 2020)","plainCitation":"(Salazar et al. 2020)","noteIndex":0},"citationItems":[{"id":348,"uris":["http://zotero.org/users/7501598/items/3G6IPJPV"],"itemData":{"id":348,"type":"article-journal","abstract":"LGBTQ+ youth are over-represented in the foster care system. Child welfare systems across the country have been struggling with how to make their systems work better for the LGBTQ+ youth they serve. One strategy is developing foster caregiver trainings that bolster caregivers’ knowledge and support of LGBTQ+ youth in their care. This study has three aims: (1) to provide an overview of a module designed to support relationship building between LGBTQ+ youth in foster care and their caregivers, (2) to describe the theater testing procedure used to assess usability of the developed module with foster caregivers and adults, and (3) to share the results of the theater test. Overall, participants provided positive usability feedback about the module activities, as well as a wide variety of recommendations for strengthening the content for widespread use. Participants felt the module should be directed specifically toward caregiver skill development rather than toward both caregiver and youth support. This module represents one example of how materials focused on building foster caregivers’ knowledge and support have the potential to help LGBTQ+ teens who are overrepresented in the foster care system.","container-title":"Sexuality research &amp; social policy : journal of NSRC : SR &amp; SP","DOI":"10.1007/s13178-019-00387-z","ISSN":"1868-9884","issue":"2","journalAbbreviation":"Sex Res Social Policy","note":"PMID: 32431761\nPMCID: PMC7236553","page":"239-251","source":"PubMed Central","title":"Supporting LGBTQ+ Foster Teens: Development of a Relationship-Focused, Self-Guided Curriculum for Foster Families","title-short":"Supporting LGBTQ+ Foster Teens","volume":"17","author":[{"family":"Salazar","given":"Amy M."},{"family":"Haggerty","given":"Kevin P."},{"family":"Barkan","given":"Susan E."},{"family":"Peterson","given":"Rachel"},{"family":"Furlong","given":"Madeline E."},{"family":"Kim","given":"Eunsaem"},{"family":"Cole","given":"Janice J."},{"family":"Colito","given":"Jessica M."}],"issued":{"date-parts":[["2020",6]]}}}],"schema":"https://github.com/citation-style-language/schema/raw/master/csl-citation.json"}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(Salazar et al. 2020)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These interventions have found that by improving the relationship between LGBQ youth and their caregivers, and promoting acceptance of their sexual orientation and identity rather than rejection, problem behaviors and permanency outcomes can be improved for these youth by providing knowledge, support, and access to tailored services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{"citationID":"KW7dY2ou","properties":{"formattedCitation":"(Salazar et al. 2020)","plainCitation":"(Salazar et al. 2020)","noteIndex":0},"citationItems":[{"id":348,"uris":["http://zotero.org/users/7501598/items/3G6IPJPV"],"itemData":{"id":348,"type":"article-journal","abstract":"LGBTQ+ youth are over-represented in the foster care system. Child welfare systems across the country have been struggling with how to make their systems work better for the LGBTQ+ youth they serve. One strategy is developing foster caregiver trainings that bolster caregivers’ knowledge and support of LGBTQ+ youth in their care. This study has three aims: (1) to provide an overview of a module designed to support relationship building between LGBTQ+ youth in foster care and their caregivers, (2) to describe the theater testing procedure used to assess usability of the developed module with foster caregivers and adults, and (3) to share the results of the theater test. Overall, participants provided positive usability feedback about the module activities, as well as a wide variety of recommendations for strengthening the content for widespread use. Participants felt the module should be directed specifically toward caregiver skill development rather than toward both caregiver and youth support. This module represents one example of how materials focused on building foster caregivers’ knowledge and support have the potential to help LGBTQ+ teens who are overrepresented in the foster care system.","container-title":"Sexuality research &amp; social policy : journal of NSRC : SR &amp; SP","DOI":"10.1007/s13178-019-00387-z","ISSN":"1868-9884","issue":"2","journalAbbreviation":"Sex Res Social Policy","note":"PMID: 32431761\nPMCID: PMC7236553","page":"239-251","source":"PubMed Central","title":"Supporting LGBTQ+ Foster Teens: Development of a Relationship-Focused, Self-Guided Curriculum for Foster Families","title-short":"Supporting LGBTQ+ Foster Teens","volume":"17","author":[{"family":"Salazar","given":"Amy M."},{"family":"Haggerty","given":"Kevin P."},{"family":"Barkan","given":"Susan E."},{"family":"Peterson","given":"Rachel"},{"family":"Furlong","given":"Madeline E."},{"family":"Kim","given":"Eunsaem"},{"family":"Cole","given":"Janice J."},{"family":"Colito","given":"Jessica M."}],"issued":{"date-parts":[["2020",6]]}}}],"schema":"https://github.com/citation-style-language/schema/raw/master/csl-citation.json"} </w:instrText>
      </w:r>
      <w:r w:rsidRPr="00442034">
        <w:rPr>
          <w:rFonts w:ascii="Times New Roman" w:hAnsi="Times New Roman" w:cs="Times New Roman"/>
          <w:sz w:val="24"/>
          <w:szCs w:val="24"/>
        </w:rPr>
        <w:fldChar w:fldCharType="separate"/>
      </w:r>
      <w:r w:rsidR="006B1B57">
        <w:rPr>
          <w:rFonts w:ascii="Times New Roman" w:hAnsi="Times New Roman" w:cs="Times New Roman"/>
          <w:noProof/>
          <w:sz w:val="24"/>
          <w:szCs w:val="24"/>
        </w:rPr>
        <w:t>(Salazar et al. 2020)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Programs and policies should continue to focus on the well-being of this vulnerable population and provide much needed resources to improve outcomes while in </w:t>
      </w:r>
      <w:r w:rsidR="00450286">
        <w:rPr>
          <w:rFonts w:ascii="Times New Roman" w:hAnsi="Times New Roman" w:cs="Times New Roman"/>
          <w:sz w:val="24"/>
          <w:szCs w:val="24"/>
        </w:rPr>
        <w:t>the child welfare system</w:t>
      </w:r>
      <w:r w:rsidRPr="00442034">
        <w:rPr>
          <w:rFonts w:ascii="Times New Roman" w:hAnsi="Times New Roman" w:cs="Times New Roman"/>
          <w:sz w:val="24"/>
          <w:szCs w:val="24"/>
        </w:rPr>
        <w:t xml:space="preserve"> and into adulthood for LGBQ youth.</w:t>
      </w:r>
    </w:p>
    <w:p w14:paraId="2C60BD46" w14:textId="77777777" w:rsidR="00442034" w:rsidRPr="00442034" w:rsidRDefault="00442034" w:rsidP="00442034">
      <w:pPr>
        <w:spacing w:line="480" w:lineRule="auto"/>
        <w:rPr>
          <w:rFonts w:ascii="Times New Roman" w:hAnsi="Times New Roman" w:cs="Times New Roman"/>
          <w:sz w:val="24"/>
          <w:szCs w:val="24"/>
        </w:rPr>
      </w:pPr>
      <w:r w:rsidRPr="00442034">
        <w:rPr>
          <w:rFonts w:ascii="Times New Roman" w:hAnsi="Times New Roman" w:cs="Times New Roman"/>
          <w:sz w:val="24"/>
          <w:szCs w:val="24"/>
        </w:rPr>
        <w:br w:type="page"/>
      </w:r>
    </w:p>
    <w:p w14:paraId="1649F9C1" w14:textId="0463945A" w:rsidR="00442034" w:rsidRPr="00BA59AB" w:rsidRDefault="00BA59AB" w:rsidP="00BA59AB">
      <w:pPr>
        <w:pStyle w:val="Bibliography"/>
        <w:ind w:left="0" w:firstLine="0"/>
        <w:rPr>
          <w:rFonts w:ascii="Times New Roman" w:hAnsi="Times New Roman" w:cs="Times New Roman"/>
          <w:sz w:val="24"/>
          <w:szCs w:val="24"/>
        </w:rPr>
      </w:pPr>
      <w:r>
        <w:rPr>
          <w:rFonts w:ascii="Times New Roman" w:hAnsi="Times New Roman" w:cs="Times New Roman"/>
          <w:sz w:val="24"/>
          <w:szCs w:val="24"/>
        </w:rPr>
        <w:lastRenderedPageBreak/>
        <w:t>REFERENCES</w:t>
      </w:r>
    </w:p>
    <w:p w14:paraId="446F03B3" w14:textId="4AB556A7"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fldChar w:fldCharType="begin"/>
      </w:r>
      <w:r w:rsidRPr="009B765A">
        <w:rPr>
          <w:rFonts w:ascii="Times New Roman" w:hAnsi="Times New Roman" w:cs="Times New Roman"/>
        </w:rPr>
        <w:instrText xml:space="preserve"> ADDIN ZOTERO_BIBL {"uncited":[],"omitted":[],"custom":[]} CSL_BIBLIOGRAPHY </w:instrText>
      </w:r>
      <w:r w:rsidRPr="009B765A">
        <w:rPr>
          <w:rFonts w:ascii="Times New Roman" w:hAnsi="Times New Roman" w:cs="Times New Roman"/>
        </w:rPr>
        <w:fldChar w:fldCharType="separate"/>
      </w:r>
      <w:r w:rsidRPr="009B765A">
        <w:rPr>
          <w:rFonts w:ascii="Times New Roman" w:hAnsi="Times New Roman" w:cs="Times New Roman"/>
        </w:rPr>
        <w:t xml:space="preserve">Aarons, G. A., James, S., Monn, A. R., Raghavan, R., Wells, R. S., &amp; Leslie, L. K. (2010). Behavior Problems and Placement Change in a National Child Welfare Sample: A Prospective Study. </w:t>
      </w:r>
      <w:r w:rsidRPr="009B765A">
        <w:rPr>
          <w:rFonts w:ascii="Times New Roman" w:hAnsi="Times New Roman" w:cs="Times New Roman"/>
          <w:i/>
          <w:iCs/>
        </w:rPr>
        <w:t>Journal of the American Academy of Child &amp; Adolescent Psychiatry</w:t>
      </w:r>
      <w:r w:rsidRPr="009B765A">
        <w:rPr>
          <w:rFonts w:ascii="Times New Roman" w:hAnsi="Times New Roman" w:cs="Times New Roman"/>
        </w:rPr>
        <w:t xml:space="preserve">, </w:t>
      </w:r>
      <w:r w:rsidRPr="009B765A">
        <w:rPr>
          <w:rFonts w:ascii="Times New Roman" w:hAnsi="Times New Roman" w:cs="Times New Roman"/>
          <w:i/>
          <w:iCs/>
        </w:rPr>
        <w:t>49</w:t>
      </w:r>
      <w:r w:rsidRPr="009B765A">
        <w:rPr>
          <w:rFonts w:ascii="Times New Roman" w:hAnsi="Times New Roman" w:cs="Times New Roman"/>
        </w:rPr>
        <w:t>(1), 70–80. https://doi.org/10.1016/j.jaac.2009.09.005</w:t>
      </w:r>
    </w:p>
    <w:p w14:paraId="47F8FEE9" w14:textId="4B4644FE"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Achenbach, T. M. (1991). Manual for The Child Behavior Checklist/4-18 and 1991 Profile. </w:t>
      </w:r>
      <w:r w:rsidRPr="009B765A">
        <w:rPr>
          <w:rFonts w:ascii="Times New Roman" w:hAnsi="Times New Roman" w:cs="Times New Roman"/>
          <w:i/>
          <w:iCs/>
        </w:rPr>
        <w:t>University of Vermont, Department of Psychiatry</w:t>
      </w:r>
      <w:r w:rsidRPr="009B765A">
        <w:rPr>
          <w:rFonts w:ascii="Times New Roman" w:hAnsi="Times New Roman" w:cs="Times New Roman"/>
        </w:rPr>
        <w:t>. https://ci.nii.ac.jp/naid/20001666977/</w:t>
      </w:r>
    </w:p>
    <w:p w14:paraId="684CA319" w14:textId="4B4208A0"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Achenbach, T. M. (1999). The Child Behavior Checklist and related instruments. In </w:t>
      </w:r>
      <w:r w:rsidRPr="009B765A">
        <w:rPr>
          <w:rFonts w:ascii="Times New Roman" w:hAnsi="Times New Roman" w:cs="Times New Roman"/>
          <w:i/>
          <w:iCs/>
        </w:rPr>
        <w:t>The use of psychological testing for treatment planning and outcomes assessment, 2nd ed</w:t>
      </w:r>
      <w:r w:rsidRPr="009B765A">
        <w:rPr>
          <w:rFonts w:ascii="Times New Roman" w:hAnsi="Times New Roman" w:cs="Times New Roman"/>
        </w:rPr>
        <w:t xml:space="preserve"> (pp. 429–466). Lawrence Erlbaum Associates Publishers.</w:t>
      </w:r>
    </w:p>
    <w:p w14:paraId="017A66A9" w14:textId="2875C5D9"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Austin, A., Craig, S. L., Matarese, M., Greeno, E. J., Weeks, A., &amp; Betsinger, S. A. (2021). Preliminary effectiveness of an LGBTQ+ affirmative parenting intervention with foster parents. </w:t>
      </w:r>
      <w:r w:rsidRPr="009B765A">
        <w:rPr>
          <w:rFonts w:ascii="Times New Roman" w:hAnsi="Times New Roman" w:cs="Times New Roman"/>
          <w:i/>
          <w:iCs/>
        </w:rPr>
        <w:t>Children and Youth Services Review</w:t>
      </w:r>
      <w:r w:rsidRPr="009B765A">
        <w:rPr>
          <w:rFonts w:ascii="Times New Roman" w:hAnsi="Times New Roman" w:cs="Times New Roman"/>
        </w:rPr>
        <w:t xml:space="preserve">, </w:t>
      </w:r>
      <w:r w:rsidRPr="009B765A">
        <w:rPr>
          <w:rFonts w:ascii="Times New Roman" w:hAnsi="Times New Roman" w:cs="Times New Roman"/>
          <w:i/>
          <w:iCs/>
        </w:rPr>
        <w:t>127</w:t>
      </w:r>
      <w:r w:rsidRPr="009B765A">
        <w:rPr>
          <w:rFonts w:ascii="Times New Roman" w:hAnsi="Times New Roman" w:cs="Times New Roman"/>
        </w:rPr>
        <w:t>, 106107. https://doi.org/10.1016/j.childyouth.2021.106107</w:t>
      </w:r>
    </w:p>
    <w:p w14:paraId="3F5B68E4" w14:textId="616B8AE0"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Austin, P. C., Jembere, N., &amp; Chiu, M. (2018). Propensity score matching and complex surveys. </w:t>
      </w:r>
      <w:r w:rsidRPr="009B765A">
        <w:rPr>
          <w:rFonts w:ascii="Times New Roman" w:hAnsi="Times New Roman" w:cs="Times New Roman"/>
          <w:i/>
          <w:iCs/>
        </w:rPr>
        <w:t>Statistical Methods in Medical Research</w:t>
      </w:r>
      <w:r w:rsidRPr="009B765A">
        <w:rPr>
          <w:rFonts w:ascii="Times New Roman" w:hAnsi="Times New Roman" w:cs="Times New Roman"/>
        </w:rPr>
        <w:t xml:space="preserve">, </w:t>
      </w:r>
      <w:r w:rsidRPr="009B765A">
        <w:rPr>
          <w:rFonts w:ascii="Times New Roman" w:hAnsi="Times New Roman" w:cs="Times New Roman"/>
          <w:i/>
          <w:iCs/>
        </w:rPr>
        <w:t>27</w:t>
      </w:r>
      <w:r w:rsidRPr="009B765A">
        <w:rPr>
          <w:rFonts w:ascii="Times New Roman" w:hAnsi="Times New Roman" w:cs="Times New Roman"/>
        </w:rPr>
        <w:t>(4), 1240–1257. https://doi.org/10.1177/0962280216658920</w:t>
      </w:r>
    </w:p>
    <w:p w14:paraId="459F4D7A" w14:textId="49C6A65A"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Barber, J. G., &amp; Delfabbro, P. H. (2003). Placement Stability and the Psychosocial Well-Being of Children in Foster Care. </w:t>
      </w:r>
      <w:r w:rsidRPr="009B765A">
        <w:rPr>
          <w:rFonts w:ascii="Times New Roman" w:hAnsi="Times New Roman" w:cs="Times New Roman"/>
          <w:i/>
          <w:iCs/>
        </w:rPr>
        <w:t>Research on Social Work Practice</w:t>
      </w:r>
      <w:r w:rsidRPr="009B765A">
        <w:rPr>
          <w:rFonts w:ascii="Times New Roman" w:hAnsi="Times New Roman" w:cs="Times New Roman"/>
        </w:rPr>
        <w:t xml:space="preserve">, </w:t>
      </w:r>
      <w:r w:rsidRPr="009B765A">
        <w:rPr>
          <w:rFonts w:ascii="Times New Roman" w:hAnsi="Times New Roman" w:cs="Times New Roman"/>
          <w:i/>
          <w:iCs/>
        </w:rPr>
        <w:t>13</w:t>
      </w:r>
      <w:r w:rsidRPr="009B765A">
        <w:rPr>
          <w:rFonts w:ascii="Times New Roman" w:hAnsi="Times New Roman" w:cs="Times New Roman"/>
        </w:rPr>
        <w:t>(4), 415–431. https://doi.org/10.1177/1049731503013004001</w:t>
      </w:r>
    </w:p>
    <w:p w14:paraId="4F1E1143" w14:textId="5AEDE68D"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Barth, R. P., Lloyd, E. C., Green, R. L., James, S., Leslie, L. K., &amp; Landsverk, J. (2007). Predictors of Placement Moves Among Children With and Without Emotional and Behavioral Disorders. </w:t>
      </w:r>
      <w:r w:rsidRPr="009B765A">
        <w:rPr>
          <w:rFonts w:ascii="Times New Roman" w:hAnsi="Times New Roman" w:cs="Times New Roman"/>
          <w:i/>
          <w:iCs/>
        </w:rPr>
        <w:t>Journal of Emotional and Behavioral Disorders</w:t>
      </w:r>
      <w:r w:rsidRPr="009B765A">
        <w:rPr>
          <w:rFonts w:ascii="Times New Roman" w:hAnsi="Times New Roman" w:cs="Times New Roman"/>
        </w:rPr>
        <w:t xml:space="preserve">, </w:t>
      </w:r>
      <w:r w:rsidRPr="009B765A">
        <w:rPr>
          <w:rFonts w:ascii="Times New Roman" w:hAnsi="Times New Roman" w:cs="Times New Roman"/>
          <w:i/>
          <w:iCs/>
        </w:rPr>
        <w:t>15</w:t>
      </w:r>
      <w:r w:rsidRPr="009B765A">
        <w:rPr>
          <w:rFonts w:ascii="Times New Roman" w:hAnsi="Times New Roman" w:cs="Times New Roman"/>
        </w:rPr>
        <w:t>(1), 46–55. https://doi.org/10.1177/10634266070150010501</w:t>
      </w:r>
    </w:p>
    <w:p w14:paraId="5919FB3C" w14:textId="6118F5E8"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Berger, L. M., Bruch, S. K., Johnson, E. I., James, S., &amp; Rubin, D. (2009). Estimating the “Impact” of Out-of-Home Placement on Child Well-Being: Approaching the Problem of Selection Bias. </w:t>
      </w:r>
      <w:r w:rsidRPr="009B765A">
        <w:rPr>
          <w:rFonts w:ascii="Times New Roman" w:hAnsi="Times New Roman" w:cs="Times New Roman"/>
          <w:i/>
          <w:iCs/>
        </w:rPr>
        <w:t>Child Development</w:t>
      </w:r>
      <w:r w:rsidRPr="009B765A">
        <w:rPr>
          <w:rFonts w:ascii="Times New Roman" w:hAnsi="Times New Roman" w:cs="Times New Roman"/>
        </w:rPr>
        <w:t xml:space="preserve">, </w:t>
      </w:r>
      <w:r w:rsidRPr="009B765A">
        <w:rPr>
          <w:rFonts w:ascii="Times New Roman" w:hAnsi="Times New Roman" w:cs="Times New Roman"/>
          <w:i/>
          <w:iCs/>
        </w:rPr>
        <w:t>80</w:t>
      </w:r>
      <w:r w:rsidRPr="009B765A">
        <w:rPr>
          <w:rFonts w:ascii="Times New Roman" w:hAnsi="Times New Roman" w:cs="Times New Roman"/>
        </w:rPr>
        <w:t>(6), 1856–1876. https://doi.org/10.1111/j.1467-8624.2009.01372.x</w:t>
      </w:r>
    </w:p>
    <w:p w14:paraId="54C80F1A" w14:textId="77777777" w:rsidR="009709EA" w:rsidRPr="009B765A" w:rsidRDefault="009709EA" w:rsidP="009709EA">
      <w:pPr>
        <w:pStyle w:val="Bibliography"/>
        <w:rPr>
          <w:rFonts w:ascii="Times New Roman" w:hAnsi="Times New Roman" w:cs="Times New Roman"/>
        </w:rPr>
      </w:pPr>
      <w:r w:rsidRPr="009B765A">
        <w:rPr>
          <w:rFonts w:ascii="Times New Roman" w:hAnsi="Times New Roman" w:cs="Times New Roman"/>
        </w:rPr>
        <w:t xml:space="preserve">Brooks, V. R. (1981). </w:t>
      </w:r>
      <w:r w:rsidRPr="009B765A">
        <w:rPr>
          <w:rFonts w:ascii="Times New Roman" w:hAnsi="Times New Roman" w:cs="Times New Roman"/>
          <w:i/>
          <w:iCs/>
        </w:rPr>
        <w:t>Minority stress and lesbian women / Virginia R. Brooks.</w:t>
      </w:r>
      <w:r w:rsidRPr="009B765A">
        <w:rPr>
          <w:rFonts w:ascii="Times New Roman" w:hAnsi="Times New Roman" w:cs="Times New Roman"/>
        </w:rPr>
        <w:t xml:space="preserve"> Lexington Books.</w:t>
      </w:r>
    </w:p>
    <w:p w14:paraId="6379D77F" w14:textId="23059A44"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Button, D. M. (2019). Contextualizing LGB Youth’s Experiences With Victimization and Risky Behaviors: A Qualitative Approach to General Strain Theory. </w:t>
      </w:r>
      <w:r w:rsidRPr="009B765A">
        <w:rPr>
          <w:rFonts w:ascii="Times New Roman" w:hAnsi="Times New Roman" w:cs="Times New Roman"/>
          <w:i/>
          <w:iCs/>
        </w:rPr>
        <w:t>Feminist Criminology</w:t>
      </w:r>
      <w:r w:rsidRPr="009B765A">
        <w:rPr>
          <w:rFonts w:ascii="Times New Roman" w:hAnsi="Times New Roman" w:cs="Times New Roman"/>
        </w:rPr>
        <w:t xml:space="preserve">, </w:t>
      </w:r>
      <w:r w:rsidRPr="009B765A">
        <w:rPr>
          <w:rFonts w:ascii="Times New Roman" w:hAnsi="Times New Roman" w:cs="Times New Roman"/>
          <w:i/>
          <w:iCs/>
        </w:rPr>
        <w:t>14</w:t>
      </w:r>
      <w:r w:rsidRPr="009B765A">
        <w:rPr>
          <w:rFonts w:ascii="Times New Roman" w:hAnsi="Times New Roman" w:cs="Times New Roman"/>
        </w:rPr>
        <w:t>(4), 441–465. https://doi.org/10.1177/1557085118789792</w:t>
      </w:r>
    </w:p>
    <w:p w14:paraId="544D1BB2" w14:textId="77777777" w:rsidR="009709EA" w:rsidRPr="009B765A" w:rsidRDefault="009709EA" w:rsidP="009709EA">
      <w:pPr>
        <w:pStyle w:val="Bibliography"/>
        <w:rPr>
          <w:rFonts w:ascii="Times New Roman" w:hAnsi="Times New Roman" w:cs="Times New Roman"/>
        </w:rPr>
      </w:pPr>
      <w:r w:rsidRPr="009B765A">
        <w:rPr>
          <w:rFonts w:ascii="Times New Roman" w:hAnsi="Times New Roman" w:cs="Times New Roman"/>
        </w:rPr>
        <w:t xml:space="preserve">Catalano, R. F., Oxford, M. L., Harachi, T. W., Abbott, R. D., &amp; Haggerty, K. P. (1999). A test of the social development model to predict problem behaviour during the elementary school period. </w:t>
      </w:r>
      <w:r w:rsidRPr="009B765A">
        <w:rPr>
          <w:rFonts w:ascii="Times New Roman" w:hAnsi="Times New Roman" w:cs="Times New Roman"/>
          <w:i/>
          <w:iCs/>
        </w:rPr>
        <w:t>Criminal Behaviour and Mental Health</w:t>
      </w:r>
      <w:r w:rsidRPr="009B765A">
        <w:rPr>
          <w:rFonts w:ascii="Times New Roman" w:hAnsi="Times New Roman" w:cs="Times New Roman"/>
        </w:rPr>
        <w:t xml:space="preserve">, </w:t>
      </w:r>
      <w:r w:rsidRPr="009B765A">
        <w:rPr>
          <w:rFonts w:ascii="Times New Roman" w:hAnsi="Times New Roman" w:cs="Times New Roman"/>
          <w:i/>
          <w:iCs/>
        </w:rPr>
        <w:t>9</w:t>
      </w:r>
      <w:r w:rsidRPr="009B765A">
        <w:rPr>
          <w:rFonts w:ascii="Times New Roman" w:hAnsi="Times New Roman" w:cs="Times New Roman"/>
        </w:rPr>
        <w:t>(1), 39–56. https://doi.org/10.1002/cbm.290</w:t>
      </w:r>
    </w:p>
    <w:p w14:paraId="1A575656" w14:textId="0485647D"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Cederbaum, J. A., He, A. S., Fulginiti, A., Sullivan, K., Krauss, M. D., Amutah, N., &amp; Pohle, C. (2017). Caregiver qualities, family closeness, and the well-being of adolescents engaged in the child welfare system. </w:t>
      </w:r>
      <w:r w:rsidRPr="009B765A">
        <w:rPr>
          <w:rFonts w:ascii="Times New Roman" w:hAnsi="Times New Roman" w:cs="Times New Roman"/>
          <w:i/>
          <w:iCs/>
        </w:rPr>
        <w:t>Children and Youth Services Review</w:t>
      </w:r>
      <w:r w:rsidRPr="009B765A">
        <w:rPr>
          <w:rFonts w:ascii="Times New Roman" w:hAnsi="Times New Roman" w:cs="Times New Roman"/>
        </w:rPr>
        <w:t xml:space="preserve">, </w:t>
      </w:r>
      <w:r w:rsidRPr="009B765A">
        <w:rPr>
          <w:rFonts w:ascii="Times New Roman" w:hAnsi="Times New Roman" w:cs="Times New Roman"/>
          <w:i/>
          <w:iCs/>
        </w:rPr>
        <w:t>73</w:t>
      </w:r>
      <w:r w:rsidRPr="009B765A">
        <w:rPr>
          <w:rFonts w:ascii="Times New Roman" w:hAnsi="Times New Roman" w:cs="Times New Roman"/>
        </w:rPr>
        <w:t>, 113–120. https://doi.org/10.1016/j.childyouth.2016.12.007</w:t>
      </w:r>
    </w:p>
    <w:p w14:paraId="16D05A17" w14:textId="259AFAA8"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lastRenderedPageBreak/>
        <w:t xml:space="preserve">Cole, P. M., Michel, M. K., &amp; Teti, L. O. (1994). The development of emotion regulation and dysregulation: A clinical perspective. </w:t>
      </w:r>
      <w:r w:rsidRPr="009B765A">
        <w:rPr>
          <w:rFonts w:ascii="Times New Roman" w:hAnsi="Times New Roman" w:cs="Times New Roman"/>
          <w:i/>
          <w:iCs/>
        </w:rPr>
        <w:t>Monographs of the Society for Research in Child Development</w:t>
      </w:r>
      <w:r w:rsidRPr="009B765A">
        <w:rPr>
          <w:rFonts w:ascii="Times New Roman" w:hAnsi="Times New Roman" w:cs="Times New Roman"/>
        </w:rPr>
        <w:t xml:space="preserve">, </w:t>
      </w:r>
      <w:r w:rsidRPr="009B765A">
        <w:rPr>
          <w:rFonts w:ascii="Times New Roman" w:hAnsi="Times New Roman" w:cs="Times New Roman"/>
          <w:i/>
          <w:iCs/>
        </w:rPr>
        <w:t>59</w:t>
      </w:r>
      <w:r w:rsidRPr="009B765A">
        <w:rPr>
          <w:rFonts w:ascii="Times New Roman" w:hAnsi="Times New Roman" w:cs="Times New Roman"/>
        </w:rPr>
        <w:t>(2–3), 73–100, 250–283. https://doi.org/10.2307/1166139</w:t>
      </w:r>
    </w:p>
    <w:p w14:paraId="3A009BFD" w14:textId="09CFD71F"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Dettlaff, A. J., &amp; Washburn, M. (2018). Lesbian, gay, and bisexual (LGB) youth within in welfare: Prevalence, risk and outcomes. </w:t>
      </w:r>
      <w:r w:rsidRPr="009B765A">
        <w:rPr>
          <w:rFonts w:ascii="Times New Roman" w:hAnsi="Times New Roman" w:cs="Times New Roman"/>
          <w:i/>
          <w:iCs/>
        </w:rPr>
        <w:t>Child Abuse &amp; Neglect</w:t>
      </w:r>
      <w:r w:rsidRPr="009B765A">
        <w:rPr>
          <w:rFonts w:ascii="Times New Roman" w:hAnsi="Times New Roman" w:cs="Times New Roman"/>
        </w:rPr>
        <w:t xml:space="preserve">, </w:t>
      </w:r>
      <w:r w:rsidRPr="009B765A">
        <w:rPr>
          <w:rFonts w:ascii="Times New Roman" w:hAnsi="Times New Roman" w:cs="Times New Roman"/>
          <w:i/>
          <w:iCs/>
        </w:rPr>
        <w:t>80</w:t>
      </w:r>
      <w:r w:rsidRPr="009B765A">
        <w:rPr>
          <w:rFonts w:ascii="Times New Roman" w:hAnsi="Times New Roman" w:cs="Times New Roman"/>
        </w:rPr>
        <w:t>, 183–193.</w:t>
      </w:r>
    </w:p>
    <w:p w14:paraId="259AD6C3" w14:textId="4F247FB3"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Dolan, M., Smith, K., Casanueva, C., Ringeisen, H., P2320062930YC, H., Dolan, M., Smith, K., Casanueva, C., &amp; Ringeisen, H. (2011). NSCAW II baseline report: Introduction to NSCAW II final report. </w:t>
      </w:r>
      <w:r w:rsidRPr="009B765A">
        <w:rPr>
          <w:rFonts w:ascii="Times New Roman" w:hAnsi="Times New Roman" w:cs="Times New Roman"/>
          <w:i/>
          <w:iCs/>
        </w:rPr>
        <w:t>Washington, DC: Office of Planning, Research and Evaluation, Administration for Children and Families, US Department of Health and Human Services</w:t>
      </w:r>
      <w:r w:rsidRPr="009B765A">
        <w:rPr>
          <w:rFonts w:ascii="Times New Roman" w:hAnsi="Times New Roman" w:cs="Times New Roman"/>
        </w:rPr>
        <w:t>.</w:t>
      </w:r>
    </w:p>
    <w:p w14:paraId="3704E7E5" w14:textId="7BA78D1F"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Dozier, M., Higley, E., Albus, K. E., &amp; Nutter, A. (2002). Intervening with foster infants’ caregivers: Targeting three critical needs. </w:t>
      </w:r>
      <w:r w:rsidRPr="009B765A">
        <w:rPr>
          <w:rFonts w:ascii="Times New Roman" w:hAnsi="Times New Roman" w:cs="Times New Roman"/>
          <w:i/>
          <w:iCs/>
        </w:rPr>
        <w:t>Infant Mental Health Journal</w:t>
      </w:r>
      <w:r w:rsidRPr="009B765A">
        <w:rPr>
          <w:rFonts w:ascii="Times New Roman" w:hAnsi="Times New Roman" w:cs="Times New Roman"/>
        </w:rPr>
        <w:t xml:space="preserve">, </w:t>
      </w:r>
      <w:r w:rsidRPr="009B765A">
        <w:rPr>
          <w:rFonts w:ascii="Times New Roman" w:hAnsi="Times New Roman" w:cs="Times New Roman"/>
          <w:i/>
          <w:iCs/>
        </w:rPr>
        <w:t>23</w:t>
      </w:r>
      <w:r w:rsidRPr="009B765A">
        <w:rPr>
          <w:rFonts w:ascii="Times New Roman" w:hAnsi="Times New Roman" w:cs="Times New Roman"/>
        </w:rPr>
        <w:t>(5), 541–554. https://doi.org/10.1002/imhj.10032</w:t>
      </w:r>
    </w:p>
    <w:p w14:paraId="24B23132" w14:textId="5C550099"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Dregan, A., &amp; Gulliford, M. C. (2012). Foster care, residential care and public care placement patterns are associated with adult life trajectories: Population-based cohort study. </w:t>
      </w:r>
      <w:r w:rsidRPr="009B765A">
        <w:rPr>
          <w:rFonts w:ascii="Times New Roman" w:hAnsi="Times New Roman" w:cs="Times New Roman"/>
          <w:i/>
          <w:iCs/>
        </w:rPr>
        <w:t>Social Psychiatry and Psychiatric Epidemiology</w:t>
      </w:r>
      <w:r w:rsidRPr="009B765A">
        <w:rPr>
          <w:rFonts w:ascii="Times New Roman" w:hAnsi="Times New Roman" w:cs="Times New Roman"/>
        </w:rPr>
        <w:t xml:space="preserve">, </w:t>
      </w:r>
      <w:r w:rsidRPr="009B765A">
        <w:rPr>
          <w:rFonts w:ascii="Times New Roman" w:hAnsi="Times New Roman" w:cs="Times New Roman"/>
          <w:i/>
          <w:iCs/>
        </w:rPr>
        <w:t>47</w:t>
      </w:r>
      <w:r w:rsidRPr="009B765A">
        <w:rPr>
          <w:rFonts w:ascii="Times New Roman" w:hAnsi="Times New Roman" w:cs="Times New Roman"/>
        </w:rPr>
        <w:t>(9), 1517–1526. https://doi.org/10.1007/s00127-011-0458-5</w:t>
      </w:r>
    </w:p>
    <w:p w14:paraId="5E9182D8" w14:textId="666E6347"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Fergusson, D. M., Horwood, L. J., &amp; Beautrais, A. L. (1999). Is sexual orientation related to mental health problems and suicidality in young people? </w:t>
      </w:r>
      <w:r w:rsidRPr="009B765A">
        <w:rPr>
          <w:rFonts w:ascii="Times New Roman" w:hAnsi="Times New Roman" w:cs="Times New Roman"/>
          <w:i/>
          <w:iCs/>
        </w:rPr>
        <w:t>Archives of General Psychiatry</w:t>
      </w:r>
      <w:r w:rsidRPr="009B765A">
        <w:rPr>
          <w:rFonts w:ascii="Times New Roman" w:hAnsi="Times New Roman" w:cs="Times New Roman"/>
        </w:rPr>
        <w:t xml:space="preserve">, </w:t>
      </w:r>
      <w:r w:rsidRPr="009B765A">
        <w:rPr>
          <w:rFonts w:ascii="Times New Roman" w:hAnsi="Times New Roman" w:cs="Times New Roman"/>
          <w:i/>
          <w:iCs/>
        </w:rPr>
        <w:t>56</w:t>
      </w:r>
      <w:r w:rsidRPr="009B765A">
        <w:rPr>
          <w:rFonts w:ascii="Times New Roman" w:hAnsi="Times New Roman" w:cs="Times New Roman"/>
        </w:rPr>
        <w:t>(10), 876–880. https://doi.org/10.1001/archpsyc.56.10.876</w:t>
      </w:r>
    </w:p>
    <w:p w14:paraId="5C17B1FB" w14:textId="3EBD0C90"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Ferraro, A. C., Maher, E. J., &amp; Grinnell-Davis, C. (2022). Family ties: A quasi-experimental approach to estimate the impact of kinship care on child well-being. </w:t>
      </w:r>
      <w:r w:rsidRPr="009B765A">
        <w:rPr>
          <w:rFonts w:ascii="Times New Roman" w:hAnsi="Times New Roman" w:cs="Times New Roman"/>
          <w:i/>
          <w:iCs/>
        </w:rPr>
        <w:t>Children and Youth Services Review</w:t>
      </w:r>
      <w:r w:rsidRPr="009B765A">
        <w:rPr>
          <w:rFonts w:ascii="Times New Roman" w:hAnsi="Times New Roman" w:cs="Times New Roman"/>
        </w:rPr>
        <w:t xml:space="preserve">, </w:t>
      </w:r>
      <w:r w:rsidRPr="009B765A">
        <w:rPr>
          <w:rFonts w:ascii="Times New Roman" w:hAnsi="Times New Roman" w:cs="Times New Roman"/>
          <w:i/>
          <w:iCs/>
        </w:rPr>
        <w:t>137</w:t>
      </w:r>
      <w:r w:rsidRPr="009B765A">
        <w:rPr>
          <w:rFonts w:ascii="Times New Roman" w:hAnsi="Times New Roman" w:cs="Times New Roman"/>
        </w:rPr>
        <w:t>, 106472. https://doi.org/10.1016/j.childyouth.2022.106472</w:t>
      </w:r>
    </w:p>
    <w:p w14:paraId="59281FC0" w14:textId="5E7F9D6E"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Fish, J. N., Baams, L., Wojciak, A. S., &amp; Russell, S. T. (2019). Are sexual minority youth overrepresented in foster care, child welfare, and out-of-home placement? Findings from nationally representative data. </w:t>
      </w:r>
      <w:r w:rsidRPr="009B765A">
        <w:rPr>
          <w:rFonts w:ascii="Times New Roman" w:hAnsi="Times New Roman" w:cs="Times New Roman"/>
          <w:i/>
          <w:iCs/>
        </w:rPr>
        <w:t>Child Abuse &amp; Neglect</w:t>
      </w:r>
      <w:r w:rsidRPr="009B765A">
        <w:rPr>
          <w:rFonts w:ascii="Times New Roman" w:hAnsi="Times New Roman" w:cs="Times New Roman"/>
        </w:rPr>
        <w:t xml:space="preserve">, </w:t>
      </w:r>
      <w:r w:rsidRPr="009B765A">
        <w:rPr>
          <w:rFonts w:ascii="Times New Roman" w:hAnsi="Times New Roman" w:cs="Times New Roman"/>
          <w:i/>
          <w:iCs/>
        </w:rPr>
        <w:t>89</w:t>
      </w:r>
      <w:r w:rsidRPr="009B765A">
        <w:rPr>
          <w:rFonts w:ascii="Times New Roman" w:hAnsi="Times New Roman" w:cs="Times New Roman"/>
        </w:rPr>
        <w:t>, 203–211. https://doi.org/10.1016/j.chiabu.2019.01.005</w:t>
      </w:r>
    </w:p>
    <w:p w14:paraId="694D94DC" w14:textId="4B0444B2"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Goldbach, J. T., &amp; Gibbs, J. J. (2017). A developmentally informed adaptation of minority stress for sexual minority adolescents. </w:t>
      </w:r>
      <w:r w:rsidRPr="009B765A">
        <w:rPr>
          <w:rFonts w:ascii="Times New Roman" w:hAnsi="Times New Roman" w:cs="Times New Roman"/>
          <w:i/>
          <w:iCs/>
        </w:rPr>
        <w:t>Journal of Adolescence</w:t>
      </w:r>
      <w:r w:rsidRPr="009B765A">
        <w:rPr>
          <w:rFonts w:ascii="Times New Roman" w:hAnsi="Times New Roman" w:cs="Times New Roman"/>
        </w:rPr>
        <w:t xml:space="preserve">, </w:t>
      </w:r>
      <w:r w:rsidRPr="009B765A">
        <w:rPr>
          <w:rFonts w:ascii="Times New Roman" w:hAnsi="Times New Roman" w:cs="Times New Roman"/>
          <w:i/>
          <w:iCs/>
        </w:rPr>
        <w:t>55</w:t>
      </w:r>
      <w:r w:rsidRPr="009B765A">
        <w:rPr>
          <w:rFonts w:ascii="Times New Roman" w:hAnsi="Times New Roman" w:cs="Times New Roman"/>
        </w:rPr>
        <w:t>, 36–50. https://doi.org/10.1016/j.adolescence.2016.12.007</w:t>
      </w:r>
    </w:p>
    <w:p w14:paraId="29EAD587" w14:textId="0EFA31DC"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Gonzalez Alvarez, R., ten Brummelaar, M., Orwa, S., &amp; López López, M. (2021). ‘I actually know that things will get better’: The many pathways to resilience of LGBTQIA+ youth in out‐of‐home care. </w:t>
      </w:r>
      <w:r w:rsidRPr="009B765A">
        <w:rPr>
          <w:rFonts w:ascii="Times New Roman" w:hAnsi="Times New Roman" w:cs="Times New Roman"/>
          <w:i/>
          <w:iCs/>
        </w:rPr>
        <w:t>Children &amp; Society</w:t>
      </w:r>
      <w:r w:rsidRPr="009B765A">
        <w:rPr>
          <w:rFonts w:ascii="Times New Roman" w:hAnsi="Times New Roman" w:cs="Times New Roman"/>
        </w:rPr>
        <w:t>. https://doi.org/10.1111/chso.12464</w:t>
      </w:r>
    </w:p>
    <w:p w14:paraId="0B183CA1" w14:textId="3CFFD23E"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Jacobs, J., &amp; Freundlich, M. (2006). Achieving permanency for LGBTQ youth. </w:t>
      </w:r>
      <w:r w:rsidRPr="009B765A">
        <w:rPr>
          <w:rFonts w:ascii="Times New Roman" w:hAnsi="Times New Roman" w:cs="Times New Roman"/>
          <w:i/>
          <w:iCs/>
        </w:rPr>
        <w:t>Child Welfare</w:t>
      </w:r>
      <w:r w:rsidRPr="009B765A">
        <w:rPr>
          <w:rFonts w:ascii="Times New Roman" w:hAnsi="Times New Roman" w:cs="Times New Roman"/>
        </w:rPr>
        <w:t xml:space="preserve">, </w:t>
      </w:r>
      <w:r w:rsidRPr="009B765A">
        <w:rPr>
          <w:rFonts w:ascii="Times New Roman" w:hAnsi="Times New Roman" w:cs="Times New Roman"/>
          <w:i/>
          <w:iCs/>
        </w:rPr>
        <w:t>85</w:t>
      </w:r>
      <w:r w:rsidRPr="009B765A">
        <w:rPr>
          <w:rFonts w:ascii="Times New Roman" w:hAnsi="Times New Roman" w:cs="Times New Roman"/>
        </w:rPr>
        <w:t>(2), 299–316.</w:t>
      </w:r>
    </w:p>
    <w:p w14:paraId="50007854" w14:textId="74056914"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Konijn, C., Admiraal, S., Baart, J., van Rooij, F., Stams, G.-J., Colonnesi, C., Lindauer, R., &amp; Assink, M. (2019). Foster care placement instability: A meta-analytic review. </w:t>
      </w:r>
      <w:r w:rsidRPr="009B765A">
        <w:rPr>
          <w:rFonts w:ascii="Times New Roman" w:hAnsi="Times New Roman" w:cs="Times New Roman"/>
          <w:i/>
          <w:iCs/>
        </w:rPr>
        <w:t>Children and Youth Services Review</w:t>
      </w:r>
      <w:r w:rsidRPr="009B765A">
        <w:rPr>
          <w:rFonts w:ascii="Times New Roman" w:hAnsi="Times New Roman" w:cs="Times New Roman"/>
        </w:rPr>
        <w:t xml:space="preserve">, </w:t>
      </w:r>
      <w:r w:rsidRPr="009B765A">
        <w:rPr>
          <w:rFonts w:ascii="Times New Roman" w:hAnsi="Times New Roman" w:cs="Times New Roman"/>
          <w:i/>
          <w:iCs/>
        </w:rPr>
        <w:t>96</w:t>
      </w:r>
      <w:r w:rsidRPr="009B765A">
        <w:rPr>
          <w:rFonts w:ascii="Times New Roman" w:hAnsi="Times New Roman" w:cs="Times New Roman"/>
        </w:rPr>
        <w:t>, 483–499. https://doi.org/10.1016/j.childyouth.2018.12.002</w:t>
      </w:r>
    </w:p>
    <w:p w14:paraId="6CEE05B5" w14:textId="1F6C4FDB"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Leuven, E., &amp; Sianesi, B. (2018). PSMATCH2: Stata module to perform full Mahalanobis and propensity score matching, common support graphing, and covariate imbalance testing. In </w:t>
      </w:r>
      <w:r w:rsidRPr="009B765A">
        <w:rPr>
          <w:rFonts w:ascii="Times New Roman" w:hAnsi="Times New Roman" w:cs="Times New Roman"/>
          <w:i/>
          <w:iCs/>
        </w:rPr>
        <w:t>Statistical Software Components</w:t>
      </w:r>
      <w:r w:rsidRPr="009B765A">
        <w:rPr>
          <w:rFonts w:ascii="Times New Roman" w:hAnsi="Times New Roman" w:cs="Times New Roman"/>
        </w:rPr>
        <w:t xml:space="preserve"> [Computer software]. Boston College Department of Economics. https://ideas.repec.org/c/boc/bocode/s432001.html</w:t>
      </w:r>
    </w:p>
    <w:p w14:paraId="682E418B" w14:textId="41DB862C"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lastRenderedPageBreak/>
        <w:t xml:space="preserve">Lynch, M., &amp; Cicchetti, D. (1997). Children’s relationships with adults and peers: An examination of elementary and junior high school students. </w:t>
      </w:r>
      <w:r w:rsidRPr="009B765A">
        <w:rPr>
          <w:rFonts w:ascii="Times New Roman" w:hAnsi="Times New Roman" w:cs="Times New Roman"/>
          <w:i/>
          <w:iCs/>
        </w:rPr>
        <w:t>Journal of School Psychology</w:t>
      </w:r>
      <w:r w:rsidRPr="009B765A">
        <w:rPr>
          <w:rFonts w:ascii="Times New Roman" w:hAnsi="Times New Roman" w:cs="Times New Roman"/>
        </w:rPr>
        <w:t xml:space="preserve">, </w:t>
      </w:r>
      <w:r w:rsidRPr="009B765A">
        <w:rPr>
          <w:rFonts w:ascii="Times New Roman" w:hAnsi="Times New Roman" w:cs="Times New Roman"/>
          <w:i/>
          <w:iCs/>
        </w:rPr>
        <w:t>35</w:t>
      </w:r>
      <w:r w:rsidRPr="009B765A">
        <w:rPr>
          <w:rFonts w:ascii="Times New Roman" w:hAnsi="Times New Roman" w:cs="Times New Roman"/>
        </w:rPr>
        <w:t>(1), 81–99. https://doi.org/10.1016/S0022-4405(96)00031-3</w:t>
      </w:r>
    </w:p>
    <w:p w14:paraId="6A328B7D" w14:textId="79D5F012"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Mallon, G. P. (2011). The Home Study Assessment Process for Gay, Lesbian, Bisexual, and Transgender Prospective Foster and Adoptive Families. </w:t>
      </w:r>
      <w:r w:rsidRPr="009B765A">
        <w:rPr>
          <w:rFonts w:ascii="Times New Roman" w:hAnsi="Times New Roman" w:cs="Times New Roman"/>
          <w:i/>
          <w:iCs/>
        </w:rPr>
        <w:t>Journal of GLBT Family Studies</w:t>
      </w:r>
      <w:r w:rsidRPr="009B765A">
        <w:rPr>
          <w:rFonts w:ascii="Times New Roman" w:hAnsi="Times New Roman" w:cs="Times New Roman"/>
        </w:rPr>
        <w:t xml:space="preserve">, </w:t>
      </w:r>
      <w:r w:rsidRPr="009B765A">
        <w:rPr>
          <w:rFonts w:ascii="Times New Roman" w:hAnsi="Times New Roman" w:cs="Times New Roman"/>
          <w:i/>
          <w:iCs/>
        </w:rPr>
        <w:t>7</w:t>
      </w:r>
      <w:r w:rsidRPr="009B765A">
        <w:rPr>
          <w:rFonts w:ascii="Times New Roman" w:hAnsi="Times New Roman" w:cs="Times New Roman"/>
        </w:rPr>
        <w:t>(1–2), 9–29. https://doi.org/10.1080/1550428X.2011.537229</w:t>
      </w:r>
    </w:p>
    <w:p w14:paraId="10B601FD" w14:textId="66A34196"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McConaughy, S. H. (1993). Evaluating Behavioral and Emotional Disorders with the CBCL, TRF, and YSR Cross-Informant Scales. </w:t>
      </w:r>
      <w:r w:rsidRPr="009B765A">
        <w:rPr>
          <w:rFonts w:ascii="Times New Roman" w:hAnsi="Times New Roman" w:cs="Times New Roman"/>
          <w:i/>
          <w:iCs/>
        </w:rPr>
        <w:t>Journal of Emotional and Behavioral Disorders</w:t>
      </w:r>
      <w:r w:rsidRPr="009B765A">
        <w:rPr>
          <w:rFonts w:ascii="Times New Roman" w:hAnsi="Times New Roman" w:cs="Times New Roman"/>
        </w:rPr>
        <w:t xml:space="preserve">, </w:t>
      </w:r>
      <w:r w:rsidRPr="009B765A">
        <w:rPr>
          <w:rFonts w:ascii="Times New Roman" w:hAnsi="Times New Roman" w:cs="Times New Roman"/>
          <w:i/>
          <w:iCs/>
        </w:rPr>
        <w:t>1</w:t>
      </w:r>
      <w:r w:rsidRPr="009B765A">
        <w:rPr>
          <w:rFonts w:ascii="Times New Roman" w:hAnsi="Times New Roman" w:cs="Times New Roman"/>
        </w:rPr>
        <w:t>(1), 40–52. https://doi.org/10.1177/106342669300100107</w:t>
      </w:r>
    </w:p>
    <w:p w14:paraId="3E4DA42B" w14:textId="180FEEBD"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McCrae, J. S. (2009). Emotional and Behavioral Problems Reported in Child Welfare Over 3 Years. </w:t>
      </w:r>
      <w:r w:rsidRPr="009B765A">
        <w:rPr>
          <w:rFonts w:ascii="Times New Roman" w:hAnsi="Times New Roman" w:cs="Times New Roman"/>
          <w:i/>
          <w:iCs/>
        </w:rPr>
        <w:t>Journal of Emotional and Behavioral Disorders</w:t>
      </w:r>
      <w:r w:rsidRPr="009B765A">
        <w:rPr>
          <w:rFonts w:ascii="Times New Roman" w:hAnsi="Times New Roman" w:cs="Times New Roman"/>
        </w:rPr>
        <w:t xml:space="preserve">, </w:t>
      </w:r>
      <w:r w:rsidRPr="009B765A">
        <w:rPr>
          <w:rFonts w:ascii="Times New Roman" w:hAnsi="Times New Roman" w:cs="Times New Roman"/>
          <w:i/>
          <w:iCs/>
        </w:rPr>
        <w:t>17</w:t>
      </w:r>
      <w:r w:rsidRPr="009B765A">
        <w:rPr>
          <w:rFonts w:ascii="Times New Roman" w:hAnsi="Times New Roman" w:cs="Times New Roman"/>
        </w:rPr>
        <w:t>(1), 17–28. https://doi.org/10.1177/1063426608319141</w:t>
      </w:r>
    </w:p>
    <w:p w14:paraId="68327931" w14:textId="2E62AF4A"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Melkman, E. (2015). Risk and protective factors for problem behaviors among youth in residential care. </w:t>
      </w:r>
      <w:r w:rsidRPr="009B765A">
        <w:rPr>
          <w:rFonts w:ascii="Times New Roman" w:hAnsi="Times New Roman" w:cs="Times New Roman"/>
          <w:i/>
          <w:iCs/>
        </w:rPr>
        <w:t>Children and Youth Services Review</w:t>
      </w:r>
      <w:r w:rsidRPr="009B765A">
        <w:rPr>
          <w:rFonts w:ascii="Times New Roman" w:hAnsi="Times New Roman" w:cs="Times New Roman"/>
        </w:rPr>
        <w:t xml:space="preserve">, </w:t>
      </w:r>
      <w:r w:rsidRPr="009B765A">
        <w:rPr>
          <w:rFonts w:ascii="Times New Roman" w:hAnsi="Times New Roman" w:cs="Times New Roman"/>
          <w:i/>
          <w:iCs/>
        </w:rPr>
        <w:t>51</w:t>
      </w:r>
      <w:r w:rsidRPr="009B765A">
        <w:rPr>
          <w:rFonts w:ascii="Times New Roman" w:hAnsi="Times New Roman" w:cs="Times New Roman"/>
        </w:rPr>
        <w:t>, 117–124. https://doi.org/10.1016/j.childyouth.2015.02.004</w:t>
      </w:r>
    </w:p>
    <w:p w14:paraId="4CFBD920" w14:textId="371F72CC"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Mountz, S., &amp; Capous-Desyllas, M. (2020). Exploring the families of origin of LGBTQ former foster youth and their trajectories throughout care. </w:t>
      </w:r>
      <w:r w:rsidRPr="009B765A">
        <w:rPr>
          <w:rFonts w:ascii="Times New Roman" w:hAnsi="Times New Roman" w:cs="Times New Roman"/>
          <w:i/>
          <w:iCs/>
        </w:rPr>
        <w:t>Children and Youth Services Review</w:t>
      </w:r>
      <w:r w:rsidRPr="009B765A">
        <w:rPr>
          <w:rFonts w:ascii="Times New Roman" w:hAnsi="Times New Roman" w:cs="Times New Roman"/>
        </w:rPr>
        <w:t xml:space="preserve">, </w:t>
      </w:r>
      <w:r w:rsidRPr="009B765A">
        <w:rPr>
          <w:rFonts w:ascii="Times New Roman" w:hAnsi="Times New Roman" w:cs="Times New Roman"/>
          <w:i/>
          <w:iCs/>
        </w:rPr>
        <w:t>109</w:t>
      </w:r>
      <w:r w:rsidRPr="009B765A">
        <w:rPr>
          <w:rFonts w:ascii="Times New Roman" w:hAnsi="Times New Roman" w:cs="Times New Roman"/>
        </w:rPr>
        <w:t>, 104622. https://doi.org/10.1016/j.childyouth.2019.104622</w:t>
      </w:r>
    </w:p>
    <w:p w14:paraId="58A165C3" w14:textId="340BD22B"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Murdock, T. B., &amp; Bolch, M. B. (2005). Risk and protective factors for poor school adjustment in lesbian, gay, and bisexual (LGB) high school youth: Variable and person-centered analyses. </w:t>
      </w:r>
      <w:r w:rsidRPr="009B765A">
        <w:rPr>
          <w:rFonts w:ascii="Times New Roman" w:hAnsi="Times New Roman" w:cs="Times New Roman"/>
          <w:i/>
          <w:iCs/>
        </w:rPr>
        <w:t>Psychology in the Schools</w:t>
      </w:r>
      <w:r w:rsidRPr="009B765A">
        <w:rPr>
          <w:rFonts w:ascii="Times New Roman" w:hAnsi="Times New Roman" w:cs="Times New Roman"/>
        </w:rPr>
        <w:t xml:space="preserve">, </w:t>
      </w:r>
      <w:r w:rsidRPr="009B765A">
        <w:rPr>
          <w:rFonts w:ascii="Times New Roman" w:hAnsi="Times New Roman" w:cs="Times New Roman"/>
          <w:i/>
          <w:iCs/>
        </w:rPr>
        <w:t>42</w:t>
      </w:r>
      <w:r w:rsidRPr="009B765A">
        <w:rPr>
          <w:rFonts w:ascii="Times New Roman" w:hAnsi="Times New Roman" w:cs="Times New Roman"/>
        </w:rPr>
        <w:t>(2), 159–172. https://doi.org/10.1002/pits.20054</w:t>
      </w:r>
    </w:p>
    <w:p w14:paraId="51EEB5AD" w14:textId="7159D07A"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National Research Council (US) and Institute of Medicine (US) Committee on the Prevention of Mental Disorders and Substance Abuse Among Children, Youth, and Young Adults: Research Advances and Promising Interventions. (2009). </w:t>
      </w:r>
      <w:r w:rsidRPr="009B765A">
        <w:rPr>
          <w:rFonts w:ascii="Times New Roman" w:hAnsi="Times New Roman" w:cs="Times New Roman"/>
          <w:i/>
          <w:iCs/>
        </w:rPr>
        <w:t>Preventing Mental, Emotional, and Behavioral Disorders Among Young People: Progress and Possibilities</w:t>
      </w:r>
      <w:r w:rsidRPr="009B765A">
        <w:rPr>
          <w:rFonts w:ascii="Times New Roman" w:hAnsi="Times New Roman" w:cs="Times New Roman"/>
        </w:rPr>
        <w:t xml:space="preserve"> (M. E. O’Connell, T. Boat, &amp; K. E. Warner, Eds.). National Academies Press (US). http://www.ncbi.nlm.nih.gov/books/NBK32775/</w:t>
      </w:r>
    </w:p>
    <w:p w14:paraId="53B707BB" w14:textId="300996EA"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Naveed, H. (2022). “If I Wasn’t Poor, I Wouldn’t Be Unfit.” </w:t>
      </w:r>
      <w:r w:rsidRPr="009B765A">
        <w:rPr>
          <w:rFonts w:ascii="Times New Roman" w:hAnsi="Times New Roman" w:cs="Times New Roman"/>
          <w:i/>
          <w:iCs/>
        </w:rPr>
        <w:t>Human Rights Watch</w:t>
      </w:r>
      <w:r w:rsidRPr="009B765A">
        <w:rPr>
          <w:rFonts w:ascii="Times New Roman" w:hAnsi="Times New Roman" w:cs="Times New Roman"/>
        </w:rPr>
        <w:t>. https://www.hrw.org/report/2022/11/17/if-i-wasnt-poor-i-wouldnt-be-unfit/family-separation-crisis-us-child-welfare</w:t>
      </w:r>
    </w:p>
    <w:p w14:paraId="1F4A709A" w14:textId="5B39A237"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Newton, R. R., Litrownik, A. J., &amp; Landsverk, J. A. (2000). Children and youth in foster care: Disentangling the relationship between problem behaviors and number of placements. </w:t>
      </w:r>
      <w:r w:rsidRPr="009B765A">
        <w:rPr>
          <w:rFonts w:ascii="Times New Roman" w:hAnsi="Times New Roman" w:cs="Times New Roman"/>
          <w:i/>
          <w:iCs/>
        </w:rPr>
        <w:t>Child Abuse &amp; Neglect</w:t>
      </w:r>
      <w:r w:rsidRPr="009B765A">
        <w:rPr>
          <w:rFonts w:ascii="Times New Roman" w:hAnsi="Times New Roman" w:cs="Times New Roman"/>
        </w:rPr>
        <w:t xml:space="preserve">, </w:t>
      </w:r>
      <w:r w:rsidRPr="009B765A">
        <w:rPr>
          <w:rFonts w:ascii="Times New Roman" w:hAnsi="Times New Roman" w:cs="Times New Roman"/>
          <w:i/>
          <w:iCs/>
        </w:rPr>
        <w:t>24</w:t>
      </w:r>
      <w:r w:rsidRPr="009B765A">
        <w:rPr>
          <w:rFonts w:ascii="Times New Roman" w:hAnsi="Times New Roman" w:cs="Times New Roman"/>
        </w:rPr>
        <w:t>(10), 1363–1374. https://doi.org/10.1016/S0145-2134(00)00189-7</w:t>
      </w:r>
    </w:p>
    <w:p w14:paraId="39028775" w14:textId="4F0C95DE"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Quamma, J. P., &amp; Greenberg, M. T. (1994). Children’s experience of life stress: The role of family social support and social problem-solving skills as protective factors. </w:t>
      </w:r>
      <w:r w:rsidRPr="009B765A">
        <w:rPr>
          <w:rFonts w:ascii="Times New Roman" w:hAnsi="Times New Roman" w:cs="Times New Roman"/>
          <w:i/>
          <w:iCs/>
        </w:rPr>
        <w:t>Journal of Clinical Child Psychology</w:t>
      </w:r>
      <w:r w:rsidRPr="009B765A">
        <w:rPr>
          <w:rFonts w:ascii="Times New Roman" w:hAnsi="Times New Roman" w:cs="Times New Roman"/>
        </w:rPr>
        <w:t xml:space="preserve">, </w:t>
      </w:r>
      <w:r w:rsidRPr="009B765A">
        <w:rPr>
          <w:rFonts w:ascii="Times New Roman" w:hAnsi="Times New Roman" w:cs="Times New Roman"/>
          <w:i/>
          <w:iCs/>
        </w:rPr>
        <w:t>23</w:t>
      </w:r>
      <w:r w:rsidRPr="009B765A">
        <w:rPr>
          <w:rFonts w:ascii="Times New Roman" w:hAnsi="Times New Roman" w:cs="Times New Roman"/>
        </w:rPr>
        <w:t>(3), 295–305. https://doi.org/10.1207/s15374424jccp2303_7</w:t>
      </w:r>
    </w:p>
    <w:p w14:paraId="507664BA" w14:textId="5952291A"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Radkowsky, M., &amp; Siegel, L. J. (1997). The gay adolescent: Stressors, adaptations, and psychosocial interventions. </w:t>
      </w:r>
      <w:r w:rsidRPr="009B765A">
        <w:rPr>
          <w:rFonts w:ascii="Times New Roman" w:hAnsi="Times New Roman" w:cs="Times New Roman"/>
          <w:i/>
          <w:iCs/>
        </w:rPr>
        <w:t>Clinical Psychology Review</w:t>
      </w:r>
      <w:r w:rsidRPr="009B765A">
        <w:rPr>
          <w:rFonts w:ascii="Times New Roman" w:hAnsi="Times New Roman" w:cs="Times New Roman"/>
        </w:rPr>
        <w:t xml:space="preserve">, </w:t>
      </w:r>
      <w:r w:rsidRPr="009B765A">
        <w:rPr>
          <w:rFonts w:ascii="Times New Roman" w:hAnsi="Times New Roman" w:cs="Times New Roman"/>
          <w:i/>
          <w:iCs/>
        </w:rPr>
        <w:t>17</w:t>
      </w:r>
      <w:r w:rsidRPr="009B765A">
        <w:rPr>
          <w:rFonts w:ascii="Times New Roman" w:hAnsi="Times New Roman" w:cs="Times New Roman"/>
        </w:rPr>
        <w:t>(2), 191–216. https://doi.org/10.1016/S0272-7358(97)00007-X</w:t>
      </w:r>
    </w:p>
    <w:p w14:paraId="3742AE81" w14:textId="0C2773B1"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lastRenderedPageBreak/>
        <w:t xml:space="preserve">Rich, A. J., Salway, T., Scheim, A., &amp; Poteat, T. (2020). Sexual Minority Stress Theory: Remembering and Honoring the Work of Virginia Brooks. </w:t>
      </w:r>
      <w:r w:rsidRPr="009B765A">
        <w:rPr>
          <w:rFonts w:ascii="Times New Roman" w:hAnsi="Times New Roman" w:cs="Times New Roman"/>
          <w:i/>
          <w:iCs/>
        </w:rPr>
        <w:t>LGBT Health</w:t>
      </w:r>
      <w:r w:rsidRPr="009B765A">
        <w:rPr>
          <w:rFonts w:ascii="Times New Roman" w:hAnsi="Times New Roman" w:cs="Times New Roman"/>
        </w:rPr>
        <w:t xml:space="preserve">, </w:t>
      </w:r>
      <w:r w:rsidRPr="009B765A">
        <w:rPr>
          <w:rFonts w:ascii="Times New Roman" w:hAnsi="Times New Roman" w:cs="Times New Roman"/>
          <w:i/>
          <w:iCs/>
        </w:rPr>
        <w:t>7</w:t>
      </w:r>
      <w:r w:rsidRPr="009B765A">
        <w:rPr>
          <w:rFonts w:ascii="Times New Roman" w:hAnsi="Times New Roman" w:cs="Times New Roman"/>
        </w:rPr>
        <w:t>(3), 124–127. https://doi.org/10.1089/lgbt.2019.0223</w:t>
      </w:r>
    </w:p>
    <w:p w14:paraId="2B4C6CC6" w14:textId="5BC68637"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Rosenbaum, P. R., &amp; Rubin, D. B. (1983). </w:t>
      </w:r>
      <w:r w:rsidRPr="009B765A">
        <w:rPr>
          <w:rFonts w:ascii="Times New Roman" w:hAnsi="Times New Roman" w:cs="Times New Roman"/>
          <w:i/>
          <w:iCs/>
        </w:rPr>
        <w:t>The central role of the propensity score in observational studies for causal effects</w:t>
      </w:r>
      <w:r w:rsidRPr="009B765A">
        <w:rPr>
          <w:rFonts w:ascii="Times New Roman" w:hAnsi="Times New Roman" w:cs="Times New Roman"/>
        </w:rPr>
        <w:t>. 15.</w:t>
      </w:r>
    </w:p>
    <w:p w14:paraId="447F9D9F" w14:textId="000F4A3A"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Rubin, D. B. (2008). Comment: The Design and Analysis of Gold Standard Randomized Experiments. </w:t>
      </w:r>
      <w:r w:rsidRPr="009B765A">
        <w:rPr>
          <w:rFonts w:ascii="Times New Roman" w:hAnsi="Times New Roman" w:cs="Times New Roman"/>
          <w:i/>
          <w:iCs/>
        </w:rPr>
        <w:t>Journal of the American Statistical Association</w:t>
      </w:r>
      <w:r w:rsidRPr="009B765A">
        <w:rPr>
          <w:rFonts w:ascii="Times New Roman" w:hAnsi="Times New Roman" w:cs="Times New Roman"/>
        </w:rPr>
        <w:t xml:space="preserve">, </w:t>
      </w:r>
      <w:r w:rsidRPr="009B765A">
        <w:rPr>
          <w:rFonts w:ascii="Times New Roman" w:hAnsi="Times New Roman" w:cs="Times New Roman"/>
          <w:i/>
          <w:iCs/>
        </w:rPr>
        <w:t>103</w:t>
      </w:r>
      <w:r w:rsidRPr="009B765A">
        <w:rPr>
          <w:rFonts w:ascii="Times New Roman" w:hAnsi="Times New Roman" w:cs="Times New Roman"/>
        </w:rPr>
        <w:t>(484), 1350–1356.</w:t>
      </w:r>
    </w:p>
    <w:p w14:paraId="0D56AB91" w14:textId="45AE6DF3"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Saewyc, E. M., Skay, C. L., Pettingell, S. L., Reis, E. A., Bearinger, L., Resnick, M., Murphy, A., &amp; Combs, L. (2006). Hazards of stigma: The sexual and physical abuse of gay, lesbian, and bisexual adolescents in the United States and Canada. </w:t>
      </w:r>
      <w:r w:rsidRPr="009B765A">
        <w:rPr>
          <w:rFonts w:ascii="Times New Roman" w:hAnsi="Times New Roman" w:cs="Times New Roman"/>
          <w:i/>
          <w:iCs/>
        </w:rPr>
        <w:t>Child Welfare</w:t>
      </w:r>
      <w:r w:rsidRPr="009B765A">
        <w:rPr>
          <w:rFonts w:ascii="Times New Roman" w:hAnsi="Times New Roman" w:cs="Times New Roman"/>
        </w:rPr>
        <w:t xml:space="preserve">, </w:t>
      </w:r>
      <w:r w:rsidRPr="009B765A">
        <w:rPr>
          <w:rFonts w:ascii="Times New Roman" w:hAnsi="Times New Roman" w:cs="Times New Roman"/>
          <w:i/>
          <w:iCs/>
        </w:rPr>
        <w:t>85</w:t>
      </w:r>
      <w:r w:rsidRPr="009B765A">
        <w:rPr>
          <w:rFonts w:ascii="Times New Roman" w:hAnsi="Times New Roman" w:cs="Times New Roman"/>
        </w:rPr>
        <w:t>(2).</w:t>
      </w:r>
    </w:p>
    <w:p w14:paraId="1D3F6253" w14:textId="2E778C6E"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Salazar, A. M., Haggerty, K. P., Barkan, S. E., Peterson, R., Furlong, M. E., Kim, E., Cole, J. J., &amp; Colito, J. M. (2020). Supporting LGBTQ+ Foster Teens: Development of a Relationship-Focused, Self-Guided Curriculum for Foster Families. </w:t>
      </w:r>
      <w:r w:rsidRPr="009B765A">
        <w:rPr>
          <w:rFonts w:ascii="Times New Roman" w:hAnsi="Times New Roman" w:cs="Times New Roman"/>
          <w:i/>
          <w:iCs/>
        </w:rPr>
        <w:t>Sexuality Research &amp; Social Policy : Journal of NSRC : SR &amp; SP</w:t>
      </w:r>
      <w:r w:rsidRPr="009B765A">
        <w:rPr>
          <w:rFonts w:ascii="Times New Roman" w:hAnsi="Times New Roman" w:cs="Times New Roman"/>
        </w:rPr>
        <w:t xml:space="preserve">, </w:t>
      </w:r>
      <w:r w:rsidRPr="009B765A">
        <w:rPr>
          <w:rFonts w:ascii="Times New Roman" w:hAnsi="Times New Roman" w:cs="Times New Roman"/>
          <w:i/>
          <w:iCs/>
        </w:rPr>
        <w:t>17</w:t>
      </w:r>
      <w:r w:rsidRPr="009B765A">
        <w:rPr>
          <w:rFonts w:ascii="Times New Roman" w:hAnsi="Times New Roman" w:cs="Times New Roman"/>
        </w:rPr>
        <w:t>(2), 239–251. https://doi.org/10.1007/s13178-019-00387-z</w:t>
      </w:r>
    </w:p>
    <w:p w14:paraId="11CCB62D" w14:textId="761ECE1D"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Shlonsky, A., Haskins, R., Wulczyn, F., &amp; Webb, M. B. (2007). </w:t>
      </w:r>
      <w:r w:rsidRPr="009B765A">
        <w:rPr>
          <w:rFonts w:ascii="Times New Roman" w:hAnsi="Times New Roman" w:cs="Times New Roman"/>
          <w:i/>
          <w:iCs/>
        </w:rPr>
        <w:t>Child protection: Using research to improve policy and practice</w:t>
      </w:r>
      <w:r w:rsidRPr="009B765A">
        <w:rPr>
          <w:rFonts w:ascii="Times New Roman" w:hAnsi="Times New Roman" w:cs="Times New Roman"/>
        </w:rPr>
        <w:t>.</w:t>
      </w:r>
    </w:p>
    <w:p w14:paraId="3BA251BD" w14:textId="5B324C6D"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Summersett-Ringgold, F., Jordan, N., Kisiel, C., Sax, R. M., &amp; McClelland, G. (2018). Child strengths and placement stability among racial/ethnic minority youth in the child welfare system. </w:t>
      </w:r>
      <w:r w:rsidRPr="009B765A">
        <w:rPr>
          <w:rFonts w:ascii="Times New Roman" w:hAnsi="Times New Roman" w:cs="Times New Roman"/>
          <w:i/>
          <w:iCs/>
        </w:rPr>
        <w:t>Child Abuse &amp; Neglect</w:t>
      </w:r>
      <w:r w:rsidRPr="009B765A">
        <w:rPr>
          <w:rFonts w:ascii="Times New Roman" w:hAnsi="Times New Roman" w:cs="Times New Roman"/>
        </w:rPr>
        <w:t xml:space="preserve">, </w:t>
      </w:r>
      <w:r w:rsidRPr="009B765A">
        <w:rPr>
          <w:rFonts w:ascii="Times New Roman" w:hAnsi="Times New Roman" w:cs="Times New Roman"/>
          <w:i/>
          <w:iCs/>
        </w:rPr>
        <w:t>76</w:t>
      </w:r>
      <w:r w:rsidRPr="009B765A">
        <w:rPr>
          <w:rFonts w:ascii="Times New Roman" w:hAnsi="Times New Roman" w:cs="Times New Roman"/>
        </w:rPr>
        <w:t>, 561–572. https://doi.org/10.1016/j.chiabu.2017.09.014</w:t>
      </w:r>
    </w:p>
    <w:p w14:paraId="294F3E0A" w14:textId="5E699D99"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Swanke, J. R., Yampolskaya, S., Strozier, A., &amp; Armstrong, M. I. (2016). Mental health service utilization and time to care: A comparison of children in traditional foster care and children in kinship care. </w:t>
      </w:r>
      <w:r w:rsidRPr="009B765A">
        <w:rPr>
          <w:rFonts w:ascii="Times New Roman" w:hAnsi="Times New Roman" w:cs="Times New Roman"/>
          <w:i/>
          <w:iCs/>
        </w:rPr>
        <w:t>Children and Youth Services Review</w:t>
      </w:r>
      <w:r w:rsidRPr="009B765A">
        <w:rPr>
          <w:rFonts w:ascii="Times New Roman" w:hAnsi="Times New Roman" w:cs="Times New Roman"/>
        </w:rPr>
        <w:t xml:space="preserve">, </w:t>
      </w:r>
      <w:r w:rsidRPr="009B765A">
        <w:rPr>
          <w:rFonts w:ascii="Times New Roman" w:hAnsi="Times New Roman" w:cs="Times New Roman"/>
          <w:i/>
          <w:iCs/>
        </w:rPr>
        <w:t>68</w:t>
      </w:r>
      <w:r w:rsidRPr="009B765A">
        <w:rPr>
          <w:rFonts w:ascii="Times New Roman" w:hAnsi="Times New Roman" w:cs="Times New Roman"/>
        </w:rPr>
        <w:t>(C), 154–158.</w:t>
      </w:r>
    </w:p>
    <w:p w14:paraId="42273B07" w14:textId="7E34D7FF"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The Annie E. Casey Foundation. (2022, May 16). </w:t>
      </w:r>
      <w:r w:rsidRPr="009B765A">
        <w:rPr>
          <w:rFonts w:ascii="Times New Roman" w:hAnsi="Times New Roman" w:cs="Times New Roman"/>
          <w:i/>
          <w:iCs/>
        </w:rPr>
        <w:t>Child Welfare and Foster Care Statistics</w:t>
      </w:r>
      <w:r w:rsidRPr="009B765A">
        <w:rPr>
          <w:rFonts w:ascii="Times New Roman" w:hAnsi="Times New Roman" w:cs="Times New Roman"/>
        </w:rPr>
        <w:t>. The Annie E. Casey Foundation. https://www.aecf.org/blog/child-welfare-and-foster-care-statistics</w:t>
      </w:r>
    </w:p>
    <w:p w14:paraId="69977A11" w14:textId="4FE90214"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Traube, D. E., James, S., Zhang, J., &amp; Landsverk, J. (2012). A national study of risk and protective factors for substance use among youth in the child welfare system. </w:t>
      </w:r>
      <w:r w:rsidRPr="009B765A">
        <w:rPr>
          <w:rFonts w:ascii="Times New Roman" w:hAnsi="Times New Roman" w:cs="Times New Roman"/>
          <w:i/>
          <w:iCs/>
        </w:rPr>
        <w:t>Addictive Behaviors</w:t>
      </w:r>
      <w:r w:rsidRPr="009B765A">
        <w:rPr>
          <w:rFonts w:ascii="Times New Roman" w:hAnsi="Times New Roman" w:cs="Times New Roman"/>
        </w:rPr>
        <w:t xml:space="preserve">, </w:t>
      </w:r>
      <w:r w:rsidRPr="009B765A">
        <w:rPr>
          <w:rFonts w:ascii="Times New Roman" w:hAnsi="Times New Roman" w:cs="Times New Roman"/>
          <w:i/>
          <w:iCs/>
        </w:rPr>
        <w:t>37</w:t>
      </w:r>
      <w:r w:rsidRPr="009B765A">
        <w:rPr>
          <w:rFonts w:ascii="Times New Roman" w:hAnsi="Times New Roman" w:cs="Times New Roman"/>
        </w:rPr>
        <w:t>(5), 641–650. https://doi.org/10.1016/j.addbeh.2012.01.015</w:t>
      </w:r>
    </w:p>
    <w:p w14:paraId="002590F3" w14:textId="1E872842"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Trivedi, S. (2019). The harm of child removal. </w:t>
      </w:r>
      <w:r w:rsidRPr="009B765A">
        <w:rPr>
          <w:rFonts w:ascii="Times New Roman" w:hAnsi="Times New Roman" w:cs="Times New Roman"/>
          <w:i/>
          <w:iCs/>
        </w:rPr>
        <w:t>NYU Rev. L. &amp; Soc. Change</w:t>
      </w:r>
      <w:r w:rsidRPr="009B765A">
        <w:rPr>
          <w:rFonts w:ascii="Times New Roman" w:hAnsi="Times New Roman" w:cs="Times New Roman"/>
        </w:rPr>
        <w:t xml:space="preserve">, </w:t>
      </w:r>
      <w:r w:rsidRPr="009B765A">
        <w:rPr>
          <w:rFonts w:ascii="Times New Roman" w:hAnsi="Times New Roman" w:cs="Times New Roman"/>
          <w:i/>
          <w:iCs/>
        </w:rPr>
        <w:t>43</w:t>
      </w:r>
      <w:r w:rsidRPr="009B765A">
        <w:rPr>
          <w:rFonts w:ascii="Times New Roman" w:hAnsi="Times New Roman" w:cs="Times New Roman"/>
        </w:rPr>
        <w:t>, 523.</w:t>
      </w:r>
    </w:p>
    <w:p w14:paraId="10E94219" w14:textId="32C5C45C"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Turney, K., &amp; Wildeman, C. (2016). Adverse childhood experiences among children placed in and adopted from foster care: Evidence from a nationally representative survey. </w:t>
      </w:r>
      <w:r w:rsidRPr="009B765A">
        <w:rPr>
          <w:rFonts w:ascii="Times New Roman" w:hAnsi="Times New Roman" w:cs="Times New Roman"/>
          <w:i/>
          <w:iCs/>
        </w:rPr>
        <w:t>Child Abuse &amp; Neglect</w:t>
      </w:r>
      <w:r w:rsidRPr="009B765A">
        <w:rPr>
          <w:rFonts w:ascii="Times New Roman" w:hAnsi="Times New Roman" w:cs="Times New Roman"/>
        </w:rPr>
        <w:t xml:space="preserve">, </w:t>
      </w:r>
      <w:r w:rsidRPr="009B765A">
        <w:rPr>
          <w:rFonts w:ascii="Times New Roman" w:hAnsi="Times New Roman" w:cs="Times New Roman"/>
          <w:i/>
          <w:iCs/>
        </w:rPr>
        <w:t>64</w:t>
      </w:r>
      <w:r w:rsidRPr="009B765A">
        <w:rPr>
          <w:rFonts w:ascii="Times New Roman" w:hAnsi="Times New Roman" w:cs="Times New Roman"/>
        </w:rPr>
        <w:t>, 117–129. https://doi.org/10.1016/j.chiabu.2016.12.009</w:t>
      </w:r>
    </w:p>
    <w:p w14:paraId="1CE92FFC" w14:textId="40909B75"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Velez, B. L., &amp; Moradi, B. (2016). A Moderated Mediation Test of Minority Stress: The Role of Collective Action. </w:t>
      </w:r>
      <w:r w:rsidRPr="009B765A">
        <w:rPr>
          <w:rFonts w:ascii="Times New Roman" w:hAnsi="Times New Roman" w:cs="Times New Roman"/>
          <w:i/>
          <w:iCs/>
        </w:rPr>
        <w:t>The Counseling Psychologist</w:t>
      </w:r>
      <w:r w:rsidRPr="009B765A">
        <w:rPr>
          <w:rFonts w:ascii="Times New Roman" w:hAnsi="Times New Roman" w:cs="Times New Roman"/>
        </w:rPr>
        <w:t xml:space="preserve">, </w:t>
      </w:r>
      <w:r w:rsidRPr="009B765A">
        <w:rPr>
          <w:rFonts w:ascii="Times New Roman" w:hAnsi="Times New Roman" w:cs="Times New Roman"/>
          <w:i/>
          <w:iCs/>
        </w:rPr>
        <w:t>44</w:t>
      </w:r>
      <w:r w:rsidRPr="009B765A">
        <w:rPr>
          <w:rFonts w:ascii="Times New Roman" w:hAnsi="Times New Roman" w:cs="Times New Roman"/>
        </w:rPr>
        <w:t>(8), 1132–1157. https://doi.org/10.1177/0011000016665467</w:t>
      </w:r>
    </w:p>
    <w:p w14:paraId="67AD44A4" w14:textId="3A17791E"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Wilson, B. D. M., &amp; Kastanis, A. A. (2015). Sexual and gender minority disproportionality and disparities in child welfare: A population-based study. </w:t>
      </w:r>
      <w:r w:rsidRPr="009B765A">
        <w:rPr>
          <w:rFonts w:ascii="Times New Roman" w:hAnsi="Times New Roman" w:cs="Times New Roman"/>
          <w:i/>
          <w:iCs/>
        </w:rPr>
        <w:t>Children and Youth Services Review</w:t>
      </w:r>
      <w:r w:rsidRPr="009B765A">
        <w:rPr>
          <w:rFonts w:ascii="Times New Roman" w:hAnsi="Times New Roman" w:cs="Times New Roman"/>
        </w:rPr>
        <w:t xml:space="preserve">, </w:t>
      </w:r>
      <w:r w:rsidRPr="009B765A">
        <w:rPr>
          <w:rFonts w:ascii="Times New Roman" w:hAnsi="Times New Roman" w:cs="Times New Roman"/>
          <w:i/>
          <w:iCs/>
        </w:rPr>
        <w:t>58</w:t>
      </w:r>
      <w:r w:rsidRPr="009B765A">
        <w:rPr>
          <w:rFonts w:ascii="Times New Roman" w:hAnsi="Times New Roman" w:cs="Times New Roman"/>
        </w:rPr>
        <w:t>, 11–17. https://doi.org/10.1016/j.childyouth.2015.08.016</w:t>
      </w:r>
    </w:p>
    <w:p w14:paraId="1643FEF9" w14:textId="3753E367"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lastRenderedPageBreak/>
        <w:t xml:space="preserve">Wojciak, A. S., Thompson, H. M., &amp; Cooley, M. E. (2017). The Relationship Between Caregivers and Youth in Foster Care: Examining the Relationship for Mediation and Moderation Effects on Youth Behaviors. </w:t>
      </w:r>
      <w:r w:rsidRPr="009B765A">
        <w:rPr>
          <w:rFonts w:ascii="Times New Roman" w:hAnsi="Times New Roman" w:cs="Times New Roman"/>
          <w:i/>
          <w:iCs/>
        </w:rPr>
        <w:t>Journal of Emotional and Behavioral Disorders</w:t>
      </w:r>
      <w:r w:rsidRPr="009B765A">
        <w:rPr>
          <w:rFonts w:ascii="Times New Roman" w:hAnsi="Times New Roman" w:cs="Times New Roman"/>
        </w:rPr>
        <w:t xml:space="preserve">, </w:t>
      </w:r>
      <w:r w:rsidRPr="009B765A">
        <w:rPr>
          <w:rFonts w:ascii="Times New Roman" w:hAnsi="Times New Roman" w:cs="Times New Roman"/>
          <w:i/>
          <w:iCs/>
        </w:rPr>
        <w:t>25</w:t>
      </w:r>
      <w:r w:rsidRPr="009B765A">
        <w:rPr>
          <w:rFonts w:ascii="Times New Roman" w:hAnsi="Times New Roman" w:cs="Times New Roman"/>
        </w:rPr>
        <w:t>(2), 96–106. https://doi.org/10.1177/1063426616628816</w:t>
      </w:r>
    </w:p>
    <w:p w14:paraId="1C090138" w14:textId="50BE793D" w:rsidR="009709EA" w:rsidRPr="009709EA" w:rsidRDefault="009709EA" w:rsidP="009709EA">
      <w:pPr>
        <w:pStyle w:val="Bibliography"/>
        <w:rPr>
          <w:rFonts w:ascii="Times New Roman" w:hAnsi="Times New Roman" w:cs="Times New Roman"/>
        </w:rPr>
      </w:pPr>
      <w:r w:rsidRPr="009B765A">
        <w:rPr>
          <w:rFonts w:ascii="Times New Roman" w:hAnsi="Times New Roman" w:cs="Times New Roman"/>
        </w:rPr>
        <w:t xml:space="preserve">Wu, Q., &amp; Snyder, S. M. (2019). Factors associated with the decision-making process in kinship diversion. </w:t>
      </w:r>
      <w:r w:rsidRPr="009B765A">
        <w:rPr>
          <w:rFonts w:ascii="Times New Roman" w:hAnsi="Times New Roman" w:cs="Times New Roman"/>
          <w:i/>
          <w:iCs/>
        </w:rPr>
        <w:t>Journal of Family Social Work</w:t>
      </w:r>
      <w:r w:rsidRPr="009B765A">
        <w:rPr>
          <w:rFonts w:ascii="Times New Roman" w:hAnsi="Times New Roman" w:cs="Times New Roman"/>
        </w:rPr>
        <w:t xml:space="preserve">, </w:t>
      </w:r>
      <w:r w:rsidRPr="009B765A">
        <w:rPr>
          <w:rFonts w:ascii="Times New Roman" w:hAnsi="Times New Roman" w:cs="Times New Roman"/>
          <w:i/>
          <w:iCs/>
        </w:rPr>
        <w:t>22</w:t>
      </w:r>
      <w:r w:rsidRPr="009B765A">
        <w:rPr>
          <w:rFonts w:ascii="Times New Roman" w:hAnsi="Times New Roman" w:cs="Times New Roman"/>
        </w:rPr>
        <w:t>(2), 161–186.</w:t>
      </w:r>
    </w:p>
    <w:p w14:paraId="20807C2A" w14:textId="77777777" w:rsidR="009709EA" w:rsidRPr="009B765A" w:rsidRDefault="009709EA" w:rsidP="009709EA">
      <w:pPr>
        <w:pStyle w:val="Bibliography"/>
        <w:rPr>
          <w:rFonts w:ascii="Times New Roman" w:hAnsi="Times New Roman" w:cs="Times New Roman"/>
        </w:rPr>
      </w:pPr>
      <w:r w:rsidRPr="009B765A">
        <w:rPr>
          <w:rFonts w:ascii="Times New Roman" w:hAnsi="Times New Roman" w:cs="Times New Roman"/>
        </w:rPr>
        <w:t xml:space="preserve">Yoon, S., Cage, J., Pei, F., &amp; Barnhart, S. (2021). Risk and Resilience Factors for Psychobehavioral Symptom Trajectories Among Child Welfare–Involved Youth. </w:t>
      </w:r>
      <w:r w:rsidRPr="009B765A">
        <w:rPr>
          <w:rFonts w:ascii="Times New Roman" w:hAnsi="Times New Roman" w:cs="Times New Roman"/>
          <w:i/>
          <w:iCs/>
        </w:rPr>
        <w:t>Journal of Interpersonal Violence</w:t>
      </w:r>
      <w:r w:rsidRPr="009B765A">
        <w:rPr>
          <w:rFonts w:ascii="Times New Roman" w:hAnsi="Times New Roman" w:cs="Times New Roman"/>
        </w:rPr>
        <w:t xml:space="preserve">, </w:t>
      </w:r>
      <w:r w:rsidRPr="009B765A">
        <w:rPr>
          <w:rFonts w:ascii="Times New Roman" w:hAnsi="Times New Roman" w:cs="Times New Roman"/>
          <w:i/>
          <w:iCs/>
        </w:rPr>
        <w:t>36</w:t>
      </w:r>
      <w:r w:rsidRPr="009B765A">
        <w:rPr>
          <w:rFonts w:ascii="Times New Roman" w:hAnsi="Times New Roman" w:cs="Times New Roman"/>
        </w:rPr>
        <w:t>(9–10), NP5281–NP5303. https://doi.org/10.1177/0886260518799485</w:t>
      </w:r>
    </w:p>
    <w:p w14:paraId="4FA168C3" w14:textId="207F0334" w:rsidR="00C95CB9" w:rsidRPr="002530AB" w:rsidRDefault="009709EA" w:rsidP="00C95CB9">
      <w:pPr>
        <w:widowControl w:val="0"/>
        <w:autoSpaceDE w:val="0"/>
        <w:autoSpaceDN w:val="0"/>
        <w:adjustRightInd w:val="0"/>
        <w:rPr>
          <w:rFonts w:ascii="Times New Roman" w:hAnsi="Times New Roman" w:cs="Times New Roman"/>
        </w:rPr>
      </w:pPr>
      <w:r w:rsidRPr="009B765A">
        <w:rPr>
          <w:rFonts w:ascii="Times New Roman" w:hAnsi="Times New Roman" w:cs="Times New Roman"/>
        </w:rPr>
        <w:fldChar w:fldCharType="end"/>
      </w:r>
    </w:p>
    <w:p w14:paraId="65C46406" w14:textId="77CEEA75" w:rsidR="00442034" w:rsidRPr="00442034" w:rsidRDefault="00442034" w:rsidP="00442034">
      <w:pPr>
        <w:widowControl w:val="0"/>
        <w:autoSpaceDE w:val="0"/>
        <w:autoSpaceDN w:val="0"/>
        <w:adjustRightInd w:val="0"/>
        <w:rPr>
          <w:rFonts w:ascii="Times New Roman" w:hAnsi="Times New Roman" w:cs="Times New Roman"/>
        </w:rPr>
      </w:pPr>
    </w:p>
    <w:tbl>
      <w:tblPr>
        <w:tblStyle w:val="TableGrid"/>
        <w:tblpPr w:leftFromText="187" w:rightFromText="187" w:vertAnchor="text" w:horzAnchor="margin" w:tblpY="-99"/>
        <w:tblW w:w="9540" w:type="dxa"/>
        <w:tblLayout w:type="fixed"/>
        <w:tblLook w:val="04A0" w:firstRow="1" w:lastRow="0" w:firstColumn="1" w:lastColumn="0" w:noHBand="0" w:noVBand="1"/>
      </w:tblPr>
      <w:tblGrid>
        <w:gridCol w:w="2340"/>
        <w:gridCol w:w="270"/>
        <w:gridCol w:w="990"/>
        <w:gridCol w:w="1350"/>
        <w:gridCol w:w="1350"/>
        <w:gridCol w:w="1350"/>
        <w:gridCol w:w="990"/>
        <w:gridCol w:w="900"/>
      </w:tblGrid>
      <w:tr w:rsidR="00B26CB8" w:rsidRPr="00442034" w14:paraId="2FAEF1CD" w14:textId="77777777" w:rsidTr="00B26CB8">
        <w:trPr>
          <w:trHeight w:val="357"/>
        </w:trPr>
        <w:tc>
          <w:tcPr>
            <w:tcW w:w="9540" w:type="dxa"/>
            <w:gridSpan w:val="8"/>
            <w:tcBorders>
              <w:top w:val="nil"/>
              <w:left w:val="nil"/>
              <w:bottom w:val="single" w:sz="4" w:space="0" w:color="auto"/>
              <w:right w:val="nil"/>
            </w:tcBorders>
          </w:tcPr>
          <w:p w14:paraId="19B0D382" w14:textId="77777777" w:rsidR="00B26CB8" w:rsidRPr="00442034" w:rsidRDefault="00B26CB8" w:rsidP="00B26CB8">
            <w:pPr>
              <w:rPr>
                <w:rFonts w:ascii="Times New Roman" w:hAnsi="Times New Roman" w:cs="Times New Roman"/>
                <w:b/>
                <w:bCs/>
              </w:rPr>
            </w:pPr>
            <w:r w:rsidRPr="00442034">
              <w:rPr>
                <w:rFonts w:ascii="Times New Roman" w:hAnsi="Times New Roman" w:cs="Times New Roman"/>
                <w:b/>
                <w:bCs/>
              </w:rPr>
              <w:lastRenderedPageBreak/>
              <w:t>Table 1. Descriptive Statistics of Sample Variables</w:t>
            </w:r>
          </w:p>
        </w:tc>
      </w:tr>
      <w:tr w:rsidR="00B26CB8" w:rsidRPr="00442034" w14:paraId="3A800A86" w14:textId="77777777" w:rsidTr="00441BDB">
        <w:trPr>
          <w:trHeight w:val="1359"/>
        </w:trPr>
        <w:tc>
          <w:tcPr>
            <w:tcW w:w="2340" w:type="dxa"/>
            <w:tcBorders>
              <w:left w:val="nil"/>
              <w:bottom w:val="single" w:sz="4" w:space="0" w:color="auto"/>
              <w:right w:val="nil"/>
            </w:tcBorders>
          </w:tcPr>
          <w:p w14:paraId="657F1B90" w14:textId="77777777" w:rsidR="00B26CB8" w:rsidRPr="00441BDB" w:rsidRDefault="00B26CB8" w:rsidP="00B26CB8">
            <w:pPr>
              <w:jc w:val="center"/>
              <w:rPr>
                <w:rFonts w:ascii="Times New Roman" w:hAnsi="Times New Roman" w:cs="Times New Roman"/>
                <w:sz w:val="20"/>
                <w:szCs w:val="20"/>
              </w:rPr>
            </w:pPr>
          </w:p>
        </w:tc>
        <w:tc>
          <w:tcPr>
            <w:tcW w:w="1260" w:type="dxa"/>
            <w:gridSpan w:val="2"/>
            <w:tcBorders>
              <w:left w:val="nil"/>
              <w:bottom w:val="single" w:sz="4" w:space="0" w:color="auto"/>
              <w:right w:val="nil"/>
            </w:tcBorders>
          </w:tcPr>
          <w:p w14:paraId="58515833" w14:textId="77777777" w:rsidR="00B26CB8" w:rsidRPr="00441BDB" w:rsidRDefault="00B26CB8" w:rsidP="00B26CB8">
            <w:pPr>
              <w:jc w:val="center"/>
              <w:rPr>
                <w:rFonts w:ascii="Times New Roman" w:hAnsi="Times New Roman" w:cs="Times New Roman"/>
                <w:sz w:val="20"/>
                <w:szCs w:val="20"/>
              </w:rPr>
            </w:pPr>
          </w:p>
        </w:tc>
        <w:tc>
          <w:tcPr>
            <w:tcW w:w="1350" w:type="dxa"/>
            <w:tcBorders>
              <w:left w:val="nil"/>
              <w:bottom w:val="single" w:sz="4" w:space="0" w:color="auto"/>
              <w:right w:val="nil"/>
            </w:tcBorders>
          </w:tcPr>
          <w:p w14:paraId="43B18427" w14:textId="77777777" w:rsidR="00B26CB8" w:rsidRPr="00441BDB" w:rsidRDefault="00B26CB8" w:rsidP="00B26CB8">
            <w:pPr>
              <w:jc w:val="center"/>
              <w:rPr>
                <w:rFonts w:ascii="Times New Roman" w:hAnsi="Times New Roman" w:cs="Times New Roman"/>
                <w:b/>
                <w:bCs/>
                <w:sz w:val="20"/>
                <w:szCs w:val="20"/>
              </w:rPr>
            </w:pPr>
            <w:r w:rsidRPr="00441BDB">
              <w:rPr>
                <w:rFonts w:ascii="Times New Roman" w:hAnsi="Times New Roman" w:cs="Times New Roman"/>
                <w:b/>
                <w:bCs/>
                <w:sz w:val="20"/>
                <w:szCs w:val="20"/>
              </w:rPr>
              <w:t>Full Sample</w:t>
            </w:r>
          </w:p>
          <w:p w14:paraId="0C27AE07"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i/>
                <w:iCs/>
                <w:sz w:val="20"/>
                <w:szCs w:val="20"/>
              </w:rPr>
              <w:t xml:space="preserve">n </w:t>
            </w:r>
            <w:r w:rsidRPr="00441BDB">
              <w:rPr>
                <w:rFonts w:ascii="Times New Roman" w:hAnsi="Times New Roman" w:cs="Times New Roman"/>
                <w:sz w:val="20"/>
                <w:szCs w:val="20"/>
              </w:rPr>
              <w:t>= 608</w:t>
            </w:r>
          </w:p>
          <w:p w14:paraId="694BFE8F"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i/>
                <w:iCs/>
                <w:sz w:val="20"/>
                <w:szCs w:val="20"/>
              </w:rPr>
              <w:t>N</w:t>
            </w:r>
            <w:r w:rsidRPr="00441BDB">
              <w:rPr>
                <w:rFonts w:ascii="Times New Roman" w:hAnsi="Times New Roman" w:cs="Times New Roman"/>
                <w:sz w:val="20"/>
                <w:szCs w:val="20"/>
              </w:rPr>
              <w:t>=559,872</w:t>
            </w:r>
          </w:p>
        </w:tc>
        <w:tc>
          <w:tcPr>
            <w:tcW w:w="1350" w:type="dxa"/>
            <w:tcBorders>
              <w:left w:val="nil"/>
              <w:bottom w:val="single" w:sz="4" w:space="0" w:color="auto"/>
              <w:right w:val="nil"/>
            </w:tcBorders>
          </w:tcPr>
          <w:p w14:paraId="2371A0BF" w14:textId="77777777" w:rsidR="00B26CB8" w:rsidRPr="00441BDB" w:rsidRDefault="00B26CB8" w:rsidP="00B26CB8">
            <w:pPr>
              <w:jc w:val="center"/>
              <w:rPr>
                <w:rFonts w:ascii="Times New Roman" w:hAnsi="Times New Roman" w:cs="Times New Roman"/>
                <w:b/>
                <w:bCs/>
                <w:sz w:val="20"/>
                <w:szCs w:val="20"/>
              </w:rPr>
            </w:pPr>
            <w:r w:rsidRPr="00441BDB">
              <w:rPr>
                <w:rFonts w:ascii="Times New Roman" w:hAnsi="Times New Roman" w:cs="Times New Roman"/>
                <w:b/>
                <w:bCs/>
                <w:sz w:val="20"/>
                <w:szCs w:val="20"/>
              </w:rPr>
              <w:t>LGBQ Youth</w:t>
            </w:r>
          </w:p>
          <w:p w14:paraId="59308F56"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i/>
                <w:iCs/>
                <w:sz w:val="20"/>
                <w:szCs w:val="20"/>
              </w:rPr>
              <w:t xml:space="preserve">n </w:t>
            </w:r>
            <w:r w:rsidRPr="00441BDB">
              <w:rPr>
                <w:rFonts w:ascii="Times New Roman" w:hAnsi="Times New Roman" w:cs="Times New Roman"/>
                <w:sz w:val="20"/>
                <w:szCs w:val="20"/>
              </w:rPr>
              <w:t>= 134</w:t>
            </w:r>
          </w:p>
          <w:p w14:paraId="36F7A8D0"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i/>
                <w:iCs/>
                <w:sz w:val="20"/>
                <w:szCs w:val="20"/>
              </w:rPr>
              <w:t>N</w:t>
            </w:r>
            <w:r w:rsidRPr="00441BDB">
              <w:rPr>
                <w:rFonts w:ascii="Times New Roman" w:hAnsi="Times New Roman" w:cs="Times New Roman"/>
                <w:sz w:val="20"/>
                <w:szCs w:val="20"/>
              </w:rPr>
              <w:t>=132,197</w:t>
            </w:r>
          </w:p>
        </w:tc>
        <w:tc>
          <w:tcPr>
            <w:tcW w:w="1350" w:type="dxa"/>
            <w:tcBorders>
              <w:left w:val="nil"/>
              <w:bottom w:val="single" w:sz="4" w:space="0" w:color="auto"/>
              <w:right w:val="nil"/>
            </w:tcBorders>
          </w:tcPr>
          <w:p w14:paraId="561413D8" w14:textId="09527A2A" w:rsidR="00B26CB8" w:rsidRPr="00441BDB" w:rsidRDefault="00441BDB" w:rsidP="00B26CB8">
            <w:pPr>
              <w:jc w:val="center"/>
              <w:rPr>
                <w:rFonts w:ascii="Times New Roman" w:hAnsi="Times New Roman" w:cs="Times New Roman"/>
                <w:sz w:val="20"/>
                <w:szCs w:val="20"/>
              </w:rPr>
            </w:pPr>
            <w:r w:rsidRPr="00441BDB">
              <w:rPr>
                <w:rFonts w:ascii="Times New Roman" w:hAnsi="Times New Roman" w:cs="Times New Roman"/>
                <w:b/>
                <w:bCs/>
                <w:sz w:val="20"/>
                <w:szCs w:val="20"/>
              </w:rPr>
              <w:t>Non-LGBQ</w:t>
            </w:r>
            <w:r w:rsidR="00B26CB8" w:rsidRPr="00441BDB">
              <w:rPr>
                <w:rFonts w:ascii="Times New Roman" w:hAnsi="Times New Roman" w:cs="Times New Roman"/>
                <w:b/>
                <w:bCs/>
                <w:sz w:val="20"/>
                <w:szCs w:val="20"/>
              </w:rPr>
              <w:t xml:space="preserve"> Youth</w:t>
            </w:r>
            <w:r w:rsidR="00B26CB8" w:rsidRPr="00441BDB">
              <w:rPr>
                <w:rFonts w:ascii="Times New Roman" w:hAnsi="Times New Roman" w:cs="Times New Roman"/>
                <w:sz w:val="20"/>
                <w:szCs w:val="20"/>
              </w:rPr>
              <w:t xml:space="preserve"> </w:t>
            </w:r>
          </w:p>
          <w:p w14:paraId="5B4A2EF7"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i/>
                <w:iCs/>
                <w:sz w:val="20"/>
                <w:szCs w:val="20"/>
              </w:rPr>
              <w:t>n</w:t>
            </w:r>
            <w:r w:rsidRPr="00441BDB">
              <w:rPr>
                <w:rFonts w:ascii="Times New Roman" w:hAnsi="Times New Roman" w:cs="Times New Roman"/>
                <w:sz w:val="20"/>
                <w:szCs w:val="20"/>
              </w:rPr>
              <w:t xml:space="preserve"> = 474</w:t>
            </w:r>
          </w:p>
          <w:p w14:paraId="47F8B057"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i/>
                <w:iCs/>
                <w:sz w:val="20"/>
                <w:szCs w:val="20"/>
              </w:rPr>
              <w:t>N</w:t>
            </w:r>
            <w:r w:rsidRPr="00441BDB">
              <w:rPr>
                <w:rFonts w:ascii="Times New Roman" w:hAnsi="Times New Roman" w:cs="Times New Roman"/>
                <w:sz w:val="20"/>
                <w:szCs w:val="20"/>
              </w:rPr>
              <w:t>=427,675</w:t>
            </w:r>
          </w:p>
        </w:tc>
        <w:tc>
          <w:tcPr>
            <w:tcW w:w="1890" w:type="dxa"/>
            <w:gridSpan w:val="2"/>
            <w:tcBorders>
              <w:left w:val="nil"/>
              <w:bottom w:val="single" w:sz="4" w:space="0" w:color="auto"/>
              <w:right w:val="nil"/>
            </w:tcBorders>
          </w:tcPr>
          <w:p w14:paraId="2A91E80D" w14:textId="77777777" w:rsidR="00B26CB8" w:rsidRPr="00441BDB" w:rsidRDefault="00B26CB8" w:rsidP="00B26CB8">
            <w:pPr>
              <w:jc w:val="center"/>
              <w:rPr>
                <w:rFonts w:ascii="Times New Roman" w:hAnsi="Times New Roman" w:cs="Times New Roman"/>
                <w:b/>
                <w:bCs/>
                <w:sz w:val="20"/>
                <w:szCs w:val="20"/>
              </w:rPr>
            </w:pPr>
            <w:r w:rsidRPr="00441BDB">
              <w:rPr>
                <w:rFonts w:ascii="Times New Roman" w:hAnsi="Times New Roman" w:cs="Times New Roman"/>
                <w:b/>
                <w:bCs/>
                <w:sz w:val="20"/>
                <w:szCs w:val="20"/>
              </w:rPr>
              <w:t xml:space="preserve">Linear Difference </w:t>
            </w:r>
            <w:r w:rsidRPr="00441BDB">
              <w:rPr>
                <w:rFonts w:ascii="Times New Roman" w:hAnsi="Times New Roman" w:cs="Times New Roman"/>
                <w:b/>
                <w:bCs/>
                <w:i/>
                <w:iCs/>
                <w:sz w:val="20"/>
                <w:szCs w:val="20"/>
              </w:rPr>
              <w:t>T</w:t>
            </w:r>
            <w:r w:rsidRPr="00441BDB">
              <w:rPr>
                <w:rFonts w:ascii="Times New Roman" w:hAnsi="Times New Roman" w:cs="Times New Roman"/>
                <w:b/>
                <w:bCs/>
                <w:sz w:val="20"/>
                <w:szCs w:val="20"/>
              </w:rPr>
              <w:t>-test</w:t>
            </w:r>
          </w:p>
        </w:tc>
      </w:tr>
      <w:tr w:rsidR="00B26CB8" w:rsidRPr="00442034" w14:paraId="0AFA0C0F" w14:textId="77777777" w:rsidTr="00441BDB">
        <w:trPr>
          <w:trHeight w:val="671"/>
        </w:trPr>
        <w:tc>
          <w:tcPr>
            <w:tcW w:w="2340" w:type="dxa"/>
            <w:tcBorders>
              <w:left w:val="nil"/>
              <w:bottom w:val="single" w:sz="4" w:space="0" w:color="auto"/>
              <w:right w:val="nil"/>
            </w:tcBorders>
          </w:tcPr>
          <w:p w14:paraId="5D207B50"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Variable</w:t>
            </w:r>
          </w:p>
        </w:tc>
        <w:tc>
          <w:tcPr>
            <w:tcW w:w="1260" w:type="dxa"/>
            <w:gridSpan w:val="2"/>
            <w:tcBorders>
              <w:left w:val="nil"/>
              <w:bottom w:val="single" w:sz="4" w:space="0" w:color="auto"/>
              <w:right w:val="nil"/>
            </w:tcBorders>
          </w:tcPr>
          <w:p w14:paraId="42279496" w14:textId="77777777" w:rsidR="00B26CB8" w:rsidRPr="00441BDB" w:rsidRDefault="00B26CB8" w:rsidP="00B26CB8">
            <w:pPr>
              <w:jc w:val="center"/>
              <w:rPr>
                <w:rFonts w:ascii="Times New Roman" w:hAnsi="Times New Roman" w:cs="Times New Roman"/>
                <w:i/>
                <w:iCs/>
                <w:sz w:val="20"/>
                <w:szCs w:val="20"/>
              </w:rPr>
            </w:pPr>
            <w:r w:rsidRPr="00441BDB">
              <w:rPr>
                <w:rFonts w:ascii="Times New Roman" w:hAnsi="Times New Roman" w:cs="Times New Roman"/>
                <w:i/>
                <w:iCs/>
                <w:sz w:val="20"/>
                <w:szCs w:val="20"/>
              </w:rPr>
              <w:t>Range</w:t>
            </w:r>
          </w:p>
        </w:tc>
        <w:tc>
          <w:tcPr>
            <w:tcW w:w="1350" w:type="dxa"/>
            <w:tcBorders>
              <w:left w:val="nil"/>
              <w:bottom w:val="single" w:sz="4" w:space="0" w:color="auto"/>
              <w:right w:val="nil"/>
            </w:tcBorders>
          </w:tcPr>
          <w:p w14:paraId="037C273F" w14:textId="77777777" w:rsidR="00B26CB8" w:rsidRPr="00441BDB" w:rsidRDefault="00B26CB8" w:rsidP="00B26CB8">
            <w:pPr>
              <w:jc w:val="center"/>
              <w:rPr>
                <w:rFonts w:ascii="Times New Roman" w:hAnsi="Times New Roman" w:cs="Times New Roman"/>
                <w:i/>
                <w:iCs/>
                <w:sz w:val="20"/>
                <w:szCs w:val="20"/>
              </w:rPr>
            </w:pPr>
            <w:r w:rsidRPr="00441BDB">
              <w:rPr>
                <w:rFonts w:ascii="Times New Roman" w:hAnsi="Times New Roman" w:cs="Times New Roman"/>
                <w:i/>
                <w:iCs/>
                <w:sz w:val="20"/>
                <w:szCs w:val="20"/>
              </w:rPr>
              <w:t>M</w:t>
            </w:r>
          </w:p>
          <w:p w14:paraId="4CFA4CD0" w14:textId="77777777" w:rsidR="00B26CB8" w:rsidRPr="00441BDB" w:rsidRDefault="00B26CB8" w:rsidP="00B26CB8">
            <w:pPr>
              <w:jc w:val="center"/>
              <w:rPr>
                <w:rFonts w:ascii="Times New Roman" w:hAnsi="Times New Roman" w:cs="Times New Roman"/>
                <w:i/>
                <w:iCs/>
                <w:sz w:val="20"/>
                <w:szCs w:val="20"/>
              </w:rPr>
            </w:pPr>
            <w:r w:rsidRPr="00441BDB">
              <w:rPr>
                <w:rFonts w:ascii="Times New Roman" w:hAnsi="Times New Roman" w:cs="Times New Roman"/>
                <w:i/>
                <w:iCs/>
                <w:sz w:val="20"/>
                <w:szCs w:val="20"/>
              </w:rPr>
              <w:t>(SD)</w:t>
            </w:r>
          </w:p>
        </w:tc>
        <w:tc>
          <w:tcPr>
            <w:tcW w:w="1350" w:type="dxa"/>
            <w:tcBorders>
              <w:left w:val="nil"/>
              <w:bottom w:val="single" w:sz="4" w:space="0" w:color="auto"/>
              <w:right w:val="nil"/>
            </w:tcBorders>
          </w:tcPr>
          <w:p w14:paraId="3961B8DB" w14:textId="77777777" w:rsidR="00B26CB8" w:rsidRPr="00441BDB" w:rsidRDefault="00B26CB8" w:rsidP="00B26CB8">
            <w:pPr>
              <w:jc w:val="center"/>
              <w:rPr>
                <w:rFonts w:ascii="Times New Roman" w:hAnsi="Times New Roman" w:cs="Times New Roman"/>
                <w:i/>
                <w:iCs/>
                <w:sz w:val="20"/>
                <w:szCs w:val="20"/>
              </w:rPr>
            </w:pPr>
            <w:r w:rsidRPr="00441BDB">
              <w:rPr>
                <w:rFonts w:ascii="Times New Roman" w:hAnsi="Times New Roman" w:cs="Times New Roman"/>
                <w:i/>
                <w:iCs/>
                <w:sz w:val="20"/>
                <w:szCs w:val="20"/>
              </w:rPr>
              <w:t>M</w:t>
            </w:r>
          </w:p>
          <w:p w14:paraId="74FD759C" w14:textId="77777777" w:rsidR="00B26CB8" w:rsidRPr="00441BDB" w:rsidRDefault="00B26CB8" w:rsidP="00B26CB8">
            <w:pPr>
              <w:jc w:val="center"/>
              <w:rPr>
                <w:rFonts w:ascii="Times New Roman" w:hAnsi="Times New Roman" w:cs="Times New Roman"/>
                <w:i/>
                <w:iCs/>
                <w:sz w:val="20"/>
                <w:szCs w:val="20"/>
              </w:rPr>
            </w:pPr>
            <w:r w:rsidRPr="00441BDB">
              <w:rPr>
                <w:rFonts w:ascii="Times New Roman" w:hAnsi="Times New Roman" w:cs="Times New Roman"/>
                <w:i/>
                <w:iCs/>
                <w:sz w:val="20"/>
                <w:szCs w:val="20"/>
              </w:rPr>
              <w:t>(SD)</w:t>
            </w:r>
          </w:p>
        </w:tc>
        <w:tc>
          <w:tcPr>
            <w:tcW w:w="1350" w:type="dxa"/>
            <w:tcBorders>
              <w:left w:val="nil"/>
              <w:bottom w:val="single" w:sz="4" w:space="0" w:color="auto"/>
              <w:right w:val="nil"/>
            </w:tcBorders>
          </w:tcPr>
          <w:p w14:paraId="3A95C986" w14:textId="77777777" w:rsidR="00B26CB8" w:rsidRPr="00441BDB" w:rsidRDefault="00B26CB8" w:rsidP="00B26CB8">
            <w:pPr>
              <w:jc w:val="center"/>
              <w:rPr>
                <w:rFonts w:ascii="Times New Roman" w:hAnsi="Times New Roman" w:cs="Times New Roman"/>
                <w:i/>
                <w:iCs/>
                <w:sz w:val="20"/>
                <w:szCs w:val="20"/>
              </w:rPr>
            </w:pPr>
            <w:r w:rsidRPr="00441BDB">
              <w:rPr>
                <w:rFonts w:ascii="Times New Roman" w:hAnsi="Times New Roman" w:cs="Times New Roman"/>
                <w:i/>
                <w:iCs/>
                <w:sz w:val="20"/>
                <w:szCs w:val="20"/>
              </w:rPr>
              <w:t>M</w:t>
            </w:r>
          </w:p>
          <w:p w14:paraId="1F60EA3B" w14:textId="77777777" w:rsidR="00B26CB8" w:rsidRPr="00441BDB" w:rsidRDefault="00B26CB8" w:rsidP="00B26CB8">
            <w:pPr>
              <w:jc w:val="center"/>
              <w:rPr>
                <w:rFonts w:ascii="Times New Roman" w:hAnsi="Times New Roman" w:cs="Times New Roman"/>
                <w:i/>
                <w:iCs/>
                <w:sz w:val="20"/>
                <w:szCs w:val="20"/>
              </w:rPr>
            </w:pPr>
            <w:r w:rsidRPr="00441BDB">
              <w:rPr>
                <w:rFonts w:ascii="Times New Roman" w:hAnsi="Times New Roman" w:cs="Times New Roman"/>
                <w:i/>
                <w:iCs/>
                <w:sz w:val="20"/>
                <w:szCs w:val="20"/>
              </w:rPr>
              <w:t>(SD)</w:t>
            </w:r>
          </w:p>
        </w:tc>
        <w:tc>
          <w:tcPr>
            <w:tcW w:w="990" w:type="dxa"/>
            <w:tcBorders>
              <w:left w:val="nil"/>
              <w:bottom w:val="single" w:sz="4" w:space="0" w:color="auto"/>
              <w:right w:val="nil"/>
            </w:tcBorders>
          </w:tcPr>
          <w:p w14:paraId="64069706" w14:textId="77777777" w:rsidR="00B26CB8" w:rsidRPr="00441BDB" w:rsidRDefault="00B26CB8" w:rsidP="00B26CB8">
            <w:pPr>
              <w:jc w:val="center"/>
              <w:rPr>
                <w:rFonts w:ascii="Times New Roman" w:hAnsi="Times New Roman" w:cs="Times New Roman"/>
                <w:i/>
                <w:iCs/>
                <w:sz w:val="20"/>
                <w:szCs w:val="20"/>
                <w:vertAlign w:val="superscript"/>
              </w:rPr>
            </w:pPr>
            <w:r w:rsidRPr="00441BDB">
              <w:rPr>
                <w:rFonts w:ascii="Times New Roman" w:hAnsi="Times New Roman" w:cs="Times New Roman"/>
                <w:i/>
                <w:iCs/>
                <w:sz w:val="20"/>
                <w:szCs w:val="20"/>
              </w:rPr>
              <w:t xml:space="preserve">LGBQ </w:t>
            </w:r>
            <w:proofErr w:type="spellStart"/>
            <w:r w:rsidRPr="00441BDB">
              <w:rPr>
                <w:rFonts w:ascii="Times New Roman" w:hAnsi="Times New Roman" w:cs="Times New Roman"/>
                <w:i/>
                <w:iCs/>
                <w:sz w:val="20"/>
                <w:szCs w:val="20"/>
              </w:rPr>
              <w:t>Diff.</w:t>
            </w:r>
            <w:r w:rsidRPr="00441BDB">
              <w:rPr>
                <w:rFonts w:ascii="Times New Roman" w:hAnsi="Times New Roman" w:cs="Times New Roman"/>
                <w:i/>
                <w:iCs/>
                <w:sz w:val="20"/>
                <w:szCs w:val="20"/>
                <w:vertAlign w:val="superscript"/>
              </w:rPr>
              <w:t>a</w:t>
            </w:r>
            <w:proofErr w:type="spellEnd"/>
          </w:p>
        </w:tc>
        <w:tc>
          <w:tcPr>
            <w:tcW w:w="900" w:type="dxa"/>
            <w:tcBorders>
              <w:left w:val="nil"/>
              <w:bottom w:val="single" w:sz="4" w:space="0" w:color="auto"/>
              <w:right w:val="nil"/>
            </w:tcBorders>
          </w:tcPr>
          <w:p w14:paraId="6BDCA6DB" w14:textId="77777777" w:rsidR="00B26CB8" w:rsidRPr="00441BDB" w:rsidRDefault="00B26CB8" w:rsidP="00B26CB8">
            <w:pPr>
              <w:jc w:val="center"/>
              <w:rPr>
                <w:rFonts w:ascii="Times New Roman" w:hAnsi="Times New Roman" w:cs="Times New Roman"/>
                <w:i/>
                <w:iCs/>
                <w:sz w:val="20"/>
                <w:szCs w:val="20"/>
                <w:vertAlign w:val="superscript"/>
              </w:rPr>
            </w:pPr>
            <w:r w:rsidRPr="00441BDB">
              <w:rPr>
                <w:rFonts w:ascii="Times New Roman" w:hAnsi="Times New Roman" w:cs="Times New Roman"/>
                <w:i/>
                <w:iCs/>
                <w:sz w:val="20"/>
                <w:szCs w:val="20"/>
              </w:rPr>
              <w:t>p-</w:t>
            </w:r>
            <w:proofErr w:type="spellStart"/>
            <w:r w:rsidRPr="00441BDB">
              <w:rPr>
                <w:rFonts w:ascii="Times New Roman" w:hAnsi="Times New Roman" w:cs="Times New Roman"/>
                <w:i/>
                <w:iCs/>
                <w:sz w:val="20"/>
                <w:szCs w:val="20"/>
              </w:rPr>
              <w:t>value</w:t>
            </w:r>
            <w:r w:rsidRPr="00441BDB">
              <w:rPr>
                <w:rFonts w:ascii="Times New Roman" w:hAnsi="Times New Roman" w:cs="Times New Roman"/>
                <w:i/>
                <w:iCs/>
                <w:sz w:val="20"/>
                <w:szCs w:val="20"/>
                <w:vertAlign w:val="superscript"/>
              </w:rPr>
              <w:t>b</w:t>
            </w:r>
            <w:proofErr w:type="spellEnd"/>
          </w:p>
        </w:tc>
      </w:tr>
      <w:tr w:rsidR="00B26CB8" w:rsidRPr="00442034" w14:paraId="1848EF8D" w14:textId="77777777" w:rsidTr="00441BDB">
        <w:trPr>
          <w:trHeight w:val="833"/>
        </w:trPr>
        <w:tc>
          <w:tcPr>
            <w:tcW w:w="2340" w:type="dxa"/>
            <w:tcBorders>
              <w:top w:val="nil"/>
              <w:left w:val="nil"/>
              <w:bottom w:val="nil"/>
              <w:right w:val="nil"/>
            </w:tcBorders>
          </w:tcPr>
          <w:p w14:paraId="35AD4F86" w14:textId="77777777" w:rsidR="00B26CB8" w:rsidRPr="00441BDB" w:rsidRDefault="00B26CB8" w:rsidP="00B26CB8">
            <w:pPr>
              <w:rPr>
                <w:rFonts w:ascii="Times New Roman" w:hAnsi="Times New Roman" w:cs="Times New Roman"/>
                <w:sz w:val="20"/>
                <w:szCs w:val="20"/>
              </w:rPr>
            </w:pPr>
            <w:r w:rsidRPr="00441BDB">
              <w:rPr>
                <w:rFonts w:ascii="Times New Roman" w:hAnsi="Times New Roman" w:cs="Times New Roman"/>
                <w:sz w:val="20"/>
                <w:szCs w:val="20"/>
              </w:rPr>
              <w:t xml:space="preserve"> Exceeding Internalizing   </w:t>
            </w:r>
          </w:p>
          <w:p w14:paraId="54D0AABC" w14:textId="77777777" w:rsidR="00B26CB8" w:rsidRPr="00441BDB" w:rsidRDefault="00B26CB8" w:rsidP="00B26CB8">
            <w:pPr>
              <w:rPr>
                <w:rFonts w:ascii="Times New Roman" w:hAnsi="Times New Roman" w:cs="Times New Roman"/>
                <w:sz w:val="20"/>
                <w:szCs w:val="20"/>
              </w:rPr>
            </w:pPr>
            <w:r w:rsidRPr="00441BDB">
              <w:rPr>
                <w:rFonts w:ascii="Times New Roman" w:hAnsi="Times New Roman" w:cs="Times New Roman"/>
                <w:sz w:val="20"/>
                <w:szCs w:val="20"/>
              </w:rPr>
              <w:t>Threshold (Wave 3)</w:t>
            </w:r>
          </w:p>
        </w:tc>
        <w:tc>
          <w:tcPr>
            <w:tcW w:w="1260" w:type="dxa"/>
            <w:gridSpan w:val="2"/>
            <w:tcBorders>
              <w:top w:val="nil"/>
              <w:left w:val="nil"/>
              <w:bottom w:val="nil"/>
              <w:right w:val="nil"/>
            </w:tcBorders>
          </w:tcPr>
          <w:p w14:paraId="6432CD14"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nil"/>
              <w:right w:val="nil"/>
            </w:tcBorders>
          </w:tcPr>
          <w:p w14:paraId="0BF26FDB"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17.68%</w:t>
            </w:r>
          </w:p>
          <w:p w14:paraId="6EB9D423"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(.02)</w:t>
            </w:r>
          </w:p>
        </w:tc>
        <w:tc>
          <w:tcPr>
            <w:tcW w:w="1350" w:type="dxa"/>
            <w:tcBorders>
              <w:top w:val="nil"/>
              <w:left w:val="nil"/>
              <w:bottom w:val="nil"/>
              <w:right w:val="nil"/>
            </w:tcBorders>
          </w:tcPr>
          <w:p w14:paraId="6A0C29AA"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24.26%</w:t>
            </w:r>
          </w:p>
          <w:p w14:paraId="6FA74EC6"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(.07)</w:t>
            </w:r>
          </w:p>
        </w:tc>
        <w:tc>
          <w:tcPr>
            <w:tcW w:w="1350" w:type="dxa"/>
            <w:tcBorders>
              <w:top w:val="nil"/>
              <w:left w:val="nil"/>
              <w:bottom w:val="nil"/>
              <w:right w:val="nil"/>
            </w:tcBorders>
          </w:tcPr>
          <w:p w14:paraId="0085F0FA"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15.65%</w:t>
            </w:r>
          </w:p>
          <w:p w14:paraId="2D7A61CA"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(.02)</w:t>
            </w:r>
          </w:p>
        </w:tc>
        <w:tc>
          <w:tcPr>
            <w:tcW w:w="990" w:type="dxa"/>
            <w:tcBorders>
              <w:top w:val="nil"/>
              <w:left w:val="nil"/>
              <w:bottom w:val="nil"/>
              <w:right w:val="nil"/>
            </w:tcBorders>
          </w:tcPr>
          <w:p w14:paraId="4B065A59"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-1.21</w:t>
            </w:r>
          </w:p>
        </w:tc>
        <w:tc>
          <w:tcPr>
            <w:tcW w:w="900" w:type="dxa"/>
            <w:tcBorders>
              <w:top w:val="nil"/>
              <w:left w:val="nil"/>
              <w:bottom w:val="nil"/>
              <w:right w:val="nil"/>
            </w:tcBorders>
          </w:tcPr>
          <w:p w14:paraId="4DC4F71D" w14:textId="77777777" w:rsidR="00B26CB8" w:rsidRPr="00441BDB" w:rsidRDefault="00B26CB8" w:rsidP="00B26CB8">
            <w:pPr>
              <w:tabs>
                <w:tab w:val="decimal" w:pos="430"/>
              </w:tabs>
              <w:jc w:val="both"/>
              <w:rPr>
                <w:rFonts w:ascii="Times New Roman" w:hAnsi="Times New Roman" w:cs="Times New Roman"/>
                <w:i/>
                <w:iCs/>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 .23</w:t>
            </w:r>
          </w:p>
        </w:tc>
      </w:tr>
      <w:tr w:rsidR="00B26CB8" w:rsidRPr="00442034" w14:paraId="2EA6B86E" w14:textId="77777777" w:rsidTr="00441BDB">
        <w:trPr>
          <w:trHeight w:val="838"/>
        </w:trPr>
        <w:tc>
          <w:tcPr>
            <w:tcW w:w="2340" w:type="dxa"/>
            <w:tcBorders>
              <w:top w:val="nil"/>
              <w:left w:val="nil"/>
              <w:bottom w:val="nil"/>
              <w:right w:val="nil"/>
            </w:tcBorders>
          </w:tcPr>
          <w:p w14:paraId="411AA9CC" w14:textId="77777777" w:rsidR="00B26CB8" w:rsidRPr="00441BDB" w:rsidRDefault="00B26CB8" w:rsidP="00B26CB8">
            <w:pPr>
              <w:ind w:left="80"/>
              <w:rPr>
                <w:rFonts w:ascii="Times New Roman" w:hAnsi="Times New Roman" w:cs="Times New Roman"/>
                <w:sz w:val="20"/>
                <w:szCs w:val="20"/>
              </w:rPr>
            </w:pPr>
            <w:r w:rsidRPr="00441BDB">
              <w:rPr>
                <w:rFonts w:ascii="Times New Roman" w:hAnsi="Times New Roman" w:cs="Times New Roman"/>
                <w:sz w:val="20"/>
                <w:szCs w:val="20"/>
              </w:rPr>
              <w:t>Exceeding Externalizing Threshold (Wave 3)</w:t>
            </w:r>
          </w:p>
        </w:tc>
        <w:tc>
          <w:tcPr>
            <w:tcW w:w="1260" w:type="dxa"/>
            <w:gridSpan w:val="2"/>
            <w:tcBorders>
              <w:top w:val="nil"/>
              <w:left w:val="nil"/>
              <w:bottom w:val="nil"/>
              <w:right w:val="nil"/>
            </w:tcBorders>
          </w:tcPr>
          <w:p w14:paraId="36F0CC14"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nil"/>
              <w:right w:val="nil"/>
            </w:tcBorders>
          </w:tcPr>
          <w:p w14:paraId="4ED1F45B"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19.10%</w:t>
            </w:r>
          </w:p>
          <w:p w14:paraId="67981FC6"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(.02)</w:t>
            </w:r>
          </w:p>
        </w:tc>
        <w:tc>
          <w:tcPr>
            <w:tcW w:w="1350" w:type="dxa"/>
            <w:tcBorders>
              <w:top w:val="nil"/>
              <w:left w:val="nil"/>
              <w:bottom w:val="nil"/>
              <w:right w:val="nil"/>
            </w:tcBorders>
          </w:tcPr>
          <w:p w14:paraId="5207CB2A"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18.95%</w:t>
            </w:r>
          </w:p>
          <w:p w14:paraId="1009FB1A"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(.05)</w:t>
            </w:r>
          </w:p>
        </w:tc>
        <w:tc>
          <w:tcPr>
            <w:tcW w:w="1350" w:type="dxa"/>
            <w:tcBorders>
              <w:top w:val="nil"/>
              <w:left w:val="nil"/>
              <w:bottom w:val="nil"/>
              <w:right w:val="nil"/>
            </w:tcBorders>
          </w:tcPr>
          <w:p w14:paraId="69F2DD0C"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19.13%</w:t>
            </w:r>
          </w:p>
          <w:p w14:paraId="251715F0"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(.03)</w:t>
            </w:r>
          </w:p>
        </w:tc>
        <w:tc>
          <w:tcPr>
            <w:tcW w:w="990" w:type="dxa"/>
            <w:tcBorders>
              <w:top w:val="nil"/>
              <w:left w:val="nil"/>
              <w:bottom w:val="nil"/>
              <w:right w:val="nil"/>
            </w:tcBorders>
          </w:tcPr>
          <w:p w14:paraId="01B16658"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0.03</w:t>
            </w:r>
          </w:p>
        </w:tc>
        <w:tc>
          <w:tcPr>
            <w:tcW w:w="900" w:type="dxa"/>
            <w:tcBorders>
              <w:top w:val="nil"/>
              <w:left w:val="nil"/>
              <w:bottom w:val="nil"/>
              <w:right w:val="nil"/>
            </w:tcBorders>
          </w:tcPr>
          <w:p w14:paraId="0DAFDC65" w14:textId="77777777" w:rsidR="00B26CB8" w:rsidRPr="00441BDB" w:rsidRDefault="00B26CB8" w:rsidP="00B26CB8">
            <w:pPr>
              <w:tabs>
                <w:tab w:val="decimal" w:pos="430"/>
              </w:tabs>
              <w:jc w:val="both"/>
              <w:rPr>
                <w:rFonts w:ascii="Times New Roman" w:hAnsi="Times New Roman" w:cs="Times New Roman"/>
                <w:i/>
                <w:iCs/>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 .98</w:t>
            </w:r>
          </w:p>
        </w:tc>
      </w:tr>
      <w:tr w:rsidR="00B26CB8" w:rsidRPr="00442034" w14:paraId="2FD15635" w14:textId="77777777" w:rsidTr="00441BDB">
        <w:trPr>
          <w:trHeight w:val="487"/>
        </w:trPr>
        <w:tc>
          <w:tcPr>
            <w:tcW w:w="2340" w:type="dxa"/>
            <w:tcBorders>
              <w:top w:val="nil"/>
              <w:left w:val="nil"/>
              <w:bottom w:val="nil"/>
              <w:right w:val="nil"/>
            </w:tcBorders>
          </w:tcPr>
          <w:p w14:paraId="4CFE251C" w14:textId="77777777" w:rsidR="00B26CB8" w:rsidRPr="00441BDB" w:rsidRDefault="00B26CB8" w:rsidP="00B26CB8">
            <w:pPr>
              <w:ind w:left="80"/>
              <w:rPr>
                <w:rFonts w:ascii="Times New Roman" w:hAnsi="Times New Roman" w:cs="Times New Roman"/>
                <w:sz w:val="20"/>
                <w:szCs w:val="20"/>
              </w:rPr>
            </w:pPr>
            <w:r w:rsidRPr="00441BDB">
              <w:rPr>
                <w:rFonts w:ascii="Times New Roman" w:hAnsi="Times New Roman" w:cs="Times New Roman"/>
                <w:sz w:val="20"/>
                <w:szCs w:val="20"/>
              </w:rPr>
              <w:t>Relationship with Caregiver</w:t>
            </w:r>
          </w:p>
        </w:tc>
        <w:tc>
          <w:tcPr>
            <w:tcW w:w="1260" w:type="dxa"/>
            <w:gridSpan w:val="2"/>
            <w:tcBorders>
              <w:top w:val="nil"/>
              <w:left w:val="nil"/>
              <w:bottom w:val="nil"/>
              <w:right w:val="nil"/>
            </w:tcBorders>
          </w:tcPr>
          <w:p w14:paraId="4CE27225"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17-48</w:t>
            </w:r>
          </w:p>
        </w:tc>
        <w:tc>
          <w:tcPr>
            <w:tcW w:w="1350" w:type="dxa"/>
            <w:tcBorders>
              <w:top w:val="nil"/>
              <w:left w:val="nil"/>
              <w:bottom w:val="nil"/>
              <w:right w:val="nil"/>
            </w:tcBorders>
          </w:tcPr>
          <w:p w14:paraId="2641E084"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41.66</w:t>
            </w:r>
          </w:p>
          <w:p w14:paraId="484EF115"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(.34)</w:t>
            </w:r>
          </w:p>
        </w:tc>
        <w:tc>
          <w:tcPr>
            <w:tcW w:w="1350" w:type="dxa"/>
            <w:tcBorders>
              <w:top w:val="nil"/>
              <w:left w:val="nil"/>
              <w:bottom w:val="nil"/>
              <w:right w:val="nil"/>
            </w:tcBorders>
          </w:tcPr>
          <w:p w14:paraId="17839743"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38.67</w:t>
            </w:r>
          </w:p>
          <w:p w14:paraId="2E4E96A5"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(.85)</w:t>
            </w:r>
          </w:p>
        </w:tc>
        <w:tc>
          <w:tcPr>
            <w:tcW w:w="1350" w:type="dxa"/>
            <w:tcBorders>
              <w:top w:val="nil"/>
              <w:left w:val="nil"/>
              <w:bottom w:val="nil"/>
              <w:right w:val="nil"/>
            </w:tcBorders>
          </w:tcPr>
          <w:p w14:paraId="17F5FF5A"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42.59</w:t>
            </w:r>
          </w:p>
          <w:p w14:paraId="5351D724"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(.35)</w:t>
            </w:r>
          </w:p>
        </w:tc>
        <w:tc>
          <w:tcPr>
            <w:tcW w:w="990" w:type="dxa"/>
            <w:tcBorders>
              <w:top w:val="nil"/>
              <w:left w:val="nil"/>
              <w:bottom w:val="nil"/>
              <w:right w:val="nil"/>
            </w:tcBorders>
          </w:tcPr>
          <w:p w14:paraId="05B769CE"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4.27</w:t>
            </w:r>
          </w:p>
        </w:tc>
        <w:tc>
          <w:tcPr>
            <w:tcW w:w="900" w:type="dxa"/>
            <w:tcBorders>
              <w:top w:val="nil"/>
              <w:left w:val="nil"/>
              <w:bottom w:val="nil"/>
              <w:right w:val="nil"/>
            </w:tcBorders>
          </w:tcPr>
          <w:p w14:paraId="6862C2A0" w14:textId="77777777" w:rsidR="00B26CB8" w:rsidRPr="00441BDB" w:rsidRDefault="00B26CB8" w:rsidP="00B26CB8">
            <w:pPr>
              <w:tabs>
                <w:tab w:val="decimal" w:pos="430"/>
              </w:tabs>
              <w:jc w:val="both"/>
              <w:rPr>
                <w:rFonts w:ascii="Times New Roman" w:hAnsi="Times New Roman" w:cs="Times New Roman"/>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&lt; .001</w:t>
            </w:r>
          </w:p>
        </w:tc>
      </w:tr>
      <w:tr w:rsidR="00B26CB8" w:rsidRPr="00442034" w14:paraId="63976DF3" w14:textId="77777777" w:rsidTr="00441BDB">
        <w:trPr>
          <w:trHeight w:val="420"/>
        </w:trPr>
        <w:tc>
          <w:tcPr>
            <w:tcW w:w="2340" w:type="dxa"/>
            <w:tcBorders>
              <w:top w:val="nil"/>
              <w:left w:val="nil"/>
              <w:bottom w:val="nil"/>
              <w:right w:val="nil"/>
            </w:tcBorders>
          </w:tcPr>
          <w:p w14:paraId="0CE5002E" w14:textId="77777777" w:rsidR="00B26CB8" w:rsidRPr="00441BDB" w:rsidRDefault="00B26CB8" w:rsidP="00B26CB8">
            <w:pPr>
              <w:ind w:left="-30" w:firstLine="110"/>
              <w:rPr>
                <w:rFonts w:ascii="Times New Roman" w:hAnsi="Times New Roman" w:cs="Times New Roman"/>
                <w:sz w:val="20"/>
                <w:szCs w:val="20"/>
              </w:rPr>
            </w:pPr>
            <w:r w:rsidRPr="00441BDB">
              <w:rPr>
                <w:rFonts w:ascii="Times New Roman" w:hAnsi="Times New Roman" w:cs="Times New Roman"/>
                <w:sz w:val="20"/>
                <w:szCs w:val="20"/>
              </w:rPr>
              <w:t>Age</w:t>
            </w:r>
          </w:p>
        </w:tc>
        <w:tc>
          <w:tcPr>
            <w:tcW w:w="1260" w:type="dxa"/>
            <w:gridSpan w:val="2"/>
            <w:tcBorders>
              <w:top w:val="nil"/>
              <w:left w:val="nil"/>
              <w:bottom w:val="nil"/>
              <w:right w:val="nil"/>
            </w:tcBorders>
          </w:tcPr>
          <w:p w14:paraId="48449EC8"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11-17</w:t>
            </w:r>
          </w:p>
        </w:tc>
        <w:tc>
          <w:tcPr>
            <w:tcW w:w="1350" w:type="dxa"/>
            <w:tcBorders>
              <w:top w:val="nil"/>
              <w:left w:val="nil"/>
              <w:bottom w:val="nil"/>
              <w:right w:val="nil"/>
            </w:tcBorders>
          </w:tcPr>
          <w:p w14:paraId="0B8C2FBB"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13.94</w:t>
            </w:r>
          </w:p>
          <w:p w14:paraId="1C0FE0F1"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(.11)</w:t>
            </w:r>
          </w:p>
        </w:tc>
        <w:tc>
          <w:tcPr>
            <w:tcW w:w="1350" w:type="dxa"/>
            <w:tcBorders>
              <w:top w:val="nil"/>
              <w:left w:val="nil"/>
              <w:bottom w:val="nil"/>
              <w:right w:val="nil"/>
            </w:tcBorders>
          </w:tcPr>
          <w:p w14:paraId="28354662"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14.16</w:t>
            </w:r>
          </w:p>
          <w:p w14:paraId="1ED9E65C"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(.27)</w:t>
            </w:r>
          </w:p>
        </w:tc>
        <w:tc>
          <w:tcPr>
            <w:tcW w:w="1350" w:type="dxa"/>
            <w:tcBorders>
              <w:top w:val="nil"/>
              <w:left w:val="nil"/>
              <w:bottom w:val="nil"/>
              <w:right w:val="nil"/>
            </w:tcBorders>
          </w:tcPr>
          <w:p w14:paraId="28671936"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13.87</w:t>
            </w:r>
          </w:p>
          <w:p w14:paraId="163EF287"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(.12)</w:t>
            </w:r>
          </w:p>
        </w:tc>
        <w:tc>
          <w:tcPr>
            <w:tcW w:w="990" w:type="dxa"/>
            <w:tcBorders>
              <w:top w:val="nil"/>
              <w:left w:val="nil"/>
              <w:bottom w:val="nil"/>
              <w:right w:val="nil"/>
            </w:tcBorders>
          </w:tcPr>
          <w:p w14:paraId="07EAEA95"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-0.91</w:t>
            </w:r>
          </w:p>
        </w:tc>
        <w:tc>
          <w:tcPr>
            <w:tcW w:w="900" w:type="dxa"/>
            <w:tcBorders>
              <w:top w:val="nil"/>
              <w:left w:val="nil"/>
              <w:bottom w:val="nil"/>
              <w:right w:val="nil"/>
            </w:tcBorders>
          </w:tcPr>
          <w:p w14:paraId="5A35F8D2" w14:textId="77777777" w:rsidR="00B26CB8" w:rsidRPr="00441BDB" w:rsidRDefault="00B26CB8" w:rsidP="00B26CB8">
            <w:pPr>
              <w:tabs>
                <w:tab w:val="decimal" w:pos="430"/>
              </w:tabs>
              <w:jc w:val="both"/>
              <w:rPr>
                <w:rFonts w:ascii="Times New Roman" w:hAnsi="Times New Roman" w:cs="Times New Roman"/>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 .36</w:t>
            </w:r>
          </w:p>
        </w:tc>
      </w:tr>
      <w:tr w:rsidR="00B26CB8" w:rsidRPr="00442034" w14:paraId="1BB1804E" w14:textId="77777777" w:rsidTr="00441BDB">
        <w:trPr>
          <w:trHeight w:val="438"/>
        </w:trPr>
        <w:tc>
          <w:tcPr>
            <w:tcW w:w="2340" w:type="dxa"/>
            <w:tcBorders>
              <w:top w:val="nil"/>
              <w:left w:val="nil"/>
              <w:bottom w:val="nil"/>
              <w:right w:val="nil"/>
            </w:tcBorders>
          </w:tcPr>
          <w:p w14:paraId="4361DF11" w14:textId="77777777" w:rsidR="00B26CB8" w:rsidRPr="00441BDB" w:rsidRDefault="00B26CB8" w:rsidP="00B26CB8">
            <w:pPr>
              <w:ind w:left="-30" w:firstLine="110"/>
              <w:rPr>
                <w:rFonts w:ascii="Times New Roman" w:hAnsi="Times New Roman" w:cs="Times New Roman"/>
                <w:sz w:val="20"/>
                <w:szCs w:val="20"/>
              </w:rPr>
            </w:pPr>
            <w:r w:rsidRPr="00441BDB">
              <w:rPr>
                <w:rFonts w:ascii="Times New Roman" w:hAnsi="Times New Roman" w:cs="Times New Roman"/>
                <w:sz w:val="20"/>
                <w:szCs w:val="20"/>
              </w:rPr>
              <w:t>Female</w:t>
            </w:r>
          </w:p>
        </w:tc>
        <w:tc>
          <w:tcPr>
            <w:tcW w:w="1260" w:type="dxa"/>
            <w:gridSpan w:val="2"/>
            <w:tcBorders>
              <w:top w:val="nil"/>
              <w:left w:val="nil"/>
              <w:bottom w:val="nil"/>
              <w:right w:val="nil"/>
            </w:tcBorders>
          </w:tcPr>
          <w:p w14:paraId="1CB75636"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nil"/>
              <w:right w:val="nil"/>
            </w:tcBorders>
          </w:tcPr>
          <w:p w14:paraId="40731096"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57.77%</w:t>
            </w:r>
          </w:p>
          <w:p w14:paraId="19502276"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(.03)</w:t>
            </w:r>
          </w:p>
        </w:tc>
        <w:tc>
          <w:tcPr>
            <w:tcW w:w="1350" w:type="dxa"/>
            <w:tcBorders>
              <w:top w:val="nil"/>
              <w:left w:val="nil"/>
              <w:bottom w:val="nil"/>
              <w:right w:val="nil"/>
            </w:tcBorders>
          </w:tcPr>
          <w:p w14:paraId="3246C5C9"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76.45%</w:t>
            </w:r>
          </w:p>
          <w:p w14:paraId="601E7D58"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(.05)</w:t>
            </w:r>
          </w:p>
        </w:tc>
        <w:tc>
          <w:tcPr>
            <w:tcW w:w="1350" w:type="dxa"/>
            <w:tcBorders>
              <w:top w:val="nil"/>
              <w:left w:val="nil"/>
              <w:bottom w:val="nil"/>
              <w:right w:val="nil"/>
            </w:tcBorders>
          </w:tcPr>
          <w:p w14:paraId="0CBB8432"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52.00%</w:t>
            </w:r>
          </w:p>
          <w:p w14:paraId="10CB22DF"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(.04)</w:t>
            </w:r>
          </w:p>
        </w:tc>
        <w:tc>
          <w:tcPr>
            <w:tcW w:w="990" w:type="dxa"/>
            <w:tcBorders>
              <w:top w:val="nil"/>
              <w:left w:val="nil"/>
              <w:bottom w:val="nil"/>
              <w:right w:val="nil"/>
            </w:tcBorders>
          </w:tcPr>
          <w:p w14:paraId="5C057B09"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-3.96</w:t>
            </w:r>
          </w:p>
        </w:tc>
        <w:tc>
          <w:tcPr>
            <w:tcW w:w="900" w:type="dxa"/>
            <w:tcBorders>
              <w:top w:val="nil"/>
              <w:left w:val="nil"/>
              <w:bottom w:val="nil"/>
              <w:right w:val="nil"/>
            </w:tcBorders>
          </w:tcPr>
          <w:p w14:paraId="594DE0AF" w14:textId="77777777" w:rsidR="00B26CB8" w:rsidRPr="00441BDB" w:rsidRDefault="00B26CB8" w:rsidP="00B26CB8">
            <w:pPr>
              <w:tabs>
                <w:tab w:val="decimal" w:pos="430"/>
              </w:tabs>
              <w:jc w:val="both"/>
              <w:rPr>
                <w:rFonts w:ascii="Times New Roman" w:hAnsi="Times New Roman" w:cs="Times New Roman"/>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&lt; .001</w:t>
            </w:r>
          </w:p>
        </w:tc>
      </w:tr>
      <w:tr w:rsidR="00B26CB8" w:rsidRPr="00442034" w14:paraId="6352CC21" w14:textId="77777777" w:rsidTr="00441BDB">
        <w:trPr>
          <w:trHeight w:val="483"/>
        </w:trPr>
        <w:tc>
          <w:tcPr>
            <w:tcW w:w="2340" w:type="dxa"/>
            <w:tcBorders>
              <w:top w:val="nil"/>
              <w:left w:val="nil"/>
              <w:bottom w:val="nil"/>
              <w:right w:val="nil"/>
            </w:tcBorders>
          </w:tcPr>
          <w:p w14:paraId="0393E4F1" w14:textId="6854498F" w:rsidR="00B26CB8" w:rsidRPr="00441BDB" w:rsidRDefault="00B26CB8" w:rsidP="00B26CB8">
            <w:pPr>
              <w:ind w:left="-30" w:firstLine="110"/>
              <w:rPr>
                <w:rFonts w:ascii="Times New Roman" w:hAnsi="Times New Roman" w:cs="Times New Roman"/>
                <w:sz w:val="20"/>
                <w:szCs w:val="20"/>
              </w:rPr>
            </w:pPr>
            <w:r w:rsidRPr="00441BDB">
              <w:rPr>
                <w:rFonts w:ascii="Times New Roman" w:hAnsi="Times New Roman" w:cs="Times New Roman"/>
                <w:sz w:val="20"/>
                <w:szCs w:val="20"/>
              </w:rPr>
              <w:t xml:space="preserve">White </w:t>
            </w:r>
            <w:r w:rsidR="001B4F7E" w:rsidRPr="00441BDB">
              <w:rPr>
                <w:rFonts w:ascii="Times New Roman" w:hAnsi="Times New Roman" w:cs="Times New Roman"/>
                <w:sz w:val="20"/>
                <w:szCs w:val="20"/>
              </w:rPr>
              <w:t>non-Hispanic</w:t>
            </w:r>
          </w:p>
        </w:tc>
        <w:tc>
          <w:tcPr>
            <w:tcW w:w="1260" w:type="dxa"/>
            <w:gridSpan w:val="2"/>
            <w:tcBorders>
              <w:top w:val="nil"/>
              <w:left w:val="nil"/>
              <w:bottom w:val="nil"/>
              <w:right w:val="nil"/>
            </w:tcBorders>
          </w:tcPr>
          <w:p w14:paraId="5BC2924B"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nil"/>
              <w:right w:val="nil"/>
            </w:tcBorders>
          </w:tcPr>
          <w:p w14:paraId="52732F8C"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41.32%</w:t>
            </w:r>
          </w:p>
          <w:p w14:paraId="27F3E1B5"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(.05)</w:t>
            </w:r>
          </w:p>
        </w:tc>
        <w:tc>
          <w:tcPr>
            <w:tcW w:w="1350" w:type="dxa"/>
            <w:tcBorders>
              <w:top w:val="nil"/>
              <w:left w:val="nil"/>
              <w:bottom w:val="nil"/>
              <w:right w:val="nil"/>
            </w:tcBorders>
          </w:tcPr>
          <w:p w14:paraId="52269A0B"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39.23%</w:t>
            </w:r>
          </w:p>
          <w:p w14:paraId="2DF0882A"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(.08)</w:t>
            </w:r>
          </w:p>
        </w:tc>
        <w:tc>
          <w:tcPr>
            <w:tcW w:w="1350" w:type="dxa"/>
            <w:tcBorders>
              <w:top w:val="nil"/>
              <w:left w:val="nil"/>
              <w:bottom w:val="nil"/>
              <w:right w:val="nil"/>
            </w:tcBorders>
          </w:tcPr>
          <w:p w14:paraId="7FA489DF"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41.96%</w:t>
            </w:r>
          </w:p>
          <w:p w14:paraId="664A2F50"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(.06)</w:t>
            </w:r>
          </w:p>
        </w:tc>
        <w:tc>
          <w:tcPr>
            <w:tcW w:w="990" w:type="dxa"/>
            <w:tcBorders>
              <w:top w:val="nil"/>
              <w:left w:val="nil"/>
              <w:bottom w:val="nil"/>
              <w:right w:val="nil"/>
            </w:tcBorders>
          </w:tcPr>
          <w:p w14:paraId="47060147"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0.37</w:t>
            </w:r>
          </w:p>
        </w:tc>
        <w:tc>
          <w:tcPr>
            <w:tcW w:w="900" w:type="dxa"/>
            <w:tcBorders>
              <w:top w:val="nil"/>
              <w:left w:val="nil"/>
              <w:bottom w:val="nil"/>
              <w:right w:val="nil"/>
            </w:tcBorders>
          </w:tcPr>
          <w:p w14:paraId="4C6BEC3D" w14:textId="77777777" w:rsidR="00B26CB8" w:rsidRPr="00441BDB" w:rsidRDefault="00B26CB8" w:rsidP="00B26CB8">
            <w:pPr>
              <w:tabs>
                <w:tab w:val="decimal" w:pos="430"/>
              </w:tabs>
              <w:jc w:val="both"/>
              <w:rPr>
                <w:rFonts w:ascii="Times New Roman" w:hAnsi="Times New Roman" w:cs="Times New Roman"/>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 .71</w:t>
            </w:r>
          </w:p>
        </w:tc>
      </w:tr>
      <w:tr w:rsidR="00B26CB8" w:rsidRPr="00442034" w14:paraId="0BE0723A" w14:textId="77777777" w:rsidTr="00441BDB">
        <w:trPr>
          <w:trHeight w:val="566"/>
        </w:trPr>
        <w:tc>
          <w:tcPr>
            <w:tcW w:w="2340" w:type="dxa"/>
            <w:tcBorders>
              <w:top w:val="nil"/>
              <w:left w:val="nil"/>
              <w:bottom w:val="nil"/>
              <w:right w:val="nil"/>
            </w:tcBorders>
          </w:tcPr>
          <w:p w14:paraId="7A6E045F" w14:textId="0F7F2F10" w:rsidR="00B26CB8" w:rsidRPr="00441BDB" w:rsidRDefault="00B26CB8" w:rsidP="00B26CB8">
            <w:pPr>
              <w:ind w:left="-30" w:firstLine="110"/>
              <w:rPr>
                <w:rFonts w:ascii="Times New Roman" w:hAnsi="Times New Roman" w:cs="Times New Roman"/>
                <w:sz w:val="20"/>
                <w:szCs w:val="20"/>
              </w:rPr>
            </w:pPr>
            <w:r w:rsidRPr="00441BDB">
              <w:rPr>
                <w:rFonts w:ascii="Times New Roman" w:hAnsi="Times New Roman" w:cs="Times New Roman"/>
                <w:sz w:val="20"/>
                <w:szCs w:val="20"/>
              </w:rPr>
              <w:t xml:space="preserve">Black </w:t>
            </w:r>
            <w:r w:rsidR="001B4F7E" w:rsidRPr="00441BDB">
              <w:rPr>
                <w:rFonts w:ascii="Times New Roman" w:hAnsi="Times New Roman" w:cs="Times New Roman"/>
                <w:sz w:val="20"/>
                <w:szCs w:val="20"/>
              </w:rPr>
              <w:t>non-Hispanic</w:t>
            </w:r>
          </w:p>
        </w:tc>
        <w:tc>
          <w:tcPr>
            <w:tcW w:w="1260" w:type="dxa"/>
            <w:gridSpan w:val="2"/>
            <w:tcBorders>
              <w:top w:val="nil"/>
              <w:left w:val="nil"/>
              <w:bottom w:val="nil"/>
              <w:right w:val="nil"/>
            </w:tcBorders>
          </w:tcPr>
          <w:p w14:paraId="69AAB069"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nil"/>
              <w:right w:val="nil"/>
            </w:tcBorders>
          </w:tcPr>
          <w:p w14:paraId="543EAEBE"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22.10%</w:t>
            </w:r>
          </w:p>
          <w:p w14:paraId="03C29FDF"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(.04)</w:t>
            </w:r>
          </w:p>
        </w:tc>
        <w:tc>
          <w:tcPr>
            <w:tcW w:w="1350" w:type="dxa"/>
            <w:tcBorders>
              <w:top w:val="nil"/>
              <w:left w:val="nil"/>
              <w:bottom w:val="nil"/>
              <w:right w:val="nil"/>
            </w:tcBorders>
          </w:tcPr>
          <w:p w14:paraId="5C7BD041"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20.55%</w:t>
            </w:r>
          </w:p>
          <w:p w14:paraId="14F127D4"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(.07)</w:t>
            </w:r>
          </w:p>
        </w:tc>
        <w:tc>
          <w:tcPr>
            <w:tcW w:w="1350" w:type="dxa"/>
            <w:tcBorders>
              <w:top w:val="nil"/>
              <w:left w:val="nil"/>
              <w:bottom w:val="nil"/>
              <w:right w:val="nil"/>
            </w:tcBorders>
          </w:tcPr>
          <w:p w14:paraId="0291BE2B"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22.57%</w:t>
            </w:r>
          </w:p>
          <w:p w14:paraId="2C393C68"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(.04)</w:t>
            </w:r>
          </w:p>
        </w:tc>
        <w:tc>
          <w:tcPr>
            <w:tcW w:w="990" w:type="dxa"/>
            <w:tcBorders>
              <w:top w:val="nil"/>
              <w:left w:val="nil"/>
              <w:bottom w:val="nil"/>
              <w:right w:val="nil"/>
            </w:tcBorders>
          </w:tcPr>
          <w:p w14:paraId="2ACF31E2"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0.28</w:t>
            </w:r>
          </w:p>
        </w:tc>
        <w:tc>
          <w:tcPr>
            <w:tcW w:w="900" w:type="dxa"/>
            <w:tcBorders>
              <w:top w:val="nil"/>
              <w:left w:val="nil"/>
              <w:bottom w:val="nil"/>
              <w:right w:val="nil"/>
            </w:tcBorders>
          </w:tcPr>
          <w:p w14:paraId="69B97C3F" w14:textId="77777777" w:rsidR="00B26CB8" w:rsidRPr="00441BDB" w:rsidRDefault="00B26CB8" w:rsidP="00B26CB8">
            <w:pPr>
              <w:tabs>
                <w:tab w:val="decimal" w:pos="430"/>
              </w:tabs>
              <w:jc w:val="both"/>
              <w:rPr>
                <w:rFonts w:ascii="Times New Roman" w:hAnsi="Times New Roman" w:cs="Times New Roman"/>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 .78</w:t>
            </w:r>
          </w:p>
        </w:tc>
      </w:tr>
      <w:tr w:rsidR="00B26CB8" w:rsidRPr="00442034" w14:paraId="62E2DDAB" w14:textId="77777777" w:rsidTr="00441BDB">
        <w:trPr>
          <w:trHeight w:val="501"/>
        </w:trPr>
        <w:tc>
          <w:tcPr>
            <w:tcW w:w="2340" w:type="dxa"/>
            <w:tcBorders>
              <w:top w:val="nil"/>
              <w:left w:val="nil"/>
              <w:bottom w:val="nil"/>
              <w:right w:val="nil"/>
            </w:tcBorders>
          </w:tcPr>
          <w:p w14:paraId="3C8ADFC8" w14:textId="77777777" w:rsidR="00B26CB8" w:rsidRPr="00441BDB" w:rsidRDefault="00B26CB8" w:rsidP="00B26CB8">
            <w:pPr>
              <w:ind w:left="-30" w:firstLine="110"/>
              <w:rPr>
                <w:rFonts w:ascii="Times New Roman" w:hAnsi="Times New Roman" w:cs="Times New Roman"/>
                <w:sz w:val="20"/>
                <w:szCs w:val="20"/>
              </w:rPr>
            </w:pPr>
            <w:r w:rsidRPr="00441BDB">
              <w:rPr>
                <w:rFonts w:ascii="Times New Roman" w:hAnsi="Times New Roman" w:cs="Times New Roman"/>
                <w:sz w:val="20"/>
                <w:szCs w:val="20"/>
              </w:rPr>
              <w:t>Hispanic</w:t>
            </w:r>
          </w:p>
        </w:tc>
        <w:tc>
          <w:tcPr>
            <w:tcW w:w="1260" w:type="dxa"/>
            <w:gridSpan w:val="2"/>
            <w:tcBorders>
              <w:top w:val="nil"/>
              <w:left w:val="nil"/>
              <w:bottom w:val="nil"/>
              <w:right w:val="nil"/>
            </w:tcBorders>
          </w:tcPr>
          <w:p w14:paraId="36B7C4CA"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nil"/>
              <w:right w:val="nil"/>
            </w:tcBorders>
          </w:tcPr>
          <w:p w14:paraId="430537A6"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30.01%</w:t>
            </w:r>
          </w:p>
          <w:p w14:paraId="3A34B2F9"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(.05)</w:t>
            </w:r>
          </w:p>
        </w:tc>
        <w:tc>
          <w:tcPr>
            <w:tcW w:w="1350" w:type="dxa"/>
            <w:tcBorders>
              <w:top w:val="nil"/>
              <w:left w:val="nil"/>
              <w:bottom w:val="nil"/>
              <w:right w:val="nil"/>
            </w:tcBorders>
          </w:tcPr>
          <w:p w14:paraId="12C2C1DE"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35.08%</w:t>
            </w:r>
          </w:p>
          <w:p w14:paraId="54941918"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(.08)</w:t>
            </w:r>
          </w:p>
        </w:tc>
        <w:tc>
          <w:tcPr>
            <w:tcW w:w="1350" w:type="dxa"/>
            <w:tcBorders>
              <w:top w:val="nil"/>
              <w:left w:val="nil"/>
              <w:bottom w:val="nil"/>
              <w:right w:val="nil"/>
            </w:tcBorders>
          </w:tcPr>
          <w:p w14:paraId="50939771"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28.44%</w:t>
            </w:r>
          </w:p>
          <w:p w14:paraId="4925AF34"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(.05)</w:t>
            </w:r>
          </w:p>
        </w:tc>
        <w:tc>
          <w:tcPr>
            <w:tcW w:w="990" w:type="dxa"/>
            <w:tcBorders>
              <w:top w:val="nil"/>
              <w:left w:val="nil"/>
              <w:bottom w:val="nil"/>
              <w:right w:val="nil"/>
            </w:tcBorders>
          </w:tcPr>
          <w:p w14:paraId="45BF3FF9"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-1.08</w:t>
            </w:r>
          </w:p>
        </w:tc>
        <w:tc>
          <w:tcPr>
            <w:tcW w:w="900" w:type="dxa"/>
            <w:tcBorders>
              <w:top w:val="nil"/>
              <w:left w:val="nil"/>
              <w:bottom w:val="nil"/>
              <w:right w:val="nil"/>
            </w:tcBorders>
          </w:tcPr>
          <w:p w14:paraId="55060461" w14:textId="77777777" w:rsidR="00B26CB8" w:rsidRPr="00441BDB" w:rsidRDefault="00B26CB8" w:rsidP="00B26CB8">
            <w:pPr>
              <w:tabs>
                <w:tab w:val="decimal" w:pos="430"/>
              </w:tabs>
              <w:jc w:val="both"/>
              <w:rPr>
                <w:rFonts w:ascii="Times New Roman" w:hAnsi="Times New Roman" w:cs="Times New Roman"/>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 .28</w:t>
            </w:r>
          </w:p>
        </w:tc>
      </w:tr>
      <w:tr w:rsidR="00B26CB8" w:rsidRPr="00442034" w14:paraId="664D9175" w14:textId="77777777" w:rsidTr="00441BDB">
        <w:trPr>
          <w:trHeight w:val="429"/>
        </w:trPr>
        <w:tc>
          <w:tcPr>
            <w:tcW w:w="2340" w:type="dxa"/>
            <w:tcBorders>
              <w:top w:val="nil"/>
              <w:left w:val="nil"/>
              <w:bottom w:val="nil"/>
              <w:right w:val="nil"/>
            </w:tcBorders>
          </w:tcPr>
          <w:p w14:paraId="345EE08F" w14:textId="77777777" w:rsidR="00B26CB8" w:rsidRPr="00441BDB" w:rsidRDefault="00B26CB8" w:rsidP="00B26CB8">
            <w:pPr>
              <w:ind w:left="-30" w:firstLine="110"/>
              <w:rPr>
                <w:rFonts w:ascii="Times New Roman" w:hAnsi="Times New Roman" w:cs="Times New Roman"/>
                <w:sz w:val="20"/>
                <w:szCs w:val="20"/>
              </w:rPr>
            </w:pPr>
            <w:r w:rsidRPr="00441BDB">
              <w:rPr>
                <w:rFonts w:ascii="Times New Roman" w:hAnsi="Times New Roman" w:cs="Times New Roman"/>
                <w:sz w:val="20"/>
                <w:szCs w:val="20"/>
              </w:rPr>
              <w:t>Other Race</w:t>
            </w:r>
          </w:p>
        </w:tc>
        <w:tc>
          <w:tcPr>
            <w:tcW w:w="1260" w:type="dxa"/>
            <w:gridSpan w:val="2"/>
            <w:tcBorders>
              <w:top w:val="nil"/>
              <w:left w:val="nil"/>
              <w:bottom w:val="nil"/>
              <w:right w:val="nil"/>
            </w:tcBorders>
          </w:tcPr>
          <w:p w14:paraId="36D995F5"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nil"/>
              <w:right w:val="nil"/>
            </w:tcBorders>
          </w:tcPr>
          <w:p w14:paraId="545AA0D5"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6.58%</w:t>
            </w:r>
          </w:p>
          <w:p w14:paraId="33D8FA80"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(.02)</w:t>
            </w:r>
          </w:p>
        </w:tc>
        <w:tc>
          <w:tcPr>
            <w:tcW w:w="1350" w:type="dxa"/>
            <w:tcBorders>
              <w:top w:val="nil"/>
              <w:left w:val="nil"/>
              <w:bottom w:val="nil"/>
              <w:right w:val="nil"/>
            </w:tcBorders>
          </w:tcPr>
          <w:p w14:paraId="260EC24A"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5.14%</w:t>
            </w:r>
          </w:p>
          <w:p w14:paraId="1F4056CB"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(.02)</w:t>
            </w:r>
          </w:p>
        </w:tc>
        <w:tc>
          <w:tcPr>
            <w:tcW w:w="1350" w:type="dxa"/>
            <w:tcBorders>
              <w:top w:val="nil"/>
              <w:left w:val="nil"/>
              <w:bottom w:val="nil"/>
              <w:right w:val="nil"/>
            </w:tcBorders>
          </w:tcPr>
          <w:p w14:paraId="024E6F49"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7.03%</w:t>
            </w:r>
          </w:p>
          <w:p w14:paraId="160FE637"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(.02)</w:t>
            </w:r>
          </w:p>
        </w:tc>
        <w:tc>
          <w:tcPr>
            <w:tcW w:w="990" w:type="dxa"/>
            <w:tcBorders>
              <w:top w:val="nil"/>
              <w:left w:val="nil"/>
              <w:bottom w:val="nil"/>
              <w:right w:val="nil"/>
            </w:tcBorders>
          </w:tcPr>
          <w:p w14:paraId="7AFF8347"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0.55</w:t>
            </w:r>
          </w:p>
        </w:tc>
        <w:tc>
          <w:tcPr>
            <w:tcW w:w="900" w:type="dxa"/>
            <w:tcBorders>
              <w:top w:val="nil"/>
              <w:left w:val="nil"/>
              <w:bottom w:val="nil"/>
              <w:right w:val="nil"/>
            </w:tcBorders>
          </w:tcPr>
          <w:p w14:paraId="375C2D95" w14:textId="77777777" w:rsidR="00B26CB8" w:rsidRPr="00441BDB" w:rsidRDefault="00B26CB8" w:rsidP="00B26CB8">
            <w:pPr>
              <w:tabs>
                <w:tab w:val="decimal" w:pos="430"/>
              </w:tabs>
              <w:jc w:val="both"/>
              <w:rPr>
                <w:rFonts w:ascii="Times New Roman" w:hAnsi="Times New Roman" w:cs="Times New Roman"/>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 .58</w:t>
            </w:r>
          </w:p>
        </w:tc>
      </w:tr>
      <w:tr w:rsidR="00B26CB8" w:rsidRPr="00442034" w14:paraId="1128FF60" w14:textId="77777777" w:rsidTr="00441BDB">
        <w:trPr>
          <w:trHeight w:val="870"/>
        </w:trPr>
        <w:tc>
          <w:tcPr>
            <w:tcW w:w="2340" w:type="dxa"/>
            <w:tcBorders>
              <w:top w:val="nil"/>
              <w:left w:val="nil"/>
              <w:bottom w:val="nil"/>
              <w:right w:val="nil"/>
            </w:tcBorders>
          </w:tcPr>
          <w:p w14:paraId="48D217A9" w14:textId="77777777" w:rsidR="00B26CB8" w:rsidRPr="00441BDB" w:rsidRDefault="00B26CB8" w:rsidP="00B26CB8">
            <w:pPr>
              <w:ind w:left="80"/>
              <w:rPr>
                <w:rFonts w:ascii="Times New Roman" w:hAnsi="Times New Roman" w:cs="Times New Roman"/>
                <w:sz w:val="20"/>
                <w:szCs w:val="20"/>
              </w:rPr>
            </w:pPr>
            <w:r w:rsidRPr="00441BDB">
              <w:rPr>
                <w:rFonts w:ascii="Times New Roman" w:hAnsi="Times New Roman" w:cs="Times New Roman"/>
                <w:sz w:val="20"/>
                <w:szCs w:val="20"/>
              </w:rPr>
              <w:t>Exceeding Internalizing Threshold (Wave 1)</w:t>
            </w:r>
          </w:p>
        </w:tc>
        <w:tc>
          <w:tcPr>
            <w:tcW w:w="1260" w:type="dxa"/>
            <w:gridSpan w:val="2"/>
            <w:tcBorders>
              <w:top w:val="nil"/>
              <w:left w:val="nil"/>
              <w:bottom w:val="nil"/>
              <w:right w:val="nil"/>
            </w:tcBorders>
          </w:tcPr>
          <w:p w14:paraId="3EE28649"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nil"/>
              <w:right w:val="nil"/>
            </w:tcBorders>
          </w:tcPr>
          <w:p w14:paraId="13467AD6"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20.99%</w:t>
            </w:r>
          </w:p>
          <w:p w14:paraId="11E30ED4"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(.02)</w:t>
            </w:r>
          </w:p>
        </w:tc>
        <w:tc>
          <w:tcPr>
            <w:tcW w:w="1350" w:type="dxa"/>
            <w:tcBorders>
              <w:top w:val="nil"/>
              <w:left w:val="nil"/>
              <w:bottom w:val="nil"/>
              <w:right w:val="nil"/>
            </w:tcBorders>
          </w:tcPr>
          <w:p w14:paraId="4EBC9F80"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21.83%</w:t>
            </w:r>
          </w:p>
          <w:p w14:paraId="353FCC17"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(.05)</w:t>
            </w:r>
          </w:p>
        </w:tc>
        <w:tc>
          <w:tcPr>
            <w:tcW w:w="1350" w:type="dxa"/>
            <w:tcBorders>
              <w:top w:val="nil"/>
              <w:left w:val="nil"/>
              <w:bottom w:val="nil"/>
              <w:right w:val="nil"/>
            </w:tcBorders>
          </w:tcPr>
          <w:p w14:paraId="6B8558FB"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20.73%</w:t>
            </w:r>
          </w:p>
          <w:p w14:paraId="75B39216"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(.03)</w:t>
            </w:r>
          </w:p>
        </w:tc>
        <w:tc>
          <w:tcPr>
            <w:tcW w:w="990" w:type="dxa"/>
            <w:tcBorders>
              <w:top w:val="nil"/>
              <w:left w:val="nil"/>
              <w:bottom w:val="nil"/>
              <w:right w:val="nil"/>
            </w:tcBorders>
          </w:tcPr>
          <w:p w14:paraId="04F84E68"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-0.19</w:t>
            </w:r>
          </w:p>
        </w:tc>
        <w:tc>
          <w:tcPr>
            <w:tcW w:w="900" w:type="dxa"/>
            <w:tcBorders>
              <w:top w:val="nil"/>
              <w:left w:val="nil"/>
              <w:bottom w:val="nil"/>
              <w:right w:val="nil"/>
            </w:tcBorders>
          </w:tcPr>
          <w:p w14:paraId="44E49B5C" w14:textId="77777777" w:rsidR="00B26CB8" w:rsidRPr="00441BDB" w:rsidRDefault="00B26CB8" w:rsidP="00B26CB8">
            <w:pPr>
              <w:tabs>
                <w:tab w:val="decimal" w:pos="430"/>
              </w:tabs>
              <w:jc w:val="both"/>
              <w:rPr>
                <w:rFonts w:ascii="Times New Roman" w:hAnsi="Times New Roman" w:cs="Times New Roman"/>
                <w:i/>
                <w:iCs/>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 .85</w:t>
            </w:r>
          </w:p>
        </w:tc>
      </w:tr>
      <w:tr w:rsidR="00B26CB8" w:rsidRPr="00442034" w14:paraId="6A45CB0D" w14:textId="77777777" w:rsidTr="00441BDB">
        <w:trPr>
          <w:trHeight w:val="870"/>
        </w:trPr>
        <w:tc>
          <w:tcPr>
            <w:tcW w:w="2340" w:type="dxa"/>
            <w:tcBorders>
              <w:top w:val="nil"/>
              <w:left w:val="nil"/>
              <w:bottom w:val="nil"/>
              <w:right w:val="nil"/>
            </w:tcBorders>
          </w:tcPr>
          <w:p w14:paraId="6CD9CF61" w14:textId="77777777" w:rsidR="00B26CB8" w:rsidRPr="00441BDB" w:rsidRDefault="00B26CB8" w:rsidP="00B26CB8">
            <w:pPr>
              <w:ind w:left="80"/>
              <w:rPr>
                <w:rFonts w:ascii="Times New Roman" w:hAnsi="Times New Roman" w:cs="Times New Roman"/>
                <w:sz w:val="20"/>
                <w:szCs w:val="20"/>
              </w:rPr>
            </w:pPr>
            <w:r w:rsidRPr="00441BDB">
              <w:rPr>
                <w:rFonts w:ascii="Times New Roman" w:hAnsi="Times New Roman" w:cs="Times New Roman"/>
                <w:sz w:val="20"/>
                <w:szCs w:val="20"/>
              </w:rPr>
              <w:t>Exceeding Externalizing Threshold (Wave 1)</w:t>
            </w:r>
          </w:p>
        </w:tc>
        <w:tc>
          <w:tcPr>
            <w:tcW w:w="1260" w:type="dxa"/>
            <w:gridSpan w:val="2"/>
            <w:tcBorders>
              <w:top w:val="nil"/>
              <w:left w:val="nil"/>
              <w:bottom w:val="nil"/>
              <w:right w:val="nil"/>
            </w:tcBorders>
          </w:tcPr>
          <w:p w14:paraId="7AF59D58"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nil"/>
              <w:right w:val="nil"/>
            </w:tcBorders>
          </w:tcPr>
          <w:p w14:paraId="3BA22265"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24.42%</w:t>
            </w:r>
          </w:p>
          <w:p w14:paraId="560E460C"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(.03)</w:t>
            </w:r>
          </w:p>
        </w:tc>
        <w:tc>
          <w:tcPr>
            <w:tcW w:w="1350" w:type="dxa"/>
            <w:tcBorders>
              <w:top w:val="nil"/>
              <w:left w:val="nil"/>
              <w:bottom w:val="nil"/>
              <w:right w:val="nil"/>
            </w:tcBorders>
          </w:tcPr>
          <w:p w14:paraId="7CA20D87"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28.85%</w:t>
            </w:r>
          </w:p>
          <w:p w14:paraId="6FEDE5B5"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(.06)</w:t>
            </w:r>
          </w:p>
        </w:tc>
        <w:tc>
          <w:tcPr>
            <w:tcW w:w="1350" w:type="dxa"/>
            <w:tcBorders>
              <w:top w:val="nil"/>
              <w:left w:val="nil"/>
              <w:bottom w:val="nil"/>
              <w:right w:val="nil"/>
            </w:tcBorders>
          </w:tcPr>
          <w:p w14:paraId="14923FBA"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23.05%</w:t>
            </w:r>
          </w:p>
          <w:p w14:paraId="49A3767F"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(.03)</w:t>
            </w:r>
          </w:p>
        </w:tc>
        <w:tc>
          <w:tcPr>
            <w:tcW w:w="990" w:type="dxa"/>
            <w:tcBorders>
              <w:top w:val="nil"/>
              <w:left w:val="nil"/>
              <w:bottom w:val="nil"/>
              <w:right w:val="nil"/>
            </w:tcBorders>
          </w:tcPr>
          <w:p w14:paraId="1F05BB42"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-0.89</w:t>
            </w:r>
          </w:p>
        </w:tc>
        <w:tc>
          <w:tcPr>
            <w:tcW w:w="900" w:type="dxa"/>
            <w:tcBorders>
              <w:top w:val="nil"/>
              <w:left w:val="nil"/>
              <w:bottom w:val="nil"/>
              <w:right w:val="nil"/>
            </w:tcBorders>
          </w:tcPr>
          <w:p w14:paraId="39ED93A4" w14:textId="77777777" w:rsidR="00B26CB8" w:rsidRPr="00441BDB" w:rsidRDefault="00B26CB8" w:rsidP="00B26CB8">
            <w:pPr>
              <w:tabs>
                <w:tab w:val="decimal" w:pos="430"/>
              </w:tabs>
              <w:jc w:val="both"/>
              <w:rPr>
                <w:rFonts w:ascii="Times New Roman" w:hAnsi="Times New Roman" w:cs="Times New Roman"/>
                <w:i/>
                <w:iCs/>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 .37</w:t>
            </w:r>
          </w:p>
        </w:tc>
      </w:tr>
      <w:tr w:rsidR="00B26CB8" w:rsidRPr="00442034" w14:paraId="1F6F5378" w14:textId="77777777" w:rsidTr="00441BDB">
        <w:trPr>
          <w:trHeight w:val="627"/>
        </w:trPr>
        <w:tc>
          <w:tcPr>
            <w:tcW w:w="2610" w:type="dxa"/>
            <w:gridSpan w:val="2"/>
            <w:tcBorders>
              <w:top w:val="nil"/>
              <w:left w:val="nil"/>
              <w:bottom w:val="nil"/>
              <w:right w:val="nil"/>
            </w:tcBorders>
          </w:tcPr>
          <w:p w14:paraId="128B8EB6" w14:textId="77777777" w:rsidR="00B26CB8" w:rsidRPr="00441BDB" w:rsidRDefault="00B26CB8" w:rsidP="00B26CB8">
            <w:pPr>
              <w:ind w:left="80"/>
              <w:rPr>
                <w:rFonts w:ascii="Times New Roman" w:hAnsi="Times New Roman" w:cs="Times New Roman"/>
                <w:sz w:val="20"/>
                <w:szCs w:val="20"/>
              </w:rPr>
            </w:pPr>
            <w:r w:rsidRPr="00441BDB">
              <w:rPr>
                <w:rFonts w:ascii="Times New Roman" w:hAnsi="Times New Roman" w:cs="Times New Roman"/>
                <w:sz w:val="20"/>
                <w:szCs w:val="20"/>
              </w:rPr>
              <w:t>Prior Reports of Maltreatment</w:t>
            </w:r>
          </w:p>
        </w:tc>
        <w:tc>
          <w:tcPr>
            <w:tcW w:w="990" w:type="dxa"/>
            <w:tcBorders>
              <w:top w:val="nil"/>
              <w:left w:val="nil"/>
              <w:bottom w:val="nil"/>
              <w:right w:val="nil"/>
            </w:tcBorders>
          </w:tcPr>
          <w:p w14:paraId="0EEE9F8E"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nil"/>
              <w:right w:val="nil"/>
            </w:tcBorders>
          </w:tcPr>
          <w:p w14:paraId="736BD057"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62.31%</w:t>
            </w:r>
          </w:p>
          <w:p w14:paraId="0A249DEF"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(.04)</w:t>
            </w:r>
          </w:p>
        </w:tc>
        <w:tc>
          <w:tcPr>
            <w:tcW w:w="1350" w:type="dxa"/>
            <w:tcBorders>
              <w:top w:val="nil"/>
              <w:left w:val="nil"/>
              <w:bottom w:val="nil"/>
              <w:right w:val="nil"/>
            </w:tcBorders>
          </w:tcPr>
          <w:p w14:paraId="39CB84E9"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58.61%</w:t>
            </w:r>
          </w:p>
          <w:p w14:paraId="4FB6A321"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(.08)</w:t>
            </w:r>
          </w:p>
        </w:tc>
        <w:tc>
          <w:tcPr>
            <w:tcW w:w="1350" w:type="dxa"/>
            <w:tcBorders>
              <w:top w:val="nil"/>
              <w:left w:val="nil"/>
              <w:bottom w:val="nil"/>
              <w:right w:val="nil"/>
            </w:tcBorders>
          </w:tcPr>
          <w:p w14:paraId="2C9D0394"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63.45%</w:t>
            </w:r>
          </w:p>
          <w:p w14:paraId="1E9F0F66"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(.04)</w:t>
            </w:r>
          </w:p>
        </w:tc>
        <w:tc>
          <w:tcPr>
            <w:tcW w:w="990" w:type="dxa"/>
            <w:tcBorders>
              <w:top w:val="nil"/>
              <w:left w:val="nil"/>
              <w:bottom w:val="nil"/>
              <w:right w:val="nil"/>
            </w:tcBorders>
          </w:tcPr>
          <w:p w14:paraId="571E6C3C"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0.60</w:t>
            </w:r>
          </w:p>
        </w:tc>
        <w:tc>
          <w:tcPr>
            <w:tcW w:w="900" w:type="dxa"/>
            <w:tcBorders>
              <w:top w:val="nil"/>
              <w:left w:val="nil"/>
              <w:bottom w:val="nil"/>
              <w:right w:val="nil"/>
            </w:tcBorders>
          </w:tcPr>
          <w:p w14:paraId="452B0BC5" w14:textId="77777777" w:rsidR="00B26CB8" w:rsidRPr="00441BDB" w:rsidRDefault="00B26CB8" w:rsidP="00B26CB8">
            <w:pPr>
              <w:tabs>
                <w:tab w:val="decimal" w:pos="430"/>
              </w:tabs>
              <w:jc w:val="both"/>
              <w:rPr>
                <w:rFonts w:ascii="Times New Roman" w:hAnsi="Times New Roman" w:cs="Times New Roman"/>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 .55</w:t>
            </w:r>
          </w:p>
        </w:tc>
      </w:tr>
      <w:tr w:rsidR="00B26CB8" w:rsidRPr="00442034" w14:paraId="7D3A7076" w14:textId="77777777" w:rsidTr="00441BDB">
        <w:trPr>
          <w:trHeight w:val="645"/>
        </w:trPr>
        <w:tc>
          <w:tcPr>
            <w:tcW w:w="2610" w:type="dxa"/>
            <w:gridSpan w:val="2"/>
            <w:tcBorders>
              <w:top w:val="nil"/>
              <w:left w:val="nil"/>
              <w:bottom w:val="nil"/>
              <w:right w:val="nil"/>
            </w:tcBorders>
          </w:tcPr>
          <w:p w14:paraId="0CE1E057" w14:textId="77777777" w:rsidR="00B26CB8" w:rsidRPr="00441BDB" w:rsidRDefault="00B26CB8" w:rsidP="00441BDB">
            <w:pPr>
              <w:ind w:left="75"/>
              <w:rPr>
                <w:rFonts w:ascii="Times New Roman" w:hAnsi="Times New Roman" w:cs="Times New Roman"/>
                <w:sz w:val="20"/>
                <w:szCs w:val="20"/>
              </w:rPr>
            </w:pPr>
            <w:r w:rsidRPr="00441BDB">
              <w:rPr>
                <w:rFonts w:ascii="Times New Roman" w:hAnsi="Times New Roman" w:cs="Times New Roman"/>
                <w:sz w:val="20"/>
                <w:szCs w:val="20"/>
              </w:rPr>
              <w:t>Household Below Poverty Line</w:t>
            </w:r>
          </w:p>
        </w:tc>
        <w:tc>
          <w:tcPr>
            <w:tcW w:w="990" w:type="dxa"/>
            <w:tcBorders>
              <w:top w:val="nil"/>
              <w:left w:val="nil"/>
              <w:bottom w:val="nil"/>
              <w:right w:val="nil"/>
            </w:tcBorders>
          </w:tcPr>
          <w:p w14:paraId="5068107E"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nil"/>
              <w:right w:val="nil"/>
            </w:tcBorders>
          </w:tcPr>
          <w:p w14:paraId="434D9607"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52.86%</w:t>
            </w:r>
          </w:p>
          <w:p w14:paraId="128165BC"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(.03)</w:t>
            </w:r>
          </w:p>
        </w:tc>
        <w:tc>
          <w:tcPr>
            <w:tcW w:w="1350" w:type="dxa"/>
            <w:tcBorders>
              <w:top w:val="nil"/>
              <w:left w:val="nil"/>
              <w:bottom w:val="nil"/>
              <w:right w:val="nil"/>
            </w:tcBorders>
          </w:tcPr>
          <w:p w14:paraId="092892F3"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50.60%</w:t>
            </w:r>
          </w:p>
          <w:p w14:paraId="749A29D9"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(.08)</w:t>
            </w:r>
          </w:p>
        </w:tc>
        <w:tc>
          <w:tcPr>
            <w:tcW w:w="1350" w:type="dxa"/>
            <w:tcBorders>
              <w:top w:val="nil"/>
              <w:left w:val="nil"/>
              <w:bottom w:val="nil"/>
              <w:right w:val="nil"/>
            </w:tcBorders>
          </w:tcPr>
          <w:p w14:paraId="5944652A"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53.56%</w:t>
            </w:r>
          </w:p>
          <w:p w14:paraId="2FE9D580"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(.04)</w:t>
            </w:r>
          </w:p>
        </w:tc>
        <w:tc>
          <w:tcPr>
            <w:tcW w:w="990" w:type="dxa"/>
            <w:tcBorders>
              <w:top w:val="nil"/>
              <w:left w:val="nil"/>
              <w:bottom w:val="nil"/>
              <w:right w:val="nil"/>
            </w:tcBorders>
          </w:tcPr>
          <w:p w14:paraId="38B04FCA"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0.38</w:t>
            </w:r>
          </w:p>
        </w:tc>
        <w:tc>
          <w:tcPr>
            <w:tcW w:w="900" w:type="dxa"/>
            <w:tcBorders>
              <w:top w:val="nil"/>
              <w:left w:val="nil"/>
              <w:bottom w:val="nil"/>
              <w:right w:val="nil"/>
            </w:tcBorders>
          </w:tcPr>
          <w:p w14:paraId="5EF1CC60" w14:textId="77777777" w:rsidR="00B26CB8" w:rsidRPr="00441BDB" w:rsidRDefault="00B26CB8" w:rsidP="00B26CB8">
            <w:pPr>
              <w:tabs>
                <w:tab w:val="decimal" w:pos="430"/>
              </w:tabs>
              <w:jc w:val="both"/>
              <w:rPr>
                <w:rFonts w:ascii="Times New Roman" w:hAnsi="Times New Roman" w:cs="Times New Roman"/>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 .71</w:t>
            </w:r>
          </w:p>
        </w:tc>
      </w:tr>
      <w:tr w:rsidR="00B26CB8" w:rsidRPr="00442034" w14:paraId="036A88DA" w14:textId="77777777" w:rsidTr="00441BDB">
        <w:trPr>
          <w:trHeight w:val="92"/>
        </w:trPr>
        <w:tc>
          <w:tcPr>
            <w:tcW w:w="2610" w:type="dxa"/>
            <w:gridSpan w:val="2"/>
            <w:tcBorders>
              <w:top w:val="nil"/>
              <w:left w:val="nil"/>
              <w:bottom w:val="nil"/>
              <w:right w:val="nil"/>
            </w:tcBorders>
          </w:tcPr>
          <w:p w14:paraId="45F96D28" w14:textId="77777777" w:rsidR="00B26CB8" w:rsidRPr="00441BDB" w:rsidRDefault="00B26CB8" w:rsidP="00B26CB8">
            <w:pPr>
              <w:ind w:left="80"/>
              <w:rPr>
                <w:rFonts w:ascii="Times New Roman" w:hAnsi="Times New Roman" w:cs="Times New Roman"/>
                <w:sz w:val="20"/>
                <w:szCs w:val="20"/>
              </w:rPr>
            </w:pPr>
            <w:r w:rsidRPr="00441BDB">
              <w:rPr>
                <w:rFonts w:ascii="Times New Roman" w:hAnsi="Times New Roman" w:cs="Times New Roman"/>
                <w:sz w:val="20"/>
                <w:szCs w:val="20"/>
              </w:rPr>
              <w:t>PSU Urban</w:t>
            </w:r>
          </w:p>
        </w:tc>
        <w:tc>
          <w:tcPr>
            <w:tcW w:w="990" w:type="dxa"/>
            <w:tcBorders>
              <w:top w:val="nil"/>
              <w:left w:val="nil"/>
              <w:bottom w:val="nil"/>
              <w:right w:val="nil"/>
            </w:tcBorders>
          </w:tcPr>
          <w:p w14:paraId="0CDD6EFA"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nil"/>
              <w:right w:val="nil"/>
            </w:tcBorders>
          </w:tcPr>
          <w:p w14:paraId="25F71F53"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77.06%</w:t>
            </w:r>
          </w:p>
          <w:p w14:paraId="147976F7"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(.06)</w:t>
            </w:r>
          </w:p>
        </w:tc>
        <w:tc>
          <w:tcPr>
            <w:tcW w:w="1350" w:type="dxa"/>
            <w:tcBorders>
              <w:top w:val="nil"/>
              <w:left w:val="nil"/>
              <w:bottom w:val="nil"/>
              <w:right w:val="nil"/>
            </w:tcBorders>
          </w:tcPr>
          <w:p w14:paraId="12D5A3F8"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82.32%</w:t>
            </w:r>
          </w:p>
          <w:p w14:paraId="29002A73"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(.07)</w:t>
            </w:r>
          </w:p>
        </w:tc>
        <w:tc>
          <w:tcPr>
            <w:tcW w:w="1350" w:type="dxa"/>
            <w:tcBorders>
              <w:top w:val="nil"/>
              <w:left w:val="nil"/>
              <w:bottom w:val="nil"/>
              <w:right w:val="nil"/>
            </w:tcBorders>
          </w:tcPr>
          <w:p w14:paraId="066950F4"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75.43%</w:t>
            </w:r>
          </w:p>
          <w:p w14:paraId="11534595"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(.07)</w:t>
            </w:r>
          </w:p>
        </w:tc>
        <w:tc>
          <w:tcPr>
            <w:tcW w:w="990" w:type="dxa"/>
            <w:tcBorders>
              <w:top w:val="nil"/>
              <w:left w:val="nil"/>
              <w:bottom w:val="nil"/>
              <w:right w:val="nil"/>
            </w:tcBorders>
          </w:tcPr>
          <w:p w14:paraId="42A12DA9"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-1.42</w:t>
            </w:r>
          </w:p>
        </w:tc>
        <w:tc>
          <w:tcPr>
            <w:tcW w:w="900" w:type="dxa"/>
            <w:tcBorders>
              <w:top w:val="nil"/>
              <w:left w:val="nil"/>
              <w:bottom w:val="nil"/>
              <w:right w:val="nil"/>
            </w:tcBorders>
          </w:tcPr>
          <w:p w14:paraId="3C617FA4" w14:textId="77777777" w:rsidR="00B26CB8" w:rsidRPr="00441BDB" w:rsidRDefault="00B26CB8" w:rsidP="00B26CB8">
            <w:pPr>
              <w:tabs>
                <w:tab w:val="decimal" w:pos="430"/>
              </w:tabs>
              <w:jc w:val="both"/>
              <w:rPr>
                <w:rFonts w:ascii="Times New Roman" w:hAnsi="Times New Roman" w:cs="Times New Roman"/>
                <w:sz w:val="20"/>
                <w:szCs w:val="20"/>
              </w:rPr>
            </w:pPr>
            <w:r w:rsidRPr="00441BDB">
              <w:rPr>
                <w:rFonts w:ascii="Times New Roman" w:hAnsi="Times New Roman" w:cs="Times New Roman"/>
                <w:i/>
                <w:iCs/>
                <w:sz w:val="20"/>
                <w:szCs w:val="20"/>
              </w:rPr>
              <w:t>p</w:t>
            </w:r>
            <w:r w:rsidRPr="00441BDB">
              <w:rPr>
                <w:rFonts w:ascii="Times New Roman" w:hAnsi="Times New Roman" w:cs="Times New Roman"/>
                <w:sz w:val="20"/>
                <w:szCs w:val="20"/>
              </w:rPr>
              <w:t xml:space="preserve"> = .16</w:t>
            </w:r>
          </w:p>
        </w:tc>
      </w:tr>
      <w:tr w:rsidR="00B26CB8" w:rsidRPr="00442034" w14:paraId="6EFAA16B" w14:textId="77777777" w:rsidTr="00441BDB">
        <w:trPr>
          <w:trHeight w:val="92"/>
        </w:trPr>
        <w:tc>
          <w:tcPr>
            <w:tcW w:w="2610" w:type="dxa"/>
            <w:gridSpan w:val="2"/>
            <w:tcBorders>
              <w:top w:val="nil"/>
              <w:left w:val="nil"/>
              <w:bottom w:val="single" w:sz="4" w:space="0" w:color="auto"/>
              <w:right w:val="nil"/>
            </w:tcBorders>
          </w:tcPr>
          <w:p w14:paraId="2910D79B" w14:textId="77777777" w:rsidR="00B26CB8" w:rsidRPr="00441BDB" w:rsidRDefault="00B26CB8" w:rsidP="00B26CB8">
            <w:pPr>
              <w:ind w:left="80"/>
              <w:rPr>
                <w:rFonts w:ascii="Times New Roman" w:hAnsi="Times New Roman" w:cs="Times New Roman"/>
                <w:sz w:val="20"/>
                <w:szCs w:val="20"/>
              </w:rPr>
            </w:pPr>
            <w:r w:rsidRPr="00441BDB">
              <w:rPr>
                <w:rFonts w:ascii="Times New Roman" w:hAnsi="Times New Roman" w:cs="Times New Roman"/>
                <w:sz w:val="20"/>
                <w:szCs w:val="20"/>
              </w:rPr>
              <w:t>Out-of-Home Care</w:t>
            </w:r>
          </w:p>
        </w:tc>
        <w:tc>
          <w:tcPr>
            <w:tcW w:w="990" w:type="dxa"/>
            <w:tcBorders>
              <w:top w:val="nil"/>
              <w:left w:val="nil"/>
              <w:bottom w:val="single" w:sz="4" w:space="0" w:color="auto"/>
              <w:right w:val="nil"/>
            </w:tcBorders>
          </w:tcPr>
          <w:p w14:paraId="062C28EF" w14:textId="77777777" w:rsidR="00B26CB8" w:rsidRPr="00441BDB" w:rsidRDefault="00B26CB8" w:rsidP="00B26CB8">
            <w:pPr>
              <w:jc w:val="center"/>
              <w:rPr>
                <w:rFonts w:ascii="Times New Roman" w:hAnsi="Times New Roman" w:cs="Times New Roman"/>
                <w:sz w:val="20"/>
                <w:szCs w:val="20"/>
              </w:rPr>
            </w:pPr>
            <w:r w:rsidRPr="00441BDB">
              <w:rPr>
                <w:rFonts w:ascii="Times New Roman" w:hAnsi="Times New Roman" w:cs="Times New Roman"/>
                <w:sz w:val="20"/>
                <w:szCs w:val="20"/>
              </w:rPr>
              <w:t>0-100%</w:t>
            </w:r>
          </w:p>
        </w:tc>
        <w:tc>
          <w:tcPr>
            <w:tcW w:w="1350" w:type="dxa"/>
            <w:tcBorders>
              <w:top w:val="nil"/>
              <w:left w:val="nil"/>
              <w:bottom w:val="single" w:sz="4" w:space="0" w:color="auto"/>
              <w:right w:val="nil"/>
            </w:tcBorders>
          </w:tcPr>
          <w:p w14:paraId="672B0135"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7.79%</w:t>
            </w:r>
          </w:p>
          <w:p w14:paraId="77DA4AC8" w14:textId="77777777" w:rsidR="00B26CB8" w:rsidRPr="00441BDB" w:rsidRDefault="00B26CB8" w:rsidP="00B26CB8">
            <w:pPr>
              <w:tabs>
                <w:tab w:val="decimal" w:pos="350"/>
              </w:tabs>
              <w:rPr>
                <w:rFonts w:ascii="Times New Roman" w:hAnsi="Times New Roman" w:cs="Times New Roman"/>
                <w:sz w:val="20"/>
                <w:szCs w:val="20"/>
              </w:rPr>
            </w:pPr>
            <w:r w:rsidRPr="00441BDB">
              <w:rPr>
                <w:rFonts w:ascii="Times New Roman" w:hAnsi="Times New Roman" w:cs="Times New Roman"/>
                <w:sz w:val="20"/>
                <w:szCs w:val="20"/>
              </w:rPr>
              <w:t>(.02)</w:t>
            </w:r>
          </w:p>
        </w:tc>
        <w:tc>
          <w:tcPr>
            <w:tcW w:w="1350" w:type="dxa"/>
            <w:tcBorders>
              <w:top w:val="nil"/>
              <w:left w:val="nil"/>
              <w:bottom w:val="single" w:sz="4" w:space="0" w:color="auto"/>
              <w:right w:val="nil"/>
            </w:tcBorders>
          </w:tcPr>
          <w:p w14:paraId="0C73D684"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6.41%</w:t>
            </w:r>
          </w:p>
          <w:p w14:paraId="52F9432B" w14:textId="77777777" w:rsidR="00B26CB8" w:rsidRPr="00441BDB" w:rsidRDefault="00B26CB8" w:rsidP="00B26CB8">
            <w:pPr>
              <w:tabs>
                <w:tab w:val="decimal" w:pos="340"/>
              </w:tabs>
              <w:rPr>
                <w:rFonts w:ascii="Times New Roman" w:hAnsi="Times New Roman" w:cs="Times New Roman"/>
                <w:sz w:val="20"/>
                <w:szCs w:val="20"/>
              </w:rPr>
            </w:pPr>
            <w:r w:rsidRPr="00441BDB">
              <w:rPr>
                <w:rFonts w:ascii="Times New Roman" w:hAnsi="Times New Roman" w:cs="Times New Roman"/>
                <w:sz w:val="20"/>
                <w:szCs w:val="20"/>
              </w:rPr>
              <w:t>(.03)</w:t>
            </w:r>
          </w:p>
        </w:tc>
        <w:tc>
          <w:tcPr>
            <w:tcW w:w="1350" w:type="dxa"/>
            <w:tcBorders>
              <w:top w:val="nil"/>
              <w:left w:val="nil"/>
              <w:bottom w:val="single" w:sz="4" w:space="0" w:color="auto"/>
              <w:right w:val="nil"/>
            </w:tcBorders>
          </w:tcPr>
          <w:p w14:paraId="3F92B1D2"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8.15%</w:t>
            </w:r>
          </w:p>
          <w:p w14:paraId="79BCA006"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(.02)</w:t>
            </w:r>
          </w:p>
        </w:tc>
        <w:tc>
          <w:tcPr>
            <w:tcW w:w="990" w:type="dxa"/>
            <w:tcBorders>
              <w:top w:val="nil"/>
              <w:left w:val="nil"/>
              <w:bottom w:val="single" w:sz="4" w:space="0" w:color="auto"/>
              <w:right w:val="nil"/>
            </w:tcBorders>
          </w:tcPr>
          <w:p w14:paraId="5454051B" w14:textId="77777777" w:rsidR="00B26CB8" w:rsidRPr="00441BDB" w:rsidRDefault="00B26CB8" w:rsidP="00B26CB8">
            <w:pPr>
              <w:tabs>
                <w:tab w:val="decimal" w:pos="440"/>
              </w:tabs>
              <w:rPr>
                <w:rFonts w:ascii="Times New Roman" w:hAnsi="Times New Roman" w:cs="Times New Roman"/>
                <w:sz w:val="20"/>
                <w:szCs w:val="20"/>
              </w:rPr>
            </w:pPr>
            <w:r w:rsidRPr="00441BDB">
              <w:rPr>
                <w:rFonts w:ascii="Times New Roman" w:hAnsi="Times New Roman" w:cs="Times New Roman"/>
                <w:sz w:val="20"/>
                <w:szCs w:val="20"/>
              </w:rPr>
              <w:t>0.40</w:t>
            </w:r>
          </w:p>
        </w:tc>
        <w:tc>
          <w:tcPr>
            <w:tcW w:w="900" w:type="dxa"/>
            <w:tcBorders>
              <w:top w:val="nil"/>
              <w:left w:val="nil"/>
              <w:bottom w:val="single" w:sz="4" w:space="0" w:color="auto"/>
              <w:right w:val="nil"/>
            </w:tcBorders>
          </w:tcPr>
          <w:p w14:paraId="3654D19F" w14:textId="77777777" w:rsidR="00B26CB8" w:rsidRPr="00441BDB" w:rsidRDefault="00B26CB8" w:rsidP="00B26CB8">
            <w:pPr>
              <w:tabs>
                <w:tab w:val="decimal" w:pos="430"/>
              </w:tabs>
              <w:jc w:val="both"/>
              <w:rPr>
                <w:rFonts w:ascii="Times New Roman" w:hAnsi="Times New Roman" w:cs="Times New Roman"/>
                <w:sz w:val="20"/>
                <w:szCs w:val="20"/>
              </w:rPr>
            </w:pPr>
            <w:r w:rsidRPr="00441BDB">
              <w:rPr>
                <w:rFonts w:ascii="Times New Roman" w:hAnsi="Times New Roman" w:cs="Times New Roman"/>
                <w:i/>
                <w:iCs/>
                <w:sz w:val="20"/>
                <w:szCs w:val="20"/>
              </w:rPr>
              <w:t xml:space="preserve">p </w:t>
            </w:r>
            <w:r w:rsidRPr="00441BDB">
              <w:rPr>
                <w:rFonts w:ascii="Times New Roman" w:hAnsi="Times New Roman" w:cs="Times New Roman"/>
                <w:sz w:val="20"/>
                <w:szCs w:val="20"/>
              </w:rPr>
              <w:t>= .69</w:t>
            </w:r>
          </w:p>
        </w:tc>
      </w:tr>
      <w:tr w:rsidR="00B26CB8" w:rsidRPr="00442034" w14:paraId="68D374E4" w14:textId="77777777" w:rsidTr="00B26CB8">
        <w:trPr>
          <w:trHeight w:val="90"/>
        </w:trPr>
        <w:tc>
          <w:tcPr>
            <w:tcW w:w="9540" w:type="dxa"/>
            <w:gridSpan w:val="8"/>
            <w:tcBorders>
              <w:top w:val="single" w:sz="4" w:space="0" w:color="auto"/>
              <w:left w:val="nil"/>
              <w:bottom w:val="nil"/>
              <w:right w:val="nil"/>
            </w:tcBorders>
          </w:tcPr>
          <w:p w14:paraId="200F6BDA" w14:textId="77777777" w:rsidR="00B26CB8" w:rsidRPr="00442034" w:rsidRDefault="00B26CB8" w:rsidP="00B26CB8">
            <w:pPr>
              <w:rPr>
                <w:rFonts w:ascii="Times New Roman" w:hAnsi="Times New Roman" w:cs="Times New Roman"/>
                <w:sz w:val="20"/>
                <w:szCs w:val="20"/>
              </w:rPr>
            </w:pPr>
            <w:r w:rsidRPr="00442034">
              <w:rPr>
                <w:rFonts w:ascii="Times New Roman" w:hAnsi="Times New Roman" w:cs="Times New Roman"/>
                <w:sz w:val="20"/>
                <w:szCs w:val="20"/>
              </w:rPr>
              <w:t>Source: National Survey of Child and Adolescent Well-Being (NSCAW-II)</w:t>
            </w:r>
          </w:p>
          <w:p w14:paraId="0AA945EB" w14:textId="77777777" w:rsidR="00B26CB8" w:rsidRPr="00442034" w:rsidRDefault="00B26CB8" w:rsidP="00B26CB8">
            <w:pPr>
              <w:contextualSpacing/>
              <w:rPr>
                <w:rFonts w:ascii="Times New Roman" w:eastAsia="Times New Roman" w:hAnsi="Times New Roman" w:cs="Times New Roman"/>
                <w:sz w:val="20"/>
                <w:szCs w:val="20"/>
              </w:rPr>
            </w:pPr>
            <w:r w:rsidRPr="00442034">
              <w:rPr>
                <w:rFonts w:ascii="Times New Roman" w:eastAsia="Times New Roman" w:hAnsi="Times New Roman" w:cs="Times New Roman"/>
                <w:sz w:val="20"/>
                <w:szCs w:val="20"/>
              </w:rPr>
              <w:t xml:space="preserve">I provide proportions within sample for categorical variables and mean values for continuous variables. </w:t>
            </w:r>
          </w:p>
          <w:p w14:paraId="1AEBF2EF" w14:textId="77777777" w:rsidR="00B26CB8" w:rsidRPr="00842406" w:rsidRDefault="00B26CB8" w:rsidP="00B26CB8">
            <w:pPr>
              <w:contextualSpacing/>
              <w:rPr>
                <w:rFonts w:ascii="Times New Roman" w:eastAsia="Times New Roman" w:hAnsi="Times New Roman" w:cs="Times New Roman"/>
                <w:sz w:val="20"/>
                <w:szCs w:val="20"/>
              </w:rPr>
            </w:pPr>
            <w:proofErr w:type="spellStart"/>
            <w:r w:rsidRPr="00442034">
              <w:rPr>
                <w:rFonts w:ascii="Times New Roman" w:eastAsia="Times New Roman" w:hAnsi="Times New Roman" w:cs="Times New Roman"/>
                <w:sz w:val="20"/>
                <w:szCs w:val="20"/>
                <w:vertAlign w:val="superscript"/>
              </w:rPr>
              <w:t>a</w:t>
            </w:r>
            <w:r>
              <w:rPr>
                <w:rFonts w:ascii="Times New Roman" w:eastAsia="Times New Roman" w:hAnsi="Times New Roman" w:cs="Times New Roman"/>
                <w:sz w:val="20"/>
                <w:szCs w:val="20"/>
              </w:rPr>
              <w:t>LGBQ</w:t>
            </w:r>
            <w:proofErr w:type="spellEnd"/>
            <w:r>
              <w:rPr>
                <w:rFonts w:ascii="Times New Roman" w:eastAsia="Times New Roman" w:hAnsi="Times New Roman" w:cs="Times New Roman"/>
                <w:sz w:val="20"/>
                <w:szCs w:val="20"/>
              </w:rPr>
              <w:t xml:space="preserve"> </w:t>
            </w:r>
            <w:r w:rsidRPr="00442034">
              <w:rPr>
                <w:rFonts w:ascii="Times New Roman" w:eastAsia="Times New Roman" w:hAnsi="Times New Roman" w:cs="Times New Roman"/>
                <w:sz w:val="20"/>
                <w:szCs w:val="20"/>
              </w:rPr>
              <w:t xml:space="preserve">differences come from a linear combination test of the relevant proportion/mean across the youth. Here, the value for </w:t>
            </w:r>
            <w:r>
              <w:rPr>
                <w:rFonts w:ascii="Times New Roman" w:eastAsia="Times New Roman" w:hAnsi="Times New Roman" w:cs="Times New Roman"/>
                <w:sz w:val="20"/>
                <w:szCs w:val="20"/>
              </w:rPr>
              <w:t>LGBQ youth</w:t>
            </w:r>
            <w:r w:rsidRPr="00442034">
              <w:rPr>
                <w:rFonts w:ascii="Times New Roman" w:eastAsia="Times New Roman" w:hAnsi="Times New Roman" w:cs="Times New Roman"/>
                <w:sz w:val="20"/>
                <w:szCs w:val="20"/>
              </w:rPr>
              <w:t xml:space="preserve"> is subtracted from the value of </w:t>
            </w:r>
            <w:r>
              <w:rPr>
                <w:rFonts w:ascii="Times New Roman" w:eastAsia="Times New Roman" w:hAnsi="Times New Roman" w:cs="Times New Roman"/>
                <w:sz w:val="20"/>
                <w:szCs w:val="20"/>
              </w:rPr>
              <w:t>heterosexual youth</w:t>
            </w:r>
            <w:r w:rsidRPr="00442034">
              <w:rPr>
                <w:rFonts w:ascii="Times New Roman" w:eastAsia="Times New Roman" w:hAnsi="Times New Roman" w:cs="Times New Roman"/>
                <w:sz w:val="20"/>
                <w:szCs w:val="20"/>
              </w:rPr>
              <w:t xml:space="preserve">. A positive difference represents </w:t>
            </w:r>
            <w:r>
              <w:rPr>
                <w:rFonts w:ascii="Times New Roman" w:eastAsia="Times New Roman" w:hAnsi="Times New Roman" w:cs="Times New Roman"/>
                <w:sz w:val="20"/>
                <w:szCs w:val="20"/>
              </w:rPr>
              <w:t>heterosexual youth</w:t>
            </w:r>
            <w:r w:rsidRPr="00442034">
              <w:rPr>
                <w:rFonts w:ascii="Times New Roman" w:eastAsia="Times New Roman" w:hAnsi="Times New Roman" w:cs="Times New Roman"/>
                <w:sz w:val="20"/>
                <w:szCs w:val="20"/>
              </w:rPr>
              <w:t xml:space="preserve"> having a larger proportion/mean in our analytical sample and a negative value means that </w:t>
            </w:r>
            <w:r>
              <w:rPr>
                <w:rFonts w:ascii="Times New Roman" w:eastAsia="Times New Roman" w:hAnsi="Times New Roman" w:cs="Times New Roman"/>
                <w:sz w:val="20"/>
                <w:szCs w:val="20"/>
              </w:rPr>
              <w:t>LGBQ youth</w:t>
            </w:r>
            <w:r w:rsidRPr="00442034">
              <w:rPr>
                <w:rFonts w:ascii="Times New Roman" w:eastAsia="Times New Roman" w:hAnsi="Times New Roman" w:cs="Times New Roman"/>
                <w:sz w:val="20"/>
                <w:szCs w:val="20"/>
              </w:rPr>
              <w:t xml:space="preserve"> have a larger proportion/mean.</w:t>
            </w:r>
          </w:p>
        </w:tc>
      </w:tr>
    </w:tbl>
    <w:p w14:paraId="3DAFE4BD" w14:textId="77777777" w:rsidR="00442034" w:rsidRPr="00442034" w:rsidRDefault="00442034" w:rsidP="00442034">
      <w:pPr>
        <w:tabs>
          <w:tab w:val="left" w:pos="5676"/>
        </w:tabs>
        <w:rPr>
          <w:rFonts w:ascii="Times New Roman" w:hAnsi="Times New Roman" w:cs="Times New Roman"/>
          <w:sz w:val="20"/>
          <w:szCs w:val="20"/>
        </w:rPr>
        <w:sectPr w:rsidR="00442034" w:rsidRPr="00442034" w:rsidSect="00E4733D">
          <w:headerReference w:type="even" r:id="rId15"/>
          <w:headerReference w:type="default" r:id="rId16"/>
          <w:footerReference w:type="default" r:id="rId17"/>
          <w:headerReference w:type="first" r:id="rId18"/>
          <w:footerReference w:type="first" r:id="rId19"/>
          <w:pgSz w:w="12240" w:h="15840"/>
          <w:pgMar w:top="1440" w:right="1440" w:bottom="1440" w:left="1440" w:header="720" w:footer="720" w:gutter="0"/>
          <w:pgNumType w:start="1"/>
          <w:cols w:space="720"/>
          <w:docGrid w:linePitch="360"/>
        </w:sectPr>
      </w:pPr>
    </w:p>
    <w:tbl>
      <w:tblPr>
        <w:tblpPr w:leftFromText="180" w:rightFromText="180" w:vertAnchor="text" w:horzAnchor="margin" w:tblpY="-344"/>
        <w:tblW w:w="9540" w:type="dxa"/>
        <w:tblLayout w:type="fixed"/>
        <w:tblLook w:val="0000" w:firstRow="0" w:lastRow="0" w:firstColumn="0" w:lastColumn="0" w:noHBand="0" w:noVBand="0"/>
      </w:tblPr>
      <w:tblGrid>
        <w:gridCol w:w="4050"/>
        <w:gridCol w:w="1440"/>
        <w:gridCol w:w="1350"/>
        <w:gridCol w:w="1359"/>
        <w:gridCol w:w="1341"/>
      </w:tblGrid>
      <w:tr w:rsidR="00BF1883" w:rsidRPr="00442034" w14:paraId="0907A619" w14:textId="77777777" w:rsidTr="00BF1883">
        <w:trPr>
          <w:trHeight w:val="273"/>
        </w:trPr>
        <w:tc>
          <w:tcPr>
            <w:tcW w:w="9540" w:type="dxa"/>
            <w:gridSpan w:val="5"/>
            <w:tcBorders>
              <w:left w:val="nil"/>
              <w:right w:val="nil"/>
            </w:tcBorders>
          </w:tcPr>
          <w:p w14:paraId="450FC50F" w14:textId="77777777" w:rsidR="00BF1883" w:rsidRPr="00442034" w:rsidRDefault="00BF1883" w:rsidP="00BF1883">
            <w:pPr>
              <w:widowControl w:val="0"/>
              <w:autoSpaceDE w:val="0"/>
              <w:autoSpaceDN w:val="0"/>
              <w:adjustRightInd w:val="0"/>
              <w:rPr>
                <w:rFonts w:ascii="Times New Roman" w:hAnsi="Times New Roman" w:cs="Times New Roman"/>
              </w:rPr>
            </w:pPr>
            <w:r w:rsidRPr="00442034">
              <w:rPr>
                <w:rFonts w:ascii="Times New Roman" w:hAnsi="Times New Roman" w:cs="Times New Roman"/>
                <w:b/>
                <w:bCs/>
              </w:rPr>
              <w:lastRenderedPageBreak/>
              <w:t xml:space="preserve">Table </w:t>
            </w:r>
            <w:r>
              <w:rPr>
                <w:rFonts w:ascii="Times New Roman" w:hAnsi="Times New Roman" w:cs="Times New Roman"/>
                <w:b/>
                <w:bCs/>
              </w:rPr>
              <w:t>2</w:t>
            </w:r>
            <w:r w:rsidRPr="00442034">
              <w:rPr>
                <w:rFonts w:ascii="Times New Roman" w:hAnsi="Times New Roman" w:cs="Times New Roman"/>
                <w:b/>
                <w:bCs/>
              </w:rPr>
              <w:t>. Logistic Regression of Behavior Problems on Sexual Orientation and Relationship with Caregiver</w:t>
            </w:r>
          </w:p>
        </w:tc>
      </w:tr>
      <w:tr w:rsidR="00BF1883" w:rsidRPr="00442034" w14:paraId="002AFE74" w14:textId="77777777" w:rsidTr="00BF1883">
        <w:trPr>
          <w:trHeight w:val="273"/>
        </w:trPr>
        <w:tc>
          <w:tcPr>
            <w:tcW w:w="4050" w:type="dxa"/>
            <w:tcBorders>
              <w:top w:val="single" w:sz="4" w:space="0" w:color="auto"/>
              <w:left w:val="nil"/>
              <w:right w:val="nil"/>
            </w:tcBorders>
          </w:tcPr>
          <w:p w14:paraId="057BB1CD" w14:textId="77777777" w:rsidR="00BF1883" w:rsidRPr="00442034" w:rsidRDefault="00BF1883" w:rsidP="00BF1883">
            <w:pPr>
              <w:widowControl w:val="0"/>
              <w:autoSpaceDE w:val="0"/>
              <w:autoSpaceDN w:val="0"/>
              <w:adjustRightInd w:val="0"/>
              <w:rPr>
                <w:rFonts w:ascii="Times New Roman" w:hAnsi="Times New Roman" w:cs="Times New Roman"/>
              </w:rPr>
            </w:pPr>
          </w:p>
        </w:tc>
        <w:tc>
          <w:tcPr>
            <w:tcW w:w="2790" w:type="dxa"/>
            <w:gridSpan w:val="2"/>
            <w:tcBorders>
              <w:top w:val="single" w:sz="4" w:space="0" w:color="auto"/>
              <w:left w:val="nil"/>
              <w:bottom w:val="nil"/>
              <w:right w:val="nil"/>
            </w:tcBorders>
          </w:tcPr>
          <w:p w14:paraId="7560B918" w14:textId="77777777" w:rsidR="00BF1883" w:rsidRPr="00442034" w:rsidRDefault="00BF1883" w:rsidP="00BF1883">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Internalizing Behavior Problems</w:t>
            </w:r>
          </w:p>
        </w:tc>
        <w:tc>
          <w:tcPr>
            <w:tcW w:w="2700" w:type="dxa"/>
            <w:gridSpan w:val="2"/>
            <w:tcBorders>
              <w:top w:val="single" w:sz="4" w:space="0" w:color="auto"/>
              <w:left w:val="nil"/>
              <w:bottom w:val="nil"/>
              <w:right w:val="nil"/>
            </w:tcBorders>
          </w:tcPr>
          <w:p w14:paraId="1AA9D3B1" w14:textId="77777777" w:rsidR="00BF1883" w:rsidRPr="00442034" w:rsidRDefault="00BF1883" w:rsidP="00BF1883">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Externalizing Behavior Problems</w:t>
            </w:r>
          </w:p>
        </w:tc>
      </w:tr>
      <w:tr w:rsidR="00BF1883" w:rsidRPr="00442034" w14:paraId="45991E31" w14:textId="77777777" w:rsidTr="00BF1883">
        <w:trPr>
          <w:trHeight w:val="273"/>
        </w:trPr>
        <w:tc>
          <w:tcPr>
            <w:tcW w:w="4050" w:type="dxa"/>
            <w:tcBorders>
              <w:top w:val="single" w:sz="4" w:space="0" w:color="auto"/>
              <w:left w:val="nil"/>
              <w:right w:val="nil"/>
            </w:tcBorders>
          </w:tcPr>
          <w:p w14:paraId="0C7050C1" w14:textId="77777777" w:rsidR="00BF1883" w:rsidRPr="00442034" w:rsidRDefault="00BF1883" w:rsidP="00BF1883">
            <w:pPr>
              <w:widowControl w:val="0"/>
              <w:autoSpaceDE w:val="0"/>
              <w:autoSpaceDN w:val="0"/>
              <w:adjustRightInd w:val="0"/>
              <w:rPr>
                <w:rFonts w:ascii="Times New Roman" w:hAnsi="Times New Roman" w:cs="Times New Roman"/>
              </w:rPr>
            </w:pPr>
          </w:p>
        </w:tc>
        <w:tc>
          <w:tcPr>
            <w:tcW w:w="1440" w:type="dxa"/>
            <w:tcBorders>
              <w:top w:val="single" w:sz="4" w:space="0" w:color="auto"/>
              <w:left w:val="nil"/>
              <w:bottom w:val="nil"/>
              <w:right w:val="nil"/>
            </w:tcBorders>
          </w:tcPr>
          <w:p w14:paraId="4BD6C0D3" w14:textId="77777777" w:rsidR="00BF1883" w:rsidRPr="00442034" w:rsidRDefault="00BF1883" w:rsidP="00BF1883">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Model 1</w:t>
            </w:r>
          </w:p>
        </w:tc>
        <w:tc>
          <w:tcPr>
            <w:tcW w:w="1350" w:type="dxa"/>
            <w:tcBorders>
              <w:top w:val="single" w:sz="4" w:space="0" w:color="auto"/>
              <w:left w:val="nil"/>
              <w:bottom w:val="nil"/>
              <w:right w:val="nil"/>
            </w:tcBorders>
          </w:tcPr>
          <w:p w14:paraId="08B0362A" w14:textId="77777777" w:rsidR="00BF1883" w:rsidRPr="00442034" w:rsidRDefault="00BF1883" w:rsidP="00BF1883">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Model 2</w:t>
            </w:r>
          </w:p>
        </w:tc>
        <w:tc>
          <w:tcPr>
            <w:tcW w:w="1359" w:type="dxa"/>
            <w:tcBorders>
              <w:top w:val="single" w:sz="4" w:space="0" w:color="auto"/>
              <w:left w:val="nil"/>
              <w:bottom w:val="nil"/>
              <w:right w:val="nil"/>
            </w:tcBorders>
          </w:tcPr>
          <w:p w14:paraId="6B1A9371" w14:textId="77777777" w:rsidR="00BF1883" w:rsidRPr="00442034" w:rsidRDefault="00BF1883" w:rsidP="00BF1883">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Model 3</w:t>
            </w:r>
          </w:p>
        </w:tc>
        <w:tc>
          <w:tcPr>
            <w:tcW w:w="1341" w:type="dxa"/>
            <w:tcBorders>
              <w:top w:val="single" w:sz="4" w:space="0" w:color="auto"/>
              <w:left w:val="nil"/>
              <w:bottom w:val="nil"/>
              <w:right w:val="nil"/>
            </w:tcBorders>
          </w:tcPr>
          <w:p w14:paraId="75973A01" w14:textId="77777777" w:rsidR="00BF1883" w:rsidRPr="00442034" w:rsidRDefault="00BF1883" w:rsidP="00BF1883">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Model 4</w:t>
            </w:r>
          </w:p>
        </w:tc>
      </w:tr>
      <w:tr w:rsidR="00BF1883" w:rsidRPr="00442034" w14:paraId="0B24705D" w14:textId="77777777" w:rsidTr="00BF1883">
        <w:trPr>
          <w:trHeight w:val="557"/>
        </w:trPr>
        <w:tc>
          <w:tcPr>
            <w:tcW w:w="4050" w:type="dxa"/>
            <w:tcBorders>
              <w:left w:val="nil"/>
              <w:bottom w:val="nil"/>
              <w:right w:val="nil"/>
            </w:tcBorders>
          </w:tcPr>
          <w:p w14:paraId="1E2811F3" w14:textId="77777777" w:rsidR="00BF1883" w:rsidRPr="00442034" w:rsidRDefault="00BF1883" w:rsidP="00BF1883">
            <w:pPr>
              <w:widowControl w:val="0"/>
              <w:autoSpaceDE w:val="0"/>
              <w:autoSpaceDN w:val="0"/>
              <w:adjustRightInd w:val="0"/>
              <w:rPr>
                <w:rFonts w:ascii="Times New Roman" w:hAnsi="Times New Roman" w:cs="Times New Roman"/>
                <w:i/>
                <w:iCs/>
                <w:u w:val="single"/>
              </w:rPr>
            </w:pPr>
          </w:p>
        </w:tc>
        <w:tc>
          <w:tcPr>
            <w:tcW w:w="1440" w:type="dxa"/>
            <w:tcBorders>
              <w:top w:val="single" w:sz="4" w:space="0" w:color="auto"/>
              <w:left w:val="nil"/>
              <w:bottom w:val="nil"/>
              <w:right w:val="nil"/>
            </w:tcBorders>
          </w:tcPr>
          <w:p w14:paraId="02454A15" w14:textId="77777777" w:rsidR="00BF1883" w:rsidRPr="00436385" w:rsidRDefault="00BF1883" w:rsidP="00BF1883">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sym w:font="Symbol" w:char="F062"/>
            </w:r>
            <w:r>
              <w:rPr>
                <w:rFonts w:ascii="Times New Roman" w:hAnsi="Times New Roman" w:cs="Times New Roman"/>
              </w:rPr>
              <w:t xml:space="preserve"> (</w:t>
            </w:r>
            <w:r>
              <w:rPr>
                <w:rFonts w:ascii="Times New Roman" w:hAnsi="Times New Roman" w:cs="Times New Roman"/>
                <w:i/>
                <w:iCs/>
              </w:rPr>
              <w:t>SE)</w:t>
            </w:r>
          </w:p>
        </w:tc>
        <w:tc>
          <w:tcPr>
            <w:tcW w:w="1350" w:type="dxa"/>
            <w:tcBorders>
              <w:top w:val="single" w:sz="4" w:space="0" w:color="auto"/>
              <w:left w:val="nil"/>
              <w:bottom w:val="nil"/>
              <w:right w:val="nil"/>
            </w:tcBorders>
          </w:tcPr>
          <w:p w14:paraId="3737C0F3" w14:textId="77777777" w:rsidR="00BF1883" w:rsidRDefault="00BF1883" w:rsidP="00BF1883">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sym w:font="Symbol" w:char="F062"/>
            </w:r>
          </w:p>
          <w:p w14:paraId="70F20265" w14:textId="77777777" w:rsidR="00BF1883" w:rsidRPr="00442034" w:rsidRDefault="00BF1883" w:rsidP="00BF1883">
            <w:pPr>
              <w:widowControl w:val="0"/>
              <w:autoSpaceDE w:val="0"/>
              <w:autoSpaceDN w:val="0"/>
              <w:adjustRightInd w:val="0"/>
              <w:jc w:val="center"/>
              <w:rPr>
                <w:rFonts w:ascii="Times New Roman" w:hAnsi="Times New Roman" w:cs="Times New Roman"/>
              </w:rPr>
            </w:pPr>
            <w:r>
              <w:rPr>
                <w:rFonts w:ascii="Times New Roman" w:hAnsi="Times New Roman" w:cs="Times New Roman"/>
              </w:rPr>
              <w:t>(</w:t>
            </w:r>
            <w:r>
              <w:rPr>
                <w:rFonts w:ascii="Times New Roman" w:hAnsi="Times New Roman" w:cs="Times New Roman"/>
                <w:i/>
                <w:iCs/>
              </w:rPr>
              <w:t>SE)</w:t>
            </w:r>
          </w:p>
        </w:tc>
        <w:tc>
          <w:tcPr>
            <w:tcW w:w="1359" w:type="dxa"/>
            <w:tcBorders>
              <w:top w:val="single" w:sz="4" w:space="0" w:color="auto"/>
              <w:left w:val="nil"/>
              <w:bottom w:val="nil"/>
              <w:right w:val="nil"/>
            </w:tcBorders>
          </w:tcPr>
          <w:p w14:paraId="0F52BE8D" w14:textId="77777777" w:rsidR="00BF1883" w:rsidRDefault="00BF1883" w:rsidP="00BF1883">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sym w:font="Symbol" w:char="F062"/>
            </w:r>
          </w:p>
          <w:p w14:paraId="7464E363" w14:textId="77777777" w:rsidR="00BF1883" w:rsidRPr="00442034" w:rsidRDefault="00BF1883" w:rsidP="00BF1883">
            <w:pPr>
              <w:widowControl w:val="0"/>
              <w:autoSpaceDE w:val="0"/>
              <w:autoSpaceDN w:val="0"/>
              <w:adjustRightInd w:val="0"/>
              <w:jc w:val="center"/>
              <w:rPr>
                <w:rFonts w:ascii="Times New Roman" w:hAnsi="Times New Roman" w:cs="Times New Roman"/>
              </w:rPr>
            </w:pPr>
            <w:r>
              <w:rPr>
                <w:rFonts w:ascii="Times New Roman" w:hAnsi="Times New Roman" w:cs="Times New Roman"/>
              </w:rPr>
              <w:t>(</w:t>
            </w:r>
            <w:r>
              <w:rPr>
                <w:rFonts w:ascii="Times New Roman" w:hAnsi="Times New Roman" w:cs="Times New Roman"/>
                <w:i/>
                <w:iCs/>
              </w:rPr>
              <w:t>SE)</w:t>
            </w:r>
          </w:p>
        </w:tc>
        <w:tc>
          <w:tcPr>
            <w:tcW w:w="1341" w:type="dxa"/>
            <w:tcBorders>
              <w:top w:val="single" w:sz="4" w:space="0" w:color="auto"/>
              <w:left w:val="nil"/>
              <w:bottom w:val="nil"/>
              <w:right w:val="nil"/>
            </w:tcBorders>
          </w:tcPr>
          <w:p w14:paraId="5D7447B2" w14:textId="77777777" w:rsidR="00BF1883" w:rsidRDefault="00BF1883" w:rsidP="00BF1883">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sym w:font="Symbol" w:char="F062"/>
            </w:r>
          </w:p>
          <w:p w14:paraId="50EF65E2" w14:textId="77777777" w:rsidR="00BF1883" w:rsidRPr="00442034" w:rsidRDefault="00BF1883" w:rsidP="00BF1883">
            <w:pPr>
              <w:widowControl w:val="0"/>
              <w:autoSpaceDE w:val="0"/>
              <w:autoSpaceDN w:val="0"/>
              <w:adjustRightInd w:val="0"/>
              <w:jc w:val="center"/>
              <w:rPr>
                <w:rFonts w:ascii="Times New Roman" w:hAnsi="Times New Roman" w:cs="Times New Roman"/>
              </w:rPr>
            </w:pPr>
            <w:r>
              <w:rPr>
                <w:rFonts w:ascii="Times New Roman" w:hAnsi="Times New Roman" w:cs="Times New Roman"/>
              </w:rPr>
              <w:t>(</w:t>
            </w:r>
            <w:r>
              <w:rPr>
                <w:rFonts w:ascii="Times New Roman" w:hAnsi="Times New Roman" w:cs="Times New Roman"/>
                <w:i/>
                <w:iCs/>
              </w:rPr>
              <w:t>SE)</w:t>
            </w:r>
          </w:p>
        </w:tc>
      </w:tr>
      <w:tr w:rsidR="00BF1883" w:rsidRPr="00442034" w14:paraId="01E06713" w14:textId="77777777" w:rsidTr="00BF1883">
        <w:trPr>
          <w:trHeight w:val="293"/>
        </w:trPr>
        <w:tc>
          <w:tcPr>
            <w:tcW w:w="4050" w:type="dxa"/>
            <w:tcBorders>
              <w:left w:val="nil"/>
              <w:bottom w:val="nil"/>
              <w:right w:val="nil"/>
            </w:tcBorders>
          </w:tcPr>
          <w:p w14:paraId="0FF74A6C" w14:textId="77777777" w:rsidR="00BF1883" w:rsidRPr="00442034" w:rsidRDefault="00BF1883" w:rsidP="00BF1883">
            <w:pPr>
              <w:widowControl w:val="0"/>
              <w:autoSpaceDE w:val="0"/>
              <w:autoSpaceDN w:val="0"/>
              <w:adjustRightInd w:val="0"/>
              <w:rPr>
                <w:rFonts w:ascii="Times New Roman" w:hAnsi="Times New Roman" w:cs="Times New Roman"/>
                <w:i/>
                <w:iCs/>
                <w:u w:val="single"/>
              </w:rPr>
            </w:pPr>
            <w:r w:rsidRPr="00442034">
              <w:rPr>
                <w:rFonts w:ascii="Times New Roman" w:hAnsi="Times New Roman" w:cs="Times New Roman"/>
                <w:i/>
                <w:iCs/>
                <w:u w:val="single"/>
              </w:rPr>
              <w:t>Main Effects</w:t>
            </w:r>
          </w:p>
        </w:tc>
        <w:tc>
          <w:tcPr>
            <w:tcW w:w="1440" w:type="dxa"/>
            <w:tcBorders>
              <w:top w:val="single" w:sz="4" w:space="0" w:color="auto"/>
              <w:left w:val="nil"/>
              <w:bottom w:val="nil"/>
              <w:right w:val="nil"/>
            </w:tcBorders>
          </w:tcPr>
          <w:p w14:paraId="1CEED246"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p>
        </w:tc>
        <w:tc>
          <w:tcPr>
            <w:tcW w:w="1350" w:type="dxa"/>
            <w:tcBorders>
              <w:top w:val="single" w:sz="4" w:space="0" w:color="auto"/>
              <w:left w:val="nil"/>
              <w:bottom w:val="nil"/>
              <w:right w:val="nil"/>
            </w:tcBorders>
          </w:tcPr>
          <w:p w14:paraId="11059462"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p>
        </w:tc>
        <w:tc>
          <w:tcPr>
            <w:tcW w:w="1359" w:type="dxa"/>
            <w:tcBorders>
              <w:top w:val="single" w:sz="4" w:space="0" w:color="auto"/>
              <w:left w:val="nil"/>
              <w:bottom w:val="nil"/>
              <w:right w:val="nil"/>
            </w:tcBorders>
          </w:tcPr>
          <w:p w14:paraId="1E1A3BFC" w14:textId="77777777" w:rsidR="00BF1883" w:rsidRPr="00442034" w:rsidRDefault="00BF1883" w:rsidP="00BF1883">
            <w:pPr>
              <w:widowControl w:val="0"/>
              <w:autoSpaceDE w:val="0"/>
              <w:autoSpaceDN w:val="0"/>
              <w:adjustRightInd w:val="0"/>
              <w:jc w:val="center"/>
              <w:rPr>
                <w:rFonts w:ascii="Times New Roman" w:hAnsi="Times New Roman" w:cs="Times New Roman"/>
              </w:rPr>
            </w:pPr>
          </w:p>
        </w:tc>
        <w:tc>
          <w:tcPr>
            <w:tcW w:w="1341" w:type="dxa"/>
            <w:tcBorders>
              <w:top w:val="single" w:sz="4" w:space="0" w:color="auto"/>
              <w:left w:val="nil"/>
              <w:bottom w:val="nil"/>
              <w:right w:val="nil"/>
            </w:tcBorders>
          </w:tcPr>
          <w:p w14:paraId="6F7BF7DA" w14:textId="77777777" w:rsidR="00BF1883" w:rsidRPr="00442034" w:rsidRDefault="00BF1883" w:rsidP="00BF1883">
            <w:pPr>
              <w:widowControl w:val="0"/>
              <w:autoSpaceDE w:val="0"/>
              <w:autoSpaceDN w:val="0"/>
              <w:adjustRightInd w:val="0"/>
              <w:jc w:val="center"/>
              <w:rPr>
                <w:rFonts w:ascii="Times New Roman" w:hAnsi="Times New Roman" w:cs="Times New Roman"/>
              </w:rPr>
            </w:pPr>
          </w:p>
        </w:tc>
      </w:tr>
      <w:tr w:rsidR="00BF1883" w:rsidRPr="00442034" w14:paraId="712FB7B7" w14:textId="77777777" w:rsidTr="00BF1883">
        <w:trPr>
          <w:trHeight w:val="273"/>
        </w:trPr>
        <w:tc>
          <w:tcPr>
            <w:tcW w:w="4050" w:type="dxa"/>
            <w:tcBorders>
              <w:top w:val="nil"/>
              <w:left w:val="nil"/>
              <w:bottom w:val="nil"/>
              <w:right w:val="nil"/>
            </w:tcBorders>
          </w:tcPr>
          <w:p w14:paraId="18DF0791" w14:textId="77777777" w:rsidR="00BF1883" w:rsidRPr="00442034" w:rsidRDefault="00BF1883" w:rsidP="00BF1883">
            <w:pPr>
              <w:widowControl w:val="0"/>
              <w:autoSpaceDE w:val="0"/>
              <w:autoSpaceDN w:val="0"/>
              <w:adjustRightInd w:val="0"/>
              <w:rPr>
                <w:rFonts w:ascii="Times New Roman" w:hAnsi="Times New Roman" w:cs="Times New Roman"/>
              </w:rPr>
            </w:pPr>
            <w:r w:rsidRPr="00442034">
              <w:rPr>
                <w:rFonts w:ascii="Times New Roman" w:hAnsi="Times New Roman" w:cs="Times New Roman"/>
              </w:rPr>
              <w:t>LGBQ Youth</w:t>
            </w:r>
          </w:p>
        </w:tc>
        <w:tc>
          <w:tcPr>
            <w:tcW w:w="1440" w:type="dxa"/>
            <w:tcBorders>
              <w:top w:val="nil"/>
              <w:left w:val="nil"/>
              <w:bottom w:val="nil"/>
              <w:right w:val="nil"/>
            </w:tcBorders>
          </w:tcPr>
          <w:p w14:paraId="3F31F9FA"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vertAlign w:val="superscript"/>
              </w:rPr>
            </w:pPr>
            <w:r>
              <w:rPr>
                <w:rFonts w:ascii="Times New Roman" w:hAnsi="Times New Roman" w:cs="Times New Roman"/>
              </w:rPr>
              <w:t>0.64 (.47)</w:t>
            </w:r>
          </w:p>
        </w:tc>
        <w:tc>
          <w:tcPr>
            <w:tcW w:w="1350" w:type="dxa"/>
            <w:tcBorders>
              <w:top w:val="nil"/>
              <w:left w:val="nil"/>
              <w:bottom w:val="nil"/>
              <w:right w:val="nil"/>
            </w:tcBorders>
          </w:tcPr>
          <w:p w14:paraId="7B4FD46B"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-2.54 (3.25)</w:t>
            </w:r>
          </w:p>
        </w:tc>
        <w:tc>
          <w:tcPr>
            <w:tcW w:w="1359" w:type="dxa"/>
            <w:tcBorders>
              <w:top w:val="nil"/>
              <w:left w:val="nil"/>
              <w:bottom w:val="nil"/>
              <w:right w:val="nil"/>
            </w:tcBorders>
          </w:tcPr>
          <w:p w14:paraId="4094FC97"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-0.25 (.43)</w:t>
            </w:r>
            <w:r>
              <w:rPr>
                <w:rFonts w:ascii="Times New Roman" w:hAnsi="Times New Roman" w:cs="Times New Roman"/>
                <w:vertAlign w:val="superscript"/>
              </w:rPr>
              <w:t xml:space="preserve"> </w:t>
            </w:r>
          </w:p>
        </w:tc>
        <w:tc>
          <w:tcPr>
            <w:tcW w:w="1341" w:type="dxa"/>
            <w:tcBorders>
              <w:top w:val="nil"/>
              <w:left w:val="nil"/>
              <w:bottom w:val="nil"/>
              <w:right w:val="nil"/>
            </w:tcBorders>
          </w:tcPr>
          <w:p w14:paraId="2EAB001A"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vertAlign w:val="superscript"/>
              </w:rPr>
            </w:pPr>
            <w:r>
              <w:rPr>
                <w:rFonts w:ascii="Times New Roman" w:hAnsi="Times New Roman" w:cs="Times New Roman"/>
              </w:rPr>
              <w:t>-4.27 (</w:t>
            </w:r>
            <w:proofErr w:type="gramStart"/>
            <w:r>
              <w:rPr>
                <w:rFonts w:ascii="Times New Roman" w:hAnsi="Times New Roman" w:cs="Times New Roman"/>
              </w:rPr>
              <w:t>2.30)</w:t>
            </w:r>
            <w:r w:rsidRPr="00442034">
              <w:rPr>
                <w:rFonts w:ascii="Times New Roman" w:hAnsi="Times New Roman" w:cs="Times New Roman"/>
                <w:vertAlign w:val="superscript"/>
              </w:rPr>
              <w:t>†</w:t>
            </w:r>
            <w:proofErr w:type="gramEnd"/>
          </w:p>
        </w:tc>
      </w:tr>
      <w:tr w:rsidR="00BF1883" w:rsidRPr="00442034" w14:paraId="09460E4C" w14:textId="77777777" w:rsidTr="00BF1883">
        <w:trPr>
          <w:trHeight w:val="293"/>
        </w:trPr>
        <w:tc>
          <w:tcPr>
            <w:tcW w:w="4050" w:type="dxa"/>
            <w:tcBorders>
              <w:top w:val="nil"/>
              <w:left w:val="nil"/>
              <w:bottom w:val="nil"/>
              <w:right w:val="nil"/>
            </w:tcBorders>
          </w:tcPr>
          <w:p w14:paraId="4EA7D241" w14:textId="77777777" w:rsidR="00BF1883" w:rsidRPr="00442034" w:rsidRDefault="00BF1883" w:rsidP="00BF1883">
            <w:pPr>
              <w:widowControl w:val="0"/>
              <w:autoSpaceDE w:val="0"/>
              <w:autoSpaceDN w:val="0"/>
              <w:adjustRightInd w:val="0"/>
              <w:rPr>
                <w:rFonts w:ascii="Times New Roman" w:hAnsi="Times New Roman" w:cs="Times New Roman"/>
              </w:rPr>
            </w:pPr>
            <w:r w:rsidRPr="00442034">
              <w:rPr>
                <w:rFonts w:ascii="Times New Roman" w:hAnsi="Times New Roman" w:cs="Times New Roman"/>
              </w:rPr>
              <w:t>Relationship with Caregiver</w:t>
            </w:r>
          </w:p>
        </w:tc>
        <w:tc>
          <w:tcPr>
            <w:tcW w:w="1440" w:type="dxa"/>
            <w:tcBorders>
              <w:top w:val="nil"/>
              <w:left w:val="nil"/>
              <w:bottom w:val="nil"/>
              <w:right w:val="nil"/>
            </w:tcBorders>
          </w:tcPr>
          <w:p w14:paraId="1739DB50"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sidRPr="00442034">
              <w:rPr>
                <w:rFonts w:ascii="Times New Roman" w:hAnsi="Times New Roman" w:cs="Times New Roman"/>
              </w:rPr>
              <w:t>0.0</w:t>
            </w:r>
            <w:r>
              <w:rPr>
                <w:rFonts w:ascii="Times New Roman" w:hAnsi="Times New Roman" w:cs="Times New Roman"/>
              </w:rPr>
              <w:t>2 (.04)</w:t>
            </w:r>
          </w:p>
        </w:tc>
        <w:tc>
          <w:tcPr>
            <w:tcW w:w="1350" w:type="dxa"/>
            <w:tcBorders>
              <w:top w:val="nil"/>
              <w:left w:val="nil"/>
              <w:bottom w:val="nil"/>
              <w:right w:val="nil"/>
            </w:tcBorders>
          </w:tcPr>
          <w:p w14:paraId="219F3B6B"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vertAlign w:val="superscript"/>
              </w:rPr>
            </w:pPr>
            <w:r w:rsidRPr="00442034">
              <w:rPr>
                <w:rFonts w:ascii="Times New Roman" w:hAnsi="Times New Roman" w:cs="Times New Roman"/>
              </w:rPr>
              <w:t>-</w:t>
            </w:r>
            <w:r>
              <w:rPr>
                <w:rFonts w:ascii="Times New Roman" w:hAnsi="Times New Roman" w:cs="Times New Roman"/>
              </w:rPr>
              <w:t>0.01 (.05)</w:t>
            </w:r>
          </w:p>
        </w:tc>
        <w:tc>
          <w:tcPr>
            <w:tcW w:w="1359" w:type="dxa"/>
            <w:tcBorders>
              <w:top w:val="nil"/>
              <w:left w:val="nil"/>
              <w:bottom w:val="nil"/>
              <w:right w:val="nil"/>
            </w:tcBorders>
          </w:tcPr>
          <w:p w14:paraId="74B749EA"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-0.05 (.</w:t>
            </w:r>
            <w:proofErr w:type="gramStart"/>
            <w:r>
              <w:rPr>
                <w:rFonts w:ascii="Times New Roman" w:hAnsi="Times New Roman" w:cs="Times New Roman"/>
              </w:rPr>
              <w:t>03)</w:t>
            </w:r>
            <w:r w:rsidRPr="00442034">
              <w:rPr>
                <w:rFonts w:ascii="Times New Roman" w:hAnsi="Times New Roman" w:cs="Times New Roman"/>
                <w:vertAlign w:val="superscript"/>
              </w:rPr>
              <w:t>†</w:t>
            </w:r>
            <w:proofErr w:type="gramEnd"/>
          </w:p>
        </w:tc>
        <w:tc>
          <w:tcPr>
            <w:tcW w:w="1341" w:type="dxa"/>
            <w:tcBorders>
              <w:top w:val="nil"/>
              <w:left w:val="nil"/>
              <w:bottom w:val="nil"/>
              <w:right w:val="nil"/>
            </w:tcBorders>
          </w:tcPr>
          <w:p w14:paraId="369B923D" w14:textId="77777777" w:rsidR="00BF1883" w:rsidRPr="001F4A93" w:rsidRDefault="00BF1883" w:rsidP="00BF1883">
            <w:pPr>
              <w:widowControl w:val="0"/>
              <w:tabs>
                <w:tab w:val="decimal" w:pos="350"/>
              </w:tabs>
              <w:autoSpaceDE w:val="0"/>
              <w:autoSpaceDN w:val="0"/>
              <w:adjustRightInd w:val="0"/>
              <w:rPr>
                <w:rFonts w:ascii="Times New Roman" w:hAnsi="Times New Roman" w:cs="Times New Roman"/>
                <w:vertAlign w:val="superscript"/>
              </w:rPr>
            </w:pPr>
            <w:r>
              <w:rPr>
                <w:rFonts w:ascii="Times New Roman" w:hAnsi="Times New Roman" w:cs="Times New Roman"/>
              </w:rPr>
              <w:t>-0.08 (.</w:t>
            </w:r>
            <w:proofErr w:type="gramStart"/>
            <w:r>
              <w:rPr>
                <w:rFonts w:ascii="Times New Roman" w:hAnsi="Times New Roman" w:cs="Times New Roman"/>
              </w:rPr>
              <w:t>03)</w:t>
            </w:r>
            <w:r>
              <w:rPr>
                <w:rFonts w:ascii="Times New Roman" w:hAnsi="Times New Roman" w:cs="Times New Roman"/>
                <w:vertAlign w:val="superscript"/>
              </w:rPr>
              <w:t>*</w:t>
            </w:r>
            <w:proofErr w:type="gramEnd"/>
          </w:p>
        </w:tc>
      </w:tr>
      <w:tr w:rsidR="00BF1883" w:rsidRPr="00442034" w14:paraId="04F8DD39" w14:textId="77777777" w:rsidTr="00BF1883">
        <w:trPr>
          <w:trHeight w:val="189"/>
        </w:trPr>
        <w:tc>
          <w:tcPr>
            <w:tcW w:w="4050" w:type="dxa"/>
            <w:tcBorders>
              <w:top w:val="nil"/>
              <w:left w:val="nil"/>
              <w:bottom w:val="nil"/>
              <w:right w:val="nil"/>
            </w:tcBorders>
          </w:tcPr>
          <w:p w14:paraId="5F9F2ECF" w14:textId="77777777" w:rsidR="00BF1883" w:rsidRPr="00442034" w:rsidRDefault="00BF1883" w:rsidP="00BF1883">
            <w:pPr>
              <w:widowControl w:val="0"/>
              <w:autoSpaceDE w:val="0"/>
              <w:autoSpaceDN w:val="0"/>
              <w:adjustRightInd w:val="0"/>
              <w:rPr>
                <w:rFonts w:ascii="Times New Roman" w:hAnsi="Times New Roman" w:cs="Times New Roman"/>
              </w:rPr>
            </w:pPr>
            <w:r w:rsidRPr="00442034">
              <w:rPr>
                <w:rFonts w:ascii="Times New Roman" w:hAnsi="Times New Roman" w:cs="Times New Roman"/>
                <w:i/>
                <w:iCs/>
                <w:u w:val="single"/>
              </w:rPr>
              <w:t>Interaction Effects</w:t>
            </w:r>
          </w:p>
        </w:tc>
        <w:tc>
          <w:tcPr>
            <w:tcW w:w="1440" w:type="dxa"/>
            <w:tcBorders>
              <w:top w:val="nil"/>
              <w:left w:val="nil"/>
              <w:bottom w:val="nil"/>
              <w:right w:val="nil"/>
            </w:tcBorders>
          </w:tcPr>
          <w:p w14:paraId="78D393B0"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p>
        </w:tc>
        <w:tc>
          <w:tcPr>
            <w:tcW w:w="1350" w:type="dxa"/>
            <w:tcBorders>
              <w:top w:val="nil"/>
              <w:left w:val="nil"/>
              <w:bottom w:val="nil"/>
              <w:right w:val="nil"/>
            </w:tcBorders>
          </w:tcPr>
          <w:p w14:paraId="67D5B4A1"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p>
        </w:tc>
        <w:tc>
          <w:tcPr>
            <w:tcW w:w="1359" w:type="dxa"/>
            <w:tcBorders>
              <w:top w:val="nil"/>
              <w:left w:val="nil"/>
              <w:bottom w:val="nil"/>
              <w:right w:val="nil"/>
            </w:tcBorders>
          </w:tcPr>
          <w:p w14:paraId="0C7F81B2"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p>
        </w:tc>
        <w:tc>
          <w:tcPr>
            <w:tcW w:w="1341" w:type="dxa"/>
            <w:tcBorders>
              <w:top w:val="nil"/>
              <w:left w:val="nil"/>
              <w:bottom w:val="nil"/>
              <w:right w:val="nil"/>
            </w:tcBorders>
          </w:tcPr>
          <w:p w14:paraId="129F5126"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p>
        </w:tc>
      </w:tr>
      <w:tr w:rsidR="00BF1883" w:rsidRPr="00442034" w14:paraId="2437A7D4" w14:textId="77777777" w:rsidTr="00BF1883">
        <w:trPr>
          <w:trHeight w:val="189"/>
        </w:trPr>
        <w:tc>
          <w:tcPr>
            <w:tcW w:w="4050" w:type="dxa"/>
            <w:tcBorders>
              <w:top w:val="nil"/>
              <w:left w:val="nil"/>
              <w:bottom w:val="nil"/>
              <w:right w:val="nil"/>
            </w:tcBorders>
          </w:tcPr>
          <w:p w14:paraId="5A4B92F2" w14:textId="77777777" w:rsidR="00BF1883" w:rsidRPr="00442034" w:rsidRDefault="00BF1883" w:rsidP="00BF1883">
            <w:pPr>
              <w:widowControl w:val="0"/>
              <w:autoSpaceDE w:val="0"/>
              <w:autoSpaceDN w:val="0"/>
              <w:adjustRightInd w:val="0"/>
              <w:rPr>
                <w:rFonts w:ascii="Times New Roman" w:hAnsi="Times New Roman" w:cs="Times New Roman"/>
              </w:rPr>
            </w:pPr>
            <w:r w:rsidRPr="00442034">
              <w:rPr>
                <w:rFonts w:ascii="Times New Roman" w:hAnsi="Times New Roman" w:cs="Times New Roman"/>
              </w:rPr>
              <w:t>LGBQ Youth x Relationship with Caregiver</w:t>
            </w:r>
          </w:p>
        </w:tc>
        <w:tc>
          <w:tcPr>
            <w:tcW w:w="1440" w:type="dxa"/>
            <w:tcBorders>
              <w:top w:val="nil"/>
              <w:left w:val="nil"/>
              <w:bottom w:val="nil"/>
              <w:right w:val="nil"/>
            </w:tcBorders>
          </w:tcPr>
          <w:p w14:paraId="20513372"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p>
        </w:tc>
        <w:tc>
          <w:tcPr>
            <w:tcW w:w="1350" w:type="dxa"/>
            <w:tcBorders>
              <w:top w:val="nil"/>
              <w:left w:val="nil"/>
              <w:bottom w:val="nil"/>
              <w:right w:val="nil"/>
            </w:tcBorders>
          </w:tcPr>
          <w:p w14:paraId="662F549C"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sidRPr="00442034">
              <w:rPr>
                <w:rFonts w:ascii="Times New Roman" w:hAnsi="Times New Roman" w:cs="Times New Roman"/>
              </w:rPr>
              <w:t>0.</w:t>
            </w:r>
            <w:r>
              <w:rPr>
                <w:rFonts w:ascii="Times New Roman" w:hAnsi="Times New Roman" w:cs="Times New Roman"/>
              </w:rPr>
              <w:t>08 (.08)</w:t>
            </w:r>
          </w:p>
        </w:tc>
        <w:tc>
          <w:tcPr>
            <w:tcW w:w="1359" w:type="dxa"/>
            <w:tcBorders>
              <w:top w:val="nil"/>
              <w:left w:val="nil"/>
              <w:bottom w:val="nil"/>
              <w:right w:val="nil"/>
            </w:tcBorders>
          </w:tcPr>
          <w:p w14:paraId="40CDC75A"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p>
        </w:tc>
        <w:tc>
          <w:tcPr>
            <w:tcW w:w="1341" w:type="dxa"/>
            <w:tcBorders>
              <w:top w:val="nil"/>
              <w:left w:val="nil"/>
              <w:bottom w:val="nil"/>
              <w:right w:val="nil"/>
            </w:tcBorders>
          </w:tcPr>
          <w:p w14:paraId="3165AA01"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0.10 (.</w:t>
            </w:r>
            <w:proofErr w:type="gramStart"/>
            <w:r>
              <w:rPr>
                <w:rFonts w:ascii="Times New Roman" w:hAnsi="Times New Roman" w:cs="Times New Roman"/>
              </w:rPr>
              <w:t>06)</w:t>
            </w:r>
            <w:r w:rsidRPr="00442034">
              <w:rPr>
                <w:rFonts w:ascii="Times New Roman" w:hAnsi="Times New Roman" w:cs="Times New Roman"/>
                <w:vertAlign w:val="superscript"/>
              </w:rPr>
              <w:t>†</w:t>
            </w:r>
            <w:proofErr w:type="gramEnd"/>
          </w:p>
        </w:tc>
      </w:tr>
      <w:tr w:rsidR="00BF1883" w:rsidRPr="00442034" w14:paraId="1B8B08F5" w14:textId="77777777" w:rsidTr="00BF1883">
        <w:trPr>
          <w:trHeight w:val="293"/>
        </w:trPr>
        <w:tc>
          <w:tcPr>
            <w:tcW w:w="4050" w:type="dxa"/>
            <w:tcBorders>
              <w:top w:val="nil"/>
              <w:left w:val="nil"/>
              <w:right w:val="nil"/>
            </w:tcBorders>
          </w:tcPr>
          <w:p w14:paraId="062E4417" w14:textId="77777777" w:rsidR="00BF1883" w:rsidRPr="006044B5" w:rsidRDefault="00BF1883" w:rsidP="00BF1883">
            <w:pPr>
              <w:widowControl w:val="0"/>
              <w:autoSpaceDE w:val="0"/>
              <w:autoSpaceDN w:val="0"/>
              <w:adjustRightInd w:val="0"/>
              <w:rPr>
                <w:rFonts w:ascii="Times New Roman" w:hAnsi="Times New Roman" w:cs="Times New Roman"/>
                <w:i/>
                <w:iCs/>
                <w:u w:val="single"/>
              </w:rPr>
            </w:pPr>
            <w:r>
              <w:rPr>
                <w:rFonts w:ascii="Times New Roman" w:hAnsi="Times New Roman" w:cs="Times New Roman"/>
                <w:i/>
                <w:iCs/>
                <w:u w:val="single"/>
              </w:rPr>
              <w:t>Controls</w:t>
            </w:r>
          </w:p>
        </w:tc>
        <w:tc>
          <w:tcPr>
            <w:tcW w:w="1440" w:type="dxa"/>
            <w:tcBorders>
              <w:top w:val="nil"/>
              <w:left w:val="nil"/>
              <w:right w:val="nil"/>
            </w:tcBorders>
          </w:tcPr>
          <w:p w14:paraId="37F6D230"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p>
        </w:tc>
        <w:tc>
          <w:tcPr>
            <w:tcW w:w="1350" w:type="dxa"/>
            <w:tcBorders>
              <w:top w:val="nil"/>
              <w:left w:val="nil"/>
              <w:right w:val="nil"/>
            </w:tcBorders>
          </w:tcPr>
          <w:p w14:paraId="12EA5F3F"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p>
        </w:tc>
        <w:tc>
          <w:tcPr>
            <w:tcW w:w="1359" w:type="dxa"/>
            <w:tcBorders>
              <w:top w:val="nil"/>
              <w:left w:val="nil"/>
              <w:right w:val="nil"/>
            </w:tcBorders>
          </w:tcPr>
          <w:p w14:paraId="4454A544"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p>
        </w:tc>
        <w:tc>
          <w:tcPr>
            <w:tcW w:w="1341" w:type="dxa"/>
            <w:tcBorders>
              <w:top w:val="nil"/>
              <w:left w:val="nil"/>
              <w:right w:val="nil"/>
            </w:tcBorders>
          </w:tcPr>
          <w:p w14:paraId="7E54F013"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p>
        </w:tc>
      </w:tr>
      <w:tr w:rsidR="00BF1883" w:rsidRPr="00442034" w14:paraId="65109E7A" w14:textId="77777777" w:rsidTr="00BF1883">
        <w:trPr>
          <w:trHeight w:val="293"/>
        </w:trPr>
        <w:tc>
          <w:tcPr>
            <w:tcW w:w="4050" w:type="dxa"/>
            <w:tcBorders>
              <w:top w:val="nil"/>
              <w:left w:val="nil"/>
              <w:right w:val="nil"/>
            </w:tcBorders>
          </w:tcPr>
          <w:p w14:paraId="3FE362D0" w14:textId="77777777" w:rsidR="00BF1883" w:rsidRPr="00442034"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Age</w:t>
            </w:r>
          </w:p>
        </w:tc>
        <w:tc>
          <w:tcPr>
            <w:tcW w:w="1440" w:type="dxa"/>
            <w:tcBorders>
              <w:top w:val="nil"/>
              <w:left w:val="nil"/>
              <w:right w:val="nil"/>
            </w:tcBorders>
          </w:tcPr>
          <w:p w14:paraId="1152AE2A"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0.10 (.12)</w:t>
            </w:r>
          </w:p>
        </w:tc>
        <w:tc>
          <w:tcPr>
            <w:tcW w:w="1350" w:type="dxa"/>
            <w:tcBorders>
              <w:top w:val="nil"/>
              <w:left w:val="nil"/>
              <w:right w:val="nil"/>
            </w:tcBorders>
          </w:tcPr>
          <w:p w14:paraId="2BF04A9D"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0.10 (.12)</w:t>
            </w:r>
          </w:p>
        </w:tc>
        <w:tc>
          <w:tcPr>
            <w:tcW w:w="1359" w:type="dxa"/>
            <w:tcBorders>
              <w:top w:val="nil"/>
              <w:left w:val="nil"/>
              <w:right w:val="nil"/>
            </w:tcBorders>
          </w:tcPr>
          <w:p w14:paraId="3C6B3C35"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-0.07 (.09)</w:t>
            </w:r>
          </w:p>
        </w:tc>
        <w:tc>
          <w:tcPr>
            <w:tcW w:w="1341" w:type="dxa"/>
            <w:tcBorders>
              <w:top w:val="nil"/>
              <w:left w:val="nil"/>
              <w:right w:val="nil"/>
            </w:tcBorders>
          </w:tcPr>
          <w:p w14:paraId="78F1888E"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-0.06 (.09)</w:t>
            </w:r>
          </w:p>
        </w:tc>
      </w:tr>
      <w:tr w:rsidR="00BF1883" w:rsidRPr="00442034" w14:paraId="5580EF4B" w14:textId="77777777" w:rsidTr="00BF1883">
        <w:trPr>
          <w:trHeight w:val="293"/>
        </w:trPr>
        <w:tc>
          <w:tcPr>
            <w:tcW w:w="4050" w:type="dxa"/>
            <w:tcBorders>
              <w:left w:val="nil"/>
              <w:right w:val="nil"/>
            </w:tcBorders>
          </w:tcPr>
          <w:p w14:paraId="499CA7EE" w14:textId="77777777" w:rsidR="00BF1883" w:rsidRPr="00442034"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Female</w:t>
            </w:r>
          </w:p>
        </w:tc>
        <w:tc>
          <w:tcPr>
            <w:tcW w:w="1440" w:type="dxa"/>
            <w:tcBorders>
              <w:left w:val="nil"/>
              <w:right w:val="nil"/>
            </w:tcBorders>
          </w:tcPr>
          <w:p w14:paraId="19E327BC"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0.39 (.39)</w:t>
            </w:r>
          </w:p>
        </w:tc>
        <w:tc>
          <w:tcPr>
            <w:tcW w:w="1350" w:type="dxa"/>
            <w:tcBorders>
              <w:left w:val="nil"/>
              <w:right w:val="nil"/>
            </w:tcBorders>
          </w:tcPr>
          <w:p w14:paraId="3A781BB5"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0.39 (.39)</w:t>
            </w:r>
          </w:p>
        </w:tc>
        <w:tc>
          <w:tcPr>
            <w:tcW w:w="1359" w:type="dxa"/>
            <w:tcBorders>
              <w:left w:val="nil"/>
              <w:right w:val="nil"/>
            </w:tcBorders>
          </w:tcPr>
          <w:p w14:paraId="2CCBC260"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-0.05 (.34)</w:t>
            </w:r>
          </w:p>
        </w:tc>
        <w:tc>
          <w:tcPr>
            <w:tcW w:w="1341" w:type="dxa"/>
            <w:tcBorders>
              <w:left w:val="nil"/>
              <w:right w:val="nil"/>
            </w:tcBorders>
          </w:tcPr>
          <w:p w14:paraId="1FECABA0"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-0.04 (.34)</w:t>
            </w:r>
          </w:p>
        </w:tc>
      </w:tr>
      <w:tr w:rsidR="00BF1883" w:rsidRPr="00442034" w14:paraId="4A336A8A" w14:textId="77777777" w:rsidTr="00BF1883">
        <w:trPr>
          <w:trHeight w:val="293"/>
        </w:trPr>
        <w:tc>
          <w:tcPr>
            <w:tcW w:w="4050" w:type="dxa"/>
            <w:tcBorders>
              <w:left w:val="nil"/>
              <w:right w:val="nil"/>
            </w:tcBorders>
          </w:tcPr>
          <w:p w14:paraId="4E68E5BD" w14:textId="2F1ECB81" w:rsidR="00BF1883" w:rsidRPr="00442034"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 xml:space="preserve">Black </w:t>
            </w:r>
            <w:r w:rsidR="001B4F7E">
              <w:rPr>
                <w:rFonts w:ascii="Times New Roman" w:hAnsi="Times New Roman" w:cs="Times New Roman"/>
              </w:rPr>
              <w:t>non-Hispanic</w:t>
            </w:r>
          </w:p>
        </w:tc>
        <w:tc>
          <w:tcPr>
            <w:tcW w:w="1440" w:type="dxa"/>
            <w:tcBorders>
              <w:left w:val="nil"/>
              <w:right w:val="nil"/>
            </w:tcBorders>
          </w:tcPr>
          <w:p w14:paraId="2942672B" w14:textId="77777777" w:rsidR="00BF1883" w:rsidRPr="001F4A93" w:rsidRDefault="00BF1883" w:rsidP="00BF1883">
            <w:pPr>
              <w:widowControl w:val="0"/>
              <w:tabs>
                <w:tab w:val="decimal" w:pos="350"/>
              </w:tabs>
              <w:autoSpaceDE w:val="0"/>
              <w:autoSpaceDN w:val="0"/>
              <w:adjustRightInd w:val="0"/>
              <w:rPr>
                <w:rFonts w:ascii="Times New Roman" w:hAnsi="Times New Roman" w:cs="Times New Roman"/>
                <w:vertAlign w:val="superscript"/>
              </w:rPr>
            </w:pPr>
            <w:r>
              <w:rPr>
                <w:rFonts w:ascii="Times New Roman" w:hAnsi="Times New Roman" w:cs="Times New Roman"/>
              </w:rPr>
              <w:t>-1.83</w:t>
            </w:r>
            <w:r>
              <w:rPr>
                <w:rFonts w:ascii="Times New Roman" w:hAnsi="Times New Roman" w:cs="Times New Roman"/>
                <w:vertAlign w:val="superscript"/>
              </w:rPr>
              <w:t xml:space="preserve"> </w:t>
            </w:r>
            <w:r>
              <w:rPr>
                <w:rFonts w:ascii="Times New Roman" w:hAnsi="Times New Roman" w:cs="Times New Roman"/>
              </w:rPr>
              <w:t>(.</w:t>
            </w:r>
            <w:proofErr w:type="gramStart"/>
            <w:r>
              <w:rPr>
                <w:rFonts w:ascii="Times New Roman" w:hAnsi="Times New Roman" w:cs="Times New Roman"/>
              </w:rPr>
              <w:t>64)</w:t>
            </w:r>
            <w:r>
              <w:rPr>
                <w:rFonts w:ascii="Times New Roman" w:hAnsi="Times New Roman" w:cs="Times New Roman"/>
                <w:vertAlign w:val="superscript"/>
              </w:rPr>
              <w:t>*</w:t>
            </w:r>
            <w:proofErr w:type="gramEnd"/>
            <w:r>
              <w:rPr>
                <w:rFonts w:ascii="Times New Roman" w:hAnsi="Times New Roman" w:cs="Times New Roman"/>
                <w:vertAlign w:val="superscript"/>
              </w:rPr>
              <w:t>*</w:t>
            </w:r>
          </w:p>
        </w:tc>
        <w:tc>
          <w:tcPr>
            <w:tcW w:w="1350" w:type="dxa"/>
            <w:tcBorders>
              <w:left w:val="nil"/>
              <w:right w:val="nil"/>
            </w:tcBorders>
          </w:tcPr>
          <w:p w14:paraId="737C987C" w14:textId="77777777" w:rsidR="00BF1883" w:rsidRPr="001F4A93" w:rsidRDefault="00BF1883" w:rsidP="00BF1883">
            <w:pPr>
              <w:widowControl w:val="0"/>
              <w:tabs>
                <w:tab w:val="decimal" w:pos="350"/>
              </w:tabs>
              <w:autoSpaceDE w:val="0"/>
              <w:autoSpaceDN w:val="0"/>
              <w:adjustRightInd w:val="0"/>
              <w:rPr>
                <w:rFonts w:ascii="Times New Roman" w:hAnsi="Times New Roman" w:cs="Times New Roman"/>
                <w:vertAlign w:val="superscript"/>
              </w:rPr>
            </w:pPr>
            <w:r>
              <w:rPr>
                <w:rFonts w:ascii="Times New Roman" w:hAnsi="Times New Roman" w:cs="Times New Roman"/>
              </w:rPr>
              <w:t>-1.82</w:t>
            </w:r>
            <w:r>
              <w:rPr>
                <w:rFonts w:ascii="Times New Roman" w:hAnsi="Times New Roman" w:cs="Times New Roman"/>
                <w:vertAlign w:val="superscript"/>
              </w:rPr>
              <w:t xml:space="preserve"> </w:t>
            </w:r>
            <w:r>
              <w:rPr>
                <w:rFonts w:ascii="Times New Roman" w:hAnsi="Times New Roman" w:cs="Times New Roman"/>
              </w:rPr>
              <w:t>(.</w:t>
            </w:r>
            <w:proofErr w:type="gramStart"/>
            <w:r>
              <w:rPr>
                <w:rFonts w:ascii="Times New Roman" w:hAnsi="Times New Roman" w:cs="Times New Roman"/>
              </w:rPr>
              <w:t>64)</w:t>
            </w:r>
            <w:r>
              <w:rPr>
                <w:rFonts w:ascii="Times New Roman" w:hAnsi="Times New Roman" w:cs="Times New Roman"/>
                <w:vertAlign w:val="superscript"/>
              </w:rPr>
              <w:t>*</w:t>
            </w:r>
            <w:proofErr w:type="gramEnd"/>
            <w:r>
              <w:rPr>
                <w:rFonts w:ascii="Times New Roman" w:hAnsi="Times New Roman" w:cs="Times New Roman"/>
                <w:vertAlign w:val="superscript"/>
              </w:rPr>
              <w:t>*</w:t>
            </w:r>
          </w:p>
        </w:tc>
        <w:tc>
          <w:tcPr>
            <w:tcW w:w="1359" w:type="dxa"/>
            <w:tcBorders>
              <w:left w:val="nil"/>
              <w:right w:val="nil"/>
            </w:tcBorders>
          </w:tcPr>
          <w:p w14:paraId="0DF2D246" w14:textId="77777777" w:rsidR="00BF1883" w:rsidRPr="001F4A93" w:rsidRDefault="00BF1883" w:rsidP="00BF1883">
            <w:pPr>
              <w:widowControl w:val="0"/>
              <w:tabs>
                <w:tab w:val="decimal" w:pos="440"/>
              </w:tabs>
              <w:autoSpaceDE w:val="0"/>
              <w:autoSpaceDN w:val="0"/>
              <w:adjustRightInd w:val="0"/>
              <w:rPr>
                <w:rFonts w:ascii="Times New Roman" w:hAnsi="Times New Roman" w:cs="Times New Roman"/>
                <w:vertAlign w:val="superscript"/>
              </w:rPr>
            </w:pPr>
            <w:r>
              <w:rPr>
                <w:rFonts w:ascii="Times New Roman" w:hAnsi="Times New Roman" w:cs="Times New Roman"/>
              </w:rPr>
              <w:t>-0.71 (.</w:t>
            </w:r>
            <w:proofErr w:type="gramStart"/>
            <w:r>
              <w:rPr>
                <w:rFonts w:ascii="Times New Roman" w:hAnsi="Times New Roman" w:cs="Times New Roman"/>
              </w:rPr>
              <w:t>40)</w:t>
            </w:r>
            <w:r w:rsidRPr="00442034">
              <w:rPr>
                <w:rFonts w:ascii="Times New Roman" w:hAnsi="Times New Roman" w:cs="Times New Roman"/>
                <w:vertAlign w:val="superscript"/>
              </w:rPr>
              <w:t>†</w:t>
            </w:r>
            <w:proofErr w:type="gramEnd"/>
          </w:p>
        </w:tc>
        <w:tc>
          <w:tcPr>
            <w:tcW w:w="1341" w:type="dxa"/>
            <w:tcBorders>
              <w:left w:val="nil"/>
              <w:right w:val="nil"/>
            </w:tcBorders>
          </w:tcPr>
          <w:p w14:paraId="37797968" w14:textId="77777777" w:rsidR="00BF1883" w:rsidRPr="003D3D6D" w:rsidRDefault="00BF1883" w:rsidP="00BF1883">
            <w:pPr>
              <w:widowControl w:val="0"/>
              <w:tabs>
                <w:tab w:val="decimal" w:pos="350"/>
              </w:tabs>
              <w:autoSpaceDE w:val="0"/>
              <w:autoSpaceDN w:val="0"/>
              <w:adjustRightInd w:val="0"/>
              <w:rPr>
                <w:rFonts w:ascii="Times New Roman" w:hAnsi="Times New Roman" w:cs="Times New Roman"/>
                <w:vertAlign w:val="superscript"/>
              </w:rPr>
            </w:pPr>
            <w:r>
              <w:rPr>
                <w:rFonts w:ascii="Times New Roman" w:hAnsi="Times New Roman" w:cs="Times New Roman"/>
              </w:rPr>
              <w:t>-0.70 (.</w:t>
            </w:r>
            <w:proofErr w:type="gramStart"/>
            <w:r>
              <w:rPr>
                <w:rFonts w:ascii="Times New Roman" w:hAnsi="Times New Roman" w:cs="Times New Roman"/>
              </w:rPr>
              <w:t>42)</w:t>
            </w:r>
            <w:r w:rsidRPr="00442034">
              <w:rPr>
                <w:rFonts w:ascii="Times New Roman" w:hAnsi="Times New Roman" w:cs="Times New Roman"/>
                <w:vertAlign w:val="superscript"/>
              </w:rPr>
              <w:t>†</w:t>
            </w:r>
            <w:proofErr w:type="gramEnd"/>
          </w:p>
        </w:tc>
      </w:tr>
      <w:tr w:rsidR="00BF1883" w:rsidRPr="00442034" w14:paraId="229B57FA" w14:textId="77777777" w:rsidTr="00BF1883">
        <w:trPr>
          <w:trHeight w:val="293"/>
        </w:trPr>
        <w:tc>
          <w:tcPr>
            <w:tcW w:w="4050" w:type="dxa"/>
            <w:tcBorders>
              <w:left w:val="nil"/>
              <w:right w:val="nil"/>
            </w:tcBorders>
          </w:tcPr>
          <w:p w14:paraId="318B0F38" w14:textId="77777777" w:rsidR="00BF1883" w:rsidRPr="00442034"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Hispanic</w:t>
            </w:r>
          </w:p>
        </w:tc>
        <w:tc>
          <w:tcPr>
            <w:tcW w:w="1440" w:type="dxa"/>
            <w:tcBorders>
              <w:left w:val="nil"/>
              <w:right w:val="nil"/>
            </w:tcBorders>
          </w:tcPr>
          <w:p w14:paraId="3ED39E14"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0.02 (.50)</w:t>
            </w:r>
          </w:p>
        </w:tc>
        <w:tc>
          <w:tcPr>
            <w:tcW w:w="1350" w:type="dxa"/>
            <w:tcBorders>
              <w:left w:val="nil"/>
              <w:right w:val="nil"/>
            </w:tcBorders>
          </w:tcPr>
          <w:p w14:paraId="57642AB9"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0.02 (.51)</w:t>
            </w:r>
          </w:p>
        </w:tc>
        <w:tc>
          <w:tcPr>
            <w:tcW w:w="1359" w:type="dxa"/>
            <w:tcBorders>
              <w:left w:val="nil"/>
              <w:right w:val="nil"/>
            </w:tcBorders>
          </w:tcPr>
          <w:p w14:paraId="38C7E3A8"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-0.50 (.48)</w:t>
            </w:r>
          </w:p>
        </w:tc>
        <w:tc>
          <w:tcPr>
            <w:tcW w:w="1341" w:type="dxa"/>
            <w:tcBorders>
              <w:left w:val="nil"/>
              <w:right w:val="nil"/>
            </w:tcBorders>
          </w:tcPr>
          <w:p w14:paraId="677585D0"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-0.50 (.47)</w:t>
            </w:r>
          </w:p>
        </w:tc>
      </w:tr>
      <w:tr w:rsidR="00BF1883" w:rsidRPr="00442034" w14:paraId="5368EB8C" w14:textId="77777777" w:rsidTr="00BF1883">
        <w:trPr>
          <w:trHeight w:val="293"/>
        </w:trPr>
        <w:tc>
          <w:tcPr>
            <w:tcW w:w="4050" w:type="dxa"/>
            <w:tcBorders>
              <w:left w:val="nil"/>
              <w:right w:val="nil"/>
            </w:tcBorders>
          </w:tcPr>
          <w:p w14:paraId="3C8ADC60" w14:textId="77777777" w:rsidR="00BF1883" w:rsidRPr="00442034"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Other Race</w:t>
            </w:r>
          </w:p>
        </w:tc>
        <w:tc>
          <w:tcPr>
            <w:tcW w:w="1440" w:type="dxa"/>
            <w:tcBorders>
              <w:left w:val="nil"/>
              <w:right w:val="nil"/>
            </w:tcBorders>
          </w:tcPr>
          <w:p w14:paraId="36351E73"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-1.02 (.74)</w:t>
            </w:r>
          </w:p>
        </w:tc>
        <w:tc>
          <w:tcPr>
            <w:tcW w:w="1350" w:type="dxa"/>
            <w:tcBorders>
              <w:left w:val="nil"/>
              <w:right w:val="nil"/>
            </w:tcBorders>
          </w:tcPr>
          <w:p w14:paraId="2EDDF7DF"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-1.04 (.73)</w:t>
            </w:r>
          </w:p>
        </w:tc>
        <w:tc>
          <w:tcPr>
            <w:tcW w:w="1359" w:type="dxa"/>
            <w:tcBorders>
              <w:left w:val="nil"/>
              <w:right w:val="nil"/>
            </w:tcBorders>
          </w:tcPr>
          <w:p w14:paraId="147AF48A"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-0.65 (.91)</w:t>
            </w:r>
          </w:p>
        </w:tc>
        <w:tc>
          <w:tcPr>
            <w:tcW w:w="1341" w:type="dxa"/>
            <w:tcBorders>
              <w:left w:val="nil"/>
              <w:right w:val="nil"/>
            </w:tcBorders>
          </w:tcPr>
          <w:p w14:paraId="4C041365"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-0.62 (.88)</w:t>
            </w:r>
          </w:p>
        </w:tc>
      </w:tr>
      <w:tr w:rsidR="00BF1883" w:rsidRPr="00442034" w14:paraId="1144110F" w14:textId="77777777" w:rsidTr="00BF1883">
        <w:trPr>
          <w:trHeight w:val="293"/>
        </w:trPr>
        <w:tc>
          <w:tcPr>
            <w:tcW w:w="4050" w:type="dxa"/>
            <w:tcBorders>
              <w:left w:val="nil"/>
              <w:right w:val="nil"/>
            </w:tcBorders>
          </w:tcPr>
          <w:p w14:paraId="7B213C3D" w14:textId="77777777" w:rsidR="00BF1883" w:rsidRPr="00442034"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Wave 1 Internalizing Behaviors</w:t>
            </w:r>
          </w:p>
        </w:tc>
        <w:tc>
          <w:tcPr>
            <w:tcW w:w="1440" w:type="dxa"/>
            <w:tcBorders>
              <w:left w:val="nil"/>
              <w:right w:val="nil"/>
            </w:tcBorders>
          </w:tcPr>
          <w:p w14:paraId="4510DCF5" w14:textId="77777777" w:rsidR="00BF1883" w:rsidRPr="001F4A93" w:rsidRDefault="00BF1883" w:rsidP="00BF1883">
            <w:pPr>
              <w:widowControl w:val="0"/>
              <w:tabs>
                <w:tab w:val="decimal" w:pos="350"/>
              </w:tabs>
              <w:autoSpaceDE w:val="0"/>
              <w:autoSpaceDN w:val="0"/>
              <w:adjustRightInd w:val="0"/>
              <w:rPr>
                <w:rFonts w:ascii="Times New Roman" w:hAnsi="Times New Roman" w:cs="Times New Roman"/>
                <w:vertAlign w:val="superscript"/>
              </w:rPr>
            </w:pPr>
            <w:r>
              <w:rPr>
                <w:rFonts w:ascii="Times New Roman" w:hAnsi="Times New Roman" w:cs="Times New Roman"/>
              </w:rPr>
              <w:t>2.04 (.</w:t>
            </w:r>
            <w:proofErr w:type="gramStart"/>
            <w:r>
              <w:rPr>
                <w:rFonts w:ascii="Times New Roman" w:hAnsi="Times New Roman" w:cs="Times New Roman"/>
              </w:rPr>
              <w:t>48)</w:t>
            </w:r>
            <w:r>
              <w:rPr>
                <w:rFonts w:ascii="Times New Roman" w:hAnsi="Times New Roman" w:cs="Times New Roman"/>
                <w:vertAlign w:val="superscript"/>
              </w:rPr>
              <w:t>*</w:t>
            </w:r>
            <w:proofErr w:type="gramEnd"/>
            <w:r>
              <w:rPr>
                <w:rFonts w:ascii="Times New Roman" w:hAnsi="Times New Roman" w:cs="Times New Roman"/>
                <w:vertAlign w:val="superscript"/>
              </w:rPr>
              <w:t>**</w:t>
            </w:r>
          </w:p>
        </w:tc>
        <w:tc>
          <w:tcPr>
            <w:tcW w:w="1350" w:type="dxa"/>
            <w:tcBorders>
              <w:left w:val="nil"/>
              <w:right w:val="nil"/>
            </w:tcBorders>
          </w:tcPr>
          <w:p w14:paraId="32F972F4" w14:textId="77777777" w:rsidR="00BF1883" w:rsidRPr="001F4A93" w:rsidRDefault="00BF1883" w:rsidP="00BF1883">
            <w:pPr>
              <w:widowControl w:val="0"/>
              <w:tabs>
                <w:tab w:val="decimal" w:pos="350"/>
              </w:tabs>
              <w:autoSpaceDE w:val="0"/>
              <w:autoSpaceDN w:val="0"/>
              <w:adjustRightInd w:val="0"/>
              <w:rPr>
                <w:rFonts w:ascii="Times New Roman" w:hAnsi="Times New Roman" w:cs="Times New Roman"/>
                <w:vertAlign w:val="superscript"/>
              </w:rPr>
            </w:pPr>
            <w:r>
              <w:rPr>
                <w:rFonts w:ascii="Times New Roman" w:hAnsi="Times New Roman" w:cs="Times New Roman"/>
              </w:rPr>
              <w:t>2.04 (.</w:t>
            </w:r>
            <w:proofErr w:type="gramStart"/>
            <w:r>
              <w:rPr>
                <w:rFonts w:ascii="Times New Roman" w:hAnsi="Times New Roman" w:cs="Times New Roman"/>
              </w:rPr>
              <w:t>48)</w:t>
            </w:r>
            <w:r>
              <w:rPr>
                <w:rFonts w:ascii="Times New Roman" w:hAnsi="Times New Roman" w:cs="Times New Roman"/>
                <w:vertAlign w:val="superscript"/>
              </w:rPr>
              <w:t>*</w:t>
            </w:r>
            <w:proofErr w:type="gramEnd"/>
            <w:r>
              <w:rPr>
                <w:rFonts w:ascii="Times New Roman" w:hAnsi="Times New Roman" w:cs="Times New Roman"/>
                <w:vertAlign w:val="superscript"/>
              </w:rPr>
              <w:t>**</w:t>
            </w:r>
          </w:p>
        </w:tc>
        <w:tc>
          <w:tcPr>
            <w:tcW w:w="1359" w:type="dxa"/>
            <w:tcBorders>
              <w:left w:val="nil"/>
              <w:right w:val="nil"/>
            </w:tcBorders>
          </w:tcPr>
          <w:p w14:paraId="26BBCD37"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0.04 (.42)</w:t>
            </w:r>
          </w:p>
        </w:tc>
        <w:tc>
          <w:tcPr>
            <w:tcW w:w="1341" w:type="dxa"/>
            <w:tcBorders>
              <w:left w:val="nil"/>
              <w:right w:val="nil"/>
            </w:tcBorders>
          </w:tcPr>
          <w:p w14:paraId="0DBC70E7"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0.03 (.43)</w:t>
            </w:r>
          </w:p>
        </w:tc>
      </w:tr>
      <w:tr w:rsidR="00BF1883" w:rsidRPr="00442034" w14:paraId="549BBBCC" w14:textId="77777777" w:rsidTr="00BF1883">
        <w:trPr>
          <w:trHeight w:val="293"/>
        </w:trPr>
        <w:tc>
          <w:tcPr>
            <w:tcW w:w="4050" w:type="dxa"/>
            <w:tcBorders>
              <w:left w:val="nil"/>
              <w:right w:val="nil"/>
            </w:tcBorders>
          </w:tcPr>
          <w:p w14:paraId="7B4F1655" w14:textId="77777777" w:rsidR="00BF1883"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Wave 1 Externalizing Behaviors</w:t>
            </w:r>
          </w:p>
        </w:tc>
        <w:tc>
          <w:tcPr>
            <w:tcW w:w="1440" w:type="dxa"/>
            <w:tcBorders>
              <w:left w:val="nil"/>
              <w:right w:val="nil"/>
            </w:tcBorders>
          </w:tcPr>
          <w:p w14:paraId="2418A953" w14:textId="77777777" w:rsidR="00BF1883" w:rsidRPr="001F4A93" w:rsidRDefault="00BF1883" w:rsidP="00BF1883">
            <w:pPr>
              <w:widowControl w:val="0"/>
              <w:tabs>
                <w:tab w:val="decimal" w:pos="350"/>
              </w:tabs>
              <w:autoSpaceDE w:val="0"/>
              <w:autoSpaceDN w:val="0"/>
              <w:adjustRightInd w:val="0"/>
              <w:rPr>
                <w:rFonts w:ascii="Times New Roman" w:hAnsi="Times New Roman" w:cs="Times New Roman"/>
                <w:vertAlign w:val="superscript"/>
              </w:rPr>
            </w:pPr>
            <w:r>
              <w:rPr>
                <w:rFonts w:ascii="Times New Roman" w:hAnsi="Times New Roman" w:cs="Times New Roman"/>
              </w:rPr>
              <w:t>0.99 (.</w:t>
            </w:r>
            <w:proofErr w:type="gramStart"/>
            <w:r>
              <w:rPr>
                <w:rFonts w:ascii="Times New Roman" w:hAnsi="Times New Roman" w:cs="Times New Roman"/>
              </w:rPr>
              <w:t>46)</w:t>
            </w:r>
            <w:r>
              <w:rPr>
                <w:rFonts w:ascii="Times New Roman" w:hAnsi="Times New Roman" w:cs="Times New Roman"/>
                <w:vertAlign w:val="superscript"/>
              </w:rPr>
              <w:t>*</w:t>
            </w:r>
            <w:proofErr w:type="gramEnd"/>
          </w:p>
        </w:tc>
        <w:tc>
          <w:tcPr>
            <w:tcW w:w="1350" w:type="dxa"/>
            <w:tcBorders>
              <w:left w:val="nil"/>
              <w:right w:val="nil"/>
            </w:tcBorders>
          </w:tcPr>
          <w:p w14:paraId="6124A519" w14:textId="77777777" w:rsidR="00BF1883" w:rsidRPr="001F4A93" w:rsidRDefault="00BF1883" w:rsidP="00BF1883">
            <w:pPr>
              <w:widowControl w:val="0"/>
              <w:tabs>
                <w:tab w:val="decimal" w:pos="350"/>
              </w:tabs>
              <w:autoSpaceDE w:val="0"/>
              <w:autoSpaceDN w:val="0"/>
              <w:adjustRightInd w:val="0"/>
              <w:rPr>
                <w:rFonts w:ascii="Times New Roman" w:hAnsi="Times New Roman" w:cs="Times New Roman"/>
                <w:vertAlign w:val="superscript"/>
              </w:rPr>
            </w:pPr>
            <w:r>
              <w:rPr>
                <w:rFonts w:ascii="Times New Roman" w:hAnsi="Times New Roman" w:cs="Times New Roman"/>
              </w:rPr>
              <w:t>0.98</w:t>
            </w:r>
            <w:r>
              <w:rPr>
                <w:rFonts w:ascii="Times New Roman" w:hAnsi="Times New Roman" w:cs="Times New Roman"/>
                <w:vertAlign w:val="superscript"/>
              </w:rPr>
              <w:t xml:space="preserve"> </w:t>
            </w:r>
            <w:r>
              <w:rPr>
                <w:rFonts w:ascii="Times New Roman" w:hAnsi="Times New Roman" w:cs="Times New Roman"/>
              </w:rPr>
              <w:t>(.</w:t>
            </w:r>
            <w:proofErr w:type="gramStart"/>
            <w:r>
              <w:rPr>
                <w:rFonts w:ascii="Times New Roman" w:hAnsi="Times New Roman" w:cs="Times New Roman"/>
              </w:rPr>
              <w:t>47)</w:t>
            </w:r>
            <w:r>
              <w:rPr>
                <w:rFonts w:ascii="Times New Roman" w:hAnsi="Times New Roman" w:cs="Times New Roman"/>
                <w:vertAlign w:val="superscript"/>
              </w:rPr>
              <w:t>*</w:t>
            </w:r>
            <w:proofErr w:type="gramEnd"/>
          </w:p>
        </w:tc>
        <w:tc>
          <w:tcPr>
            <w:tcW w:w="1359" w:type="dxa"/>
            <w:tcBorders>
              <w:left w:val="nil"/>
              <w:right w:val="nil"/>
            </w:tcBorders>
          </w:tcPr>
          <w:p w14:paraId="55DEA904" w14:textId="77777777" w:rsidR="00BF1883" w:rsidRPr="001F4A93" w:rsidRDefault="00BF1883" w:rsidP="00BF1883">
            <w:pPr>
              <w:widowControl w:val="0"/>
              <w:tabs>
                <w:tab w:val="decimal" w:pos="440"/>
              </w:tabs>
              <w:autoSpaceDE w:val="0"/>
              <w:autoSpaceDN w:val="0"/>
              <w:adjustRightInd w:val="0"/>
              <w:rPr>
                <w:rFonts w:ascii="Times New Roman" w:hAnsi="Times New Roman" w:cs="Times New Roman"/>
                <w:vertAlign w:val="superscript"/>
              </w:rPr>
            </w:pPr>
            <w:r>
              <w:rPr>
                <w:rFonts w:ascii="Times New Roman" w:hAnsi="Times New Roman" w:cs="Times New Roman"/>
              </w:rPr>
              <w:t>2.22 (.</w:t>
            </w:r>
            <w:proofErr w:type="gramStart"/>
            <w:r>
              <w:rPr>
                <w:rFonts w:ascii="Times New Roman" w:hAnsi="Times New Roman" w:cs="Times New Roman"/>
              </w:rPr>
              <w:t>43)</w:t>
            </w:r>
            <w:r>
              <w:rPr>
                <w:rFonts w:ascii="Times New Roman" w:hAnsi="Times New Roman" w:cs="Times New Roman"/>
                <w:vertAlign w:val="superscript"/>
              </w:rPr>
              <w:t>*</w:t>
            </w:r>
            <w:proofErr w:type="gramEnd"/>
            <w:r>
              <w:rPr>
                <w:rFonts w:ascii="Times New Roman" w:hAnsi="Times New Roman" w:cs="Times New Roman"/>
                <w:vertAlign w:val="superscript"/>
              </w:rPr>
              <w:t>**</w:t>
            </w:r>
          </w:p>
        </w:tc>
        <w:tc>
          <w:tcPr>
            <w:tcW w:w="1341" w:type="dxa"/>
            <w:tcBorders>
              <w:left w:val="nil"/>
              <w:right w:val="nil"/>
            </w:tcBorders>
          </w:tcPr>
          <w:p w14:paraId="5A06DEBC" w14:textId="77777777" w:rsidR="00BF1883" w:rsidRPr="003D3D6D" w:rsidRDefault="00BF1883" w:rsidP="00BF1883">
            <w:pPr>
              <w:widowControl w:val="0"/>
              <w:tabs>
                <w:tab w:val="decimal" w:pos="350"/>
              </w:tabs>
              <w:autoSpaceDE w:val="0"/>
              <w:autoSpaceDN w:val="0"/>
              <w:adjustRightInd w:val="0"/>
              <w:rPr>
                <w:rFonts w:ascii="Times New Roman" w:hAnsi="Times New Roman" w:cs="Times New Roman"/>
                <w:vertAlign w:val="superscript"/>
              </w:rPr>
            </w:pPr>
            <w:r>
              <w:rPr>
                <w:rFonts w:ascii="Times New Roman" w:hAnsi="Times New Roman" w:cs="Times New Roman"/>
              </w:rPr>
              <w:t>2.25 (.</w:t>
            </w:r>
            <w:proofErr w:type="gramStart"/>
            <w:r>
              <w:rPr>
                <w:rFonts w:ascii="Times New Roman" w:hAnsi="Times New Roman" w:cs="Times New Roman"/>
              </w:rPr>
              <w:t>42)</w:t>
            </w:r>
            <w:r>
              <w:rPr>
                <w:rFonts w:ascii="Times New Roman" w:hAnsi="Times New Roman" w:cs="Times New Roman"/>
                <w:vertAlign w:val="superscript"/>
              </w:rPr>
              <w:t>*</w:t>
            </w:r>
            <w:proofErr w:type="gramEnd"/>
            <w:r>
              <w:rPr>
                <w:rFonts w:ascii="Times New Roman" w:hAnsi="Times New Roman" w:cs="Times New Roman"/>
                <w:vertAlign w:val="superscript"/>
              </w:rPr>
              <w:t>**</w:t>
            </w:r>
          </w:p>
        </w:tc>
      </w:tr>
      <w:tr w:rsidR="00BF1883" w:rsidRPr="00442034" w14:paraId="3F9BC85A" w14:textId="77777777" w:rsidTr="00BF1883">
        <w:trPr>
          <w:trHeight w:val="293"/>
        </w:trPr>
        <w:tc>
          <w:tcPr>
            <w:tcW w:w="4050" w:type="dxa"/>
            <w:tcBorders>
              <w:left w:val="nil"/>
              <w:right w:val="nil"/>
            </w:tcBorders>
          </w:tcPr>
          <w:p w14:paraId="7580515B" w14:textId="77777777" w:rsidR="00BF1883"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Prior Reports of Maltreatment</w:t>
            </w:r>
          </w:p>
        </w:tc>
        <w:tc>
          <w:tcPr>
            <w:tcW w:w="1440" w:type="dxa"/>
            <w:tcBorders>
              <w:left w:val="nil"/>
              <w:right w:val="nil"/>
            </w:tcBorders>
          </w:tcPr>
          <w:p w14:paraId="56BDFE80"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0.56 (.49)</w:t>
            </w:r>
          </w:p>
        </w:tc>
        <w:tc>
          <w:tcPr>
            <w:tcW w:w="1350" w:type="dxa"/>
            <w:tcBorders>
              <w:left w:val="nil"/>
              <w:right w:val="nil"/>
            </w:tcBorders>
          </w:tcPr>
          <w:p w14:paraId="51D96AD0"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0.56 (.49)</w:t>
            </w:r>
          </w:p>
        </w:tc>
        <w:tc>
          <w:tcPr>
            <w:tcW w:w="1359" w:type="dxa"/>
            <w:tcBorders>
              <w:left w:val="nil"/>
              <w:right w:val="nil"/>
            </w:tcBorders>
          </w:tcPr>
          <w:p w14:paraId="1CE38023"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0.49 (.</w:t>
            </w:r>
            <w:proofErr w:type="gramStart"/>
            <w:r>
              <w:rPr>
                <w:rFonts w:ascii="Times New Roman" w:hAnsi="Times New Roman" w:cs="Times New Roman"/>
              </w:rPr>
              <w:t>29)</w:t>
            </w:r>
            <w:r w:rsidRPr="00442034">
              <w:rPr>
                <w:rFonts w:ascii="Times New Roman" w:hAnsi="Times New Roman" w:cs="Times New Roman"/>
                <w:vertAlign w:val="superscript"/>
              </w:rPr>
              <w:t>†</w:t>
            </w:r>
            <w:proofErr w:type="gramEnd"/>
          </w:p>
        </w:tc>
        <w:tc>
          <w:tcPr>
            <w:tcW w:w="1341" w:type="dxa"/>
            <w:tcBorders>
              <w:left w:val="nil"/>
              <w:right w:val="nil"/>
            </w:tcBorders>
          </w:tcPr>
          <w:p w14:paraId="5EB778A2"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0.45 (.29)</w:t>
            </w:r>
          </w:p>
        </w:tc>
      </w:tr>
      <w:tr w:rsidR="00BF1883" w:rsidRPr="00442034" w14:paraId="63FDC1CF" w14:textId="77777777" w:rsidTr="00BF1883">
        <w:trPr>
          <w:trHeight w:val="293"/>
        </w:trPr>
        <w:tc>
          <w:tcPr>
            <w:tcW w:w="4050" w:type="dxa"/>
            <w:tcBorders>
              <w:left w:val="nil"/>
              <w:right w:val="nil"/>
            </w:tcBorders>
          </w:tcPr>
          <w:p w14:paraId="5661F4F1" w14:textId="77777777" w:rsidR="00BF1883"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Household Below Poverty</w:t>
            </w:r>
          </w:p>
        </w:tc>
        <w:tc>
          <w:tcPr>
            <w:tcW w:w="1440" w:type="dxa"/>
            <w:tcBorders>
              <w:left w:val="nil"/>
              <w:right w:val="nil"/>
            </w:tcBorders>
          </w:tcPr>
          <w:p w14:paraId="06FEB000" w14:textId="77777777" w:rsidR="00BF1883"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-0.60 (.40)</w:t>
            </w:r>
          </w:p>
        </w:tc>
        <w:tc>
          <w:tcPr>
            <w:tcW w:w="1350" w:type="dxa"/>
            <w:tcBorders>
              <w:left w:val="nil"/>
              <w:right w:val="nil"/>
            </w:tcBorders>
          </w:tcPr>
          <w:p w14:paraId="73B2996F"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-0.65 (.41)</w:t>
            </w:r>
          </w:p>
        </w:tc>
        <w:tc>
          <w:tcPr>
            <w:tcW w:w="1359" w:type="dxa"/>
            <w:tcBorders>
              <w:left w:val="nil"/>
              <w:right w:val="nil"/>
            </w:tcBorders>
          </w:tcPr>
          <w:p w14:paraId="25B52253"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-0.02 (.42)</w:t>
            </w:r>
          </w:p>
        </w:tc>
        <w:tc>
          <w:tcPr>
            <w:tcW w:w="1341" w:type="dxa"/>
            <w:tcBorders>
              <w:left w:val="nil"/>
              <w:right w:val="nil"/>
            </w:tcBorders>
          </w:tcPr>
          <w:p w14:paraId="30F28C51"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-0.07 (.42)</w:t>
            </w:r>
          </w:p>
        </w:tc>
      </w:tr>
      <w:tr w:rsidR="00BF1883" w:rsidRPr="00442034" w14:paraId="44198F9E" w14:textId="77777777" w:rsidTr="00BF1883">
        <w:trPr>
          <w:trHeight w:val="293"/>
        </w:trPr>
        <w:tc>
          <w:tcPr>
            <w:tcW w:w="4050" w:type="dxa"/>
            <w:tcBorders>
              <w:left w:val="nil"/>
              <w:right w:val="nil"/>
            </w:tcBorders>
          </w:tcPr>
          <w:p w14:paraId="19011FDB" w14:textId="77777777" w:rsidR="00BF1883"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PSU Urban</w:t>
            </w:r>
          </w:p>
        </w:tc>
        <w:tc>
          <w:tcPr>
            <w:tcW w:w="1440" w:type="dxa"/>
            <w:tcBorders>
              <w:left w:val="nil"/>
              <w:right w:val="nil"/>
            </w:tcBorders>
          </w:tcPr>
          <w:p w14:paraId="5B2FDF7C"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-0.03 (.48)</w:t>
            </w:r>
          </w:p>
        </w:tc>
        <w:tc>
          <w:tcPr>
            <w:tcW w:w="1350" w:type="dxa"/>
            <w:tcBorders>
              <w:left w:val="nil"/>
              <w:right w:val="nil"/>
            </w:tcBorders>
          </w:tcPr>
          <w:p w14:paraId="569D8A76"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-0.01 (.49)</w:t>
            </w:r>
          </w:p>
        </w:tc>
        <w:tc>
          <w:tcPr>
            <w:tcW w:w="1359" w:type="dxa"/>
            <w:tcBorders>
              <w:left w:val="nil"/>
              <w:right w:val="nil"/>
            </w:tcBorders>
          </w:tcPr>
          <w:p w14:paraId="74D5B8B7"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-0.40 (.39)</w:t>
            </w:r>
          </w:p>
        </w:tc>
        <w:tc>
          <w:tcPr>
            <w:tcW w:w="1341" w:type="dxa"/>
            <w:tcBorders>
              <w:left w:val="nil"/>
              <w:right w:val="nil"/>
            </w:tcBorders>
          </w:tcPr>
          <w:p w14:paraId="461C3B3E"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-0.34 (.40)</w:t>
            </w:r>
          </w:p>
        </w:tc>
      </w:tr>
      <w:tr w:rsidR="00BF1883" w:rsidRPr="00442034" w14:paraId="3B51749B" w14:textId="77777777" w:rsidTr="00BF1883">
        <w:trPr>
          <w:trHeight w:val="293"/>
        </w:trPr>
        <w:tc>
          <w:tcPr>
            <w:tcW w:w="4050" w:type="dxa"/>
            <w:tcBorders>
              <w:left w:val="nil"/>
              <w:right w:val="nil"/>
            </w:tcBorders>
          </w:tcPr>
          <w:p w14:paraId="23A76EED" w14:textId="77777777" w:rsidR="00BF1883"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Out-of-Home Care</w:t>
            </w:r>
          </w:p>
        </w:tc>
        <w:tc>
          <w:tcPr>
            <w:tcW w:w="1440" w:type="dxa"/>
            <w:tcBorders>
              <w:left w:val="nil"/>
              <w:right w:val="nil"/>
            </w:tcBorders>
          </w:tcPr>
          <w:p w14:paraId="69573B5C"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0.14 (.61)</w:t>
            </w:r>
          </w:p>
        </w:tc>
        <w:tc>
          <w:tcPr>
            <w:tcW w:w="1350" w:type="dxa"/>
            <w:tcBorders>
              <w:left w:val="nil"/>
              <w:right w:val="nil"/>
            </w:tcBorders>
          </w:tcPr>
          <w:p w14:paraId="528D1A47"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0.12 (.62)</w:t>
            </w:r>
          </w:p>
        </w:tc>
        <w:tc>
          <w:tcPr>
            <w:tcW w:w="1359" w:type="dxa"/>
            <w:tcBorders>
              <w:left w:val="nil"/>
              <w:right w:val="nil"/>
            </w:tcBorders>
          </w:tcPr>
          <w:p w14:paraId="0A35F82D"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0.15 (.64)</w:t>
            </w:r>
          </w:p>
        </w:tc>
        <w:tc>
          <w:tcPr>
            <w:tcW w:w="1341" w:type="dxa"/>
            <w:tcBorders>
              <w:left w:val="nil"/>
              <w:right w:val="nil"/>
            </w:tcBorders>
          </w:tcPr>
          <w:p w14:paraId="537E9CC8"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0.10 (.64)</w:t>
            </w:r>
          </w:p>
        </w:tc>
      </w:tr>
      <w:tr w:rsidR="00BF1883" w:rsidRPr="00442034" w14:paraId="22D77E43" w14:textId="77777777" w:rsidTr="00BF1883">
        <w:trPr>
          <w:trHeight w:val="293"/>
        </w:trPr>
        <w:tc>
          <w:tcPr>
            <w:tcW w:w="4050" w:type="dxa"/>
            <w:tcBorders>
              <w:left w:val="nil"/>
              <w:bottom w:val="single" w:sz="4" w:space="0" w:color="auto"/>
              <w:right w:val="nil"/>
            </w:tcBorders>
          </w:tcPr>
          <w:p w14:paraId="3EF330E1" w14:textId="77777777" w:rsidR="00BF1883"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Constant</w:t>
            </w:r>
          </w:p>
        </w:tc>
        <w:tc>
          <w:tcPr>
            <w:tcW w:w="1440" w:type="dxa"/>
            <w:tcBorders>
              <w:left w:val="nil"/>
              <w:bottom w:val="single" w:sz="4" w:space="0" w:color="auto"/>
              <w:right w:val="nil"/>
            </w:tcBorders>
          </w:tcPr>
          <w:p w14:paraId="12A70806"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-4.84 (2.87)</w:t>
            </w:r>
          </w:p>
        </w:tc>
        <w:tc>
          <w:tcPr>
            <w:tcW w:w="1350" w:type="dxa"/>
            <w:tcBorders>
              <w:left w:val="nil"/>
              <w:bottom w:val="single" w:sz="4" w:space="0" w:color="auto"/>
              <w:right w:val="nil"/>
            </w:tcBorders>
          </w:tcPr>
          <w:p w14:paraId="2CEB9151"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-3.67 (2.93)</w:t>
            </w:r>
          </w:p>
        </w:tc>
        <w:tc>
          <w:tcPr>
            <w:tcW w:w="1359" w:type="dxa"/>
            <w:tcBorders>
              <w:left w:val="nil"/>
              <w:bottom w:val="single" w:sz="4" w:space="0" w:color="auto"/>
              <w:right w:val="nil"/>
            </w:tcBorders>
          </w:tcPr>
          <w:p w14:paraId="6432A0AC"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1.04 (1.93)</w:t>
            </w:r>
          </w:p>
        </w:tc>
        <w:tc>
          <w:tcPr>
            <w:tcW w:w="1341" w:type="dxa"/>
            <w:tcBorders>
              <w:left w:val="nil"/>
              <w:bottom w:val="single" w:sz="4" w:space="0" w:color="auto"/>
              <w:right w:val="nil"/>
            </w:tcBorders>
          </w:tcPr>
          <w:p w14:paraId="054AD4EF"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2.27 (1.93)</w:t>
            </w:r>
          </w:p>
        </w:tc>
      </w:tr>
      <w:tr w:rsidR="00BF1883" w:rsidRPr="00442034" w14:paraId="70C25311" w14:textId="77777777" w:rsidTr="00BF1883">
        <w:trPr>
          <w:trHeight w:val="293"/>
        </w:trPr>
        <w:tc>
          <w:tcPr>
            <w:tcW w:w="4050" w:type="dxa"/>
            <w:tcBorders>
              <w:top w:val="single" w:sz="4" w:space="0" w:color="auto"/>
              <w:left w:val="nil"/>
              <w:right w:val="nil"/>
            </w:tcBorders>
          </w:tcPr>
          <w:p w14:paraId="401394F9" w14:textId="77777777" w:rsidR="00BF1883" w:rsidRPr="00442034" w:rsidRDefault="00BF1883" w:rsidP="00BF1883">
            <w:pPr>
              <w:widowControl w:val="0"/>
              <w:autoSpaceDE w:val="0"/>
              <w:autoSpaceDN w:val="0"/>
              <w:adjustRightInd w:val="0"/>
              <w:rPr>
                <w:rFonts w:ascii="Times New Roman" w:hAnsi="Times New Roman" w:cs="Times New Roman"/>
              </w:rPr>
            </w:pPr>
            <w:r>
              <w:rPr>
                <w:rFonts w:ascii="Times New Roman" w:hAnsi="Times New Roman" w:cs="Times New Roman"/>
              </w:rPr>
              <w:t>Observations</w:t>
            </w:r>
          </w:p>
        </w:tc>
        <w:tc>
          <w:tcPr>
            <w:tcW w:w="1440" w:type="dxa"/>
            <w:tcBorders>
              <w:top w:val="single" w:sz="4" w:space="0" w:color="auto"/>
              <w:left w:val="nil"/>
              <w:right w:val="nil"/>
            </w:tcBorders>
          </w:tcPr>
          <w:p w14:paraId="4A46FCFB"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608</w:t>
            </w:r>
          </w:p>
        </w:tc>
        <w:tc>
          <w:tcPr>
            <w:tcW w:w="1350" w:type="dxa"/>
            <w:tcBorders>
              <w:top w:val="single" w:sz="4" w:space="0" w:color="auto"/>
              <w:left w:val="nil"/>
              <w:right w:val="nil"/>
            </w:tcBorders>
          </w:tcPr>
          <w:p w14:paraId="206411F0"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608</w:t>
            </w:r>
          </w:p>
        </w:tc>
        <w:tc>
          <w:tcPr>
            <w:tcW w:w="1359" w:type="dxa"/>
            <w:tcBorders>
              <w:top w:val="single" w:sz="4" w:space="0" w:color="auto"/>
              <w:left w:val="nil"/>
              <w:right w:val="nil"/>
            </w:tcBorders>
          </w:tcPr>
          <w:p w14:paraId="3A10D51E" w14:textId="77777777" w:rsidR="00BF1883" w:rsidRPr="00442034" w:rsidRDefault="00BF1883" w:rsidP="00BF1883">
            <w:pPr>
              <w:widowControl w:val="0"/>
              <w:tabs>
                <w:tab w:val="decimal" w:pos="440"/>
              </w:tabs>
              <w:autoSpaceDE w:val="0"/>
              <w:autoSpaceDN w:val="0"/>
              <w:adjustRightInd w:val="0"/>
              <w:rPr>
                <w:rFonts w:ascii="Times New Roman" w:hAnsi="Times New Roman" w:cs="Times New Roman"/>
              </w:rPr>
            </w:pPr>
            <w:r>
              <w:rPr>
                <w:rFonts w:ascii="Times New Roman" w:hAnsi="Times New Roman" w:cs="Times New Roman"/>
              </w:rPr>
              <w:t>608</w:t>
            </w:r>
          </w:p>
        </w:tc>
        <w:tc>
          <w:tcPr>
            <w:tcW w:w="1341" w:type="dxa"/>
            <w:tcBorders>
              <w:top w:val="single" w:sz="4" w:space="0" w:color="auto"/>
              <w:left w:val="nil"/>
              <w:right w:val="nil"/>
            </w:tcBorders>
          </w:tcPr>
          <w:p w14:paraId="32CCAAD4" w14:textId="77777777" w:rsidR="00BF1883" w:rsidRPr="00442034" w:rsidRDefault="00BF1883" w:rsidP="00BF1883">
            <w:pPr>
              <w:widowControl w:val="0"/>
              <w:tabs>
                <w:tab w:val="decimal" w:pos="350"/>
              </w:tabs>
              <w:autoSpaceDE w:val="0"/>
              <w:autoSpaceDN w:val="0"/>
              <w:adjustRightInd w:val="0"/>
              <w:rPr>
                <w:rFonts w:ascii="Times New Roman" w:hAnsi="Times New Roman" w:cs="Times New Roman"/>
              </w:rPr>
            </w:pPr>
            <w:r>
              <w:rPr>
                <w:rFonts w:ascii="Times New Roman" w:hAnsi="Times New Roman" w:cs="Times New Roman"/>
              </w:rPr>
              <w:t>608</w:t>
            </w:r>
          </w:p>
        </w:tc>
      </w:tr>
      <w:tr w:rsidR="00BF1883" w:rsidRPr="00442034" w14:paraId="0DCF8661" w14:textId="77777777" w:rsidTr="00BF1883">
        <w:trPr>
          <w:trHeight w:val="293"/>
        </w:trPr>
        <w:tc>
          <w:tcPr>
            <w:tcW w:w="9540" w:type="dxa"/>
            <w:gridSpan w:val="5"/>
            <w:tcBorders>
              <w:top w:val="single" w:sz="4" w:space="0" w:color="auto"/>
              <w:left w:val="nil"/>
              <w:right w:val="nil"/>
            </w:tcBorders>
          </w:tcPr>
          <w:p w14:paraId="69F99B06" w14:textId="77777777" w:rsidR="00BF1883" w:rsidRPr="00442034" w:rsidRDefault="00BF1883" w:rsidP="00BF1883">
            <w:pPr>
              <w:widowControl w:val="0"/>
              <w:autoSpaceDE w:val="0"/>
              <w:autoSpaceDN w:val="0"/>
              <w:adjustRightInd w:val="0"/>
              <w:spacing w:line="240" w:lineRule="auto"/>
              <w:rPr>
                <w:rFonts w:ascii="Times New Roman" w:hAnsi="Times New Roman" w:cs="Times New Roman"/>
                <w:sz w:val="20"/>
                <w:szCs w:val="20"/>
              </w:rPr>
            </w:pPr>
            <w:r w:rsidRPr="00442034">
              <w:rPr>
                <w:rFonts w:ascii="Times New Roman" w:hAnsi="Times New Roman" w:cs="Times New Roman"/>
                <w:sz w:val="20"/>
                <w:szCs w:val="20"/>
              </w:rPr>
              <w:t xml:space="preserve">Coefficients </w:t>
            </w:r>
            <w:proofErr w:type="gramStart"/>
            <w:r w:rsidRPr="00442034">
              <w:rPr>
                <w:rFonts w:ascii="Times New Roman" w:hAnsi="Times New Roman" w:cs="Times New Roman"/>
                <w:sz w:val="20"/>
                <w:szCs w:val="20"/>
              </w:rPr>
              <w:t>presented</w:t>
            </w:r>
            <w:proofErr w:type="gramEnd"/>
            <w:r w:rsidRPr="00442034">
              <w:rPr>
                <w:rFonts w:ascii="Times New Roman" w:hAnsi="Times New Roman" w:cs="Times New Roman"/>
                <w:sz w:val="20"/>
                <w:szCs w:val="20"/>
              </w:rPr>
              <w:t xml:space="preserve"> in log odds. Standard errors in parentheses</w:t>
            </w:r>
          </w:p>
          <w:p w14:paraId="27BD2C18" w14:textId="77777777" w:rsidR="00BF1883" w:rsidRPr="00442034" w:rsidRDefault="00BF1883" w:rsidP="00BF1883">
            <w:pPr>
              <w:widowControl w:val="0"/>
              <w:autoSpaceDE w:val="0"/>
              <w:autoSpaceDN w:val="0"/>
              <w:adjustRightInd w:val="0"/>
              <w:spacing w:line="240" w:lineRule="auto"/>
              <w:rPr>
                <w:rFonts w:ascii="Times New Roman" w:hAnsi="Times New Roman" w:cs="Times New Roman"/>
                <w:sz w:val="20"/>
                <w:szCs w:val="20"/>
              </w:rPr>
            </w:pPr>
            <w:r w:rsidRPr="00442034">
              <w:rPr>
                <w:rFonts w:ascii="Times New Roman" w:hAnsi="Times New Roman" w:cs="Times New Roman"/>
                <w:sz w:val="20"/>
                <w:szCs w:val="20"/>
              </w:rPr>
              <w:t>Source: National Survey of Child and Adolescent Well-Being (NSCAW-II)</w:t>
            </w:r>
          </w:p>
          <w:p w14:paraId="1F515250" w14:textId="77777777" w:rsidR="00BF1883" w:rsidRPr="00180291" w:rsidRDefault="00BF1883" w:rsidP="00BF1883">
            <w:pPr>
              <w:widowControl w:val="0"/>
              <w:autoSpaceDE w:val="0"/>
              <w:autoSpaceDN w:val="0"/>
              <w:adjustRightInd w:val="0"/>
              <w:spacing w:line="240" w:lineRule="auto"/>
              <w:rPr>
                <w:rFonts w:ascii="Times New Roman" w:hAnsi="Times New Roman" w:cs="Times New Roman"/>
                <w:sz w:val="20"/>
                <w:szCs w:val="20"/>
              </w:rPr>
            </w:pPr>
            <w:r w:rsidRPr="00442034">
              <w:rPr>
                <w:rFonts w:ascii="Times New Roman" w:hAnsi="Times New Roman" w:cs="Times New Roman"/>
                <w:vertAlign w:val="superscript"/>
              </w:rPr>
              <w:t>†</w:t>
            </w: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&lt; .10</w:t>
            </w:r>
            <w:r w:rsidRPr="00442034">
              <w:rPr>
                <w:rFonts w:ascii="Times New Roman" w:hAnsi="Times New Roman" w:cs="Times New Roman"/>
                <w:i/>
                <w:iCs/>
                <w:sz w:val="20"/>
                <w:szCs w:val="20"/>
              </w:rPr>
              <w:t xml:space="preserve">,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0.05,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0.01</w:t>
            </w:r>
            <w:r>
              <w:rPr>
                <w:rFonts w:ascii="Times New Roman" w:hAnsi="Times New Roman" w:cs="Times New Roman"/>
                <w:sz w:val="20"/>
                <w:szCs w:val="20"/>
              </w:rPr>
              <w:t xml:space="preserve"> </w:t>
            </w:r>
            <w:r>
              <w:rPr>
                <w:rFonts w:ascii="Times New Roman" w:hAnsi="Times New Roman" w:cs="Times New Roman"/>
                <w:sz w:val="20"/>
                <w:szCs w:val="20"/>
                <w:vertAlign w:val="superscript"/>
              </w:rPr>
              <w:t>***</w:t>
            </w:r>
            <w:r>
              <w:rPr>
                <w:rFonts w:ascii="Times New Roman" w:hAnsi="Times New Roman" w:cs="Times New Roman"/>
                <w:i/>
                <w:iCs/>
                <w:sz w:val="20"/>
                <w:szCs w:val="20"/>
              </w:rPr>
              <w:t>p</w:t>
            </w:r>
            <w:r>
              <w:rPr>
                <w:rFonts w:ascii="Times New Roman" w:hAnsi="Times New Roman" w:cs="Times New Roman"/>
                <w:sz w:val="20"/>
                <w:szCs w:val="20"/>
              </w:rPr>
              <w:t xml:space="preserve"> &lt; .001</w:t>
            </w:r>
          </w:p>
        </w:tc>
      </w:tr>
    </w:tbl>
    <w:p w14:paraId="3B163D87" w14:textId="48050D5A" w:rsidR="00442034" w:rsidRPr="00442034" w:rsidRDefault="00442034" w:rsidP="00442034">
      <w:pPr>
        <w:rPr>
          <w:rFonts w:ascii="Times New Roman" w:hAnsi="Times New Roman" w:cs="Times New Roman"/>
          <w:b/>
          <w:bCs/>
        </w:rPr>
        <w:sectPr w:rsidR="00442034" w:rsidRPr="00442034" w:rsidSect="00E4733D">
          <w:pgSz w:w="12240" w:h="15840"/>
          <w:pgMar w:top="1440" w:right="1440" w:bottom="1440" w:left="1440" w:header="720" w:footer="720" w:gutter="0"/>
          <w:cols w:space="720"/>
          <w:docGrid w:linePitch="360"/>
        </w:sectPr>
      </w:pPr>
    </w:p>
    <w:p w14:paraId="02DE024E" w14:textId="626E75B6" w:rsidR="00442034" w:rsidRDefault="00442034" w:rsidP="00442034">
      <w:pPr>
        <w:rPr>
          <w:rFonts w:ascii="Times New Roman" w:hAnsi="Times New Roman" w:cs="Times New Roman"/>
          <w:b/>
          <w:bCs/>
        </w:rPr>
      </w:pPr>
      <w:r w:rsidRPr="00442034">
        <w:rPr>
          <w:rFonts w:ascii="Times New Roman" w:hAnsi="Times New Roman" w:cs="Times New Roman"/>
          <w:b/>
          <w:bCs/>
        </w:rPr>
        <w:lastRenderedPageBreak/>
        <w:t xml:space="preserve">Figure </w:t>
      </w:r>
      <w:r w:rsidR="00F44E32">
        <w:rPr>
          <w:rFonts w:ascii="Times New Roman" w:hAnsi="Times New Roman" w:cs="Times New Roman"/>
          <w:b/>
          <w:bCs/>
        </w:rPr>
        <w:t>1</w:t>
      </w:r>
      <w:r w:rsidRPr="00442034">
        <w:rPr>
          <w:rFonts w:ascii="Times New Roman" w:hAnsi="Times New Roman" w:cs="Times New Roman"/>
          <w:b/>
          <w:bCs/>
        </w:rPr>
        <w:t>. Predicted Probabilities of Clinical Behavior Problems by Sexual Orientation and Relationship with Caregiver</w:t>
      </w:r>
    </w:p>
    <w:p w14:paraId="2FBE3172" w14:textId="4B39B9F6" w:rsidR="001153DC" w:rsidRPr="00442034" w:rsidRDefault="00F44E32" w:rsidP="00442034">
      <w:pPr>
        <w:rPr>
          <w:rFonts w:ascii="Times New Roman" w:hAnsi="Times New Roman" w:cs="Times New Roman"/>
          <w:b/>
          <w:bCs/>
        </w:rPr>
      </w:pPr>
      <w:r>
        <w:rPr>
          <w:noProof/>
        </w:rPr>
        <w:drawing>
          <wp:inline distT="0" distB="0" distL="0" distR="0" wp14:anchorId="009FE0D2" wp14:editId="10809296">
            <wp:extent cx="8197702" cy="4918621"/>
            <wp:effectExtent l="0" t="0" r="0" b="0"/>
            <wp:docPr id="1677082110" name="Picture 1"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082110" name="Picture 1" descr="A comparison of a graph&#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8244032" cy="4946419"/>
                    </a:xfrm>
                    <a:prstGeom prst="rect">
                      <a:avLst/>
                    </a:prstGeom>
                  </pic:spPr>
                </pic:pic>
              </a:graphicData>
            </a:graphic>
          </wp:inline>
        </w:drawing>
      </w:r>
    </w:p>
    <w:p w14:paraId="1A0B0C95" w14:textId="6FABEE00" w:rsidR="00442034" w:rsidRPr="00442034" w:rsidRDefault="00442034" w:rsidP="00442034">
      <w:pPr>
        <w:rPr>
          <w:rFonts w:ascii="Times New Roman" w:hAnsi="Times New Roman" w:cs="Times New Roman"/>
          <w:b/>
          <w:bCs/>
        </w:rPr>
      </w:pPr>
      <w:r w:rsidRPr="00442034">
        <w:rPr>
          <w:rFonts w:ascii="Times New Roman" w:hAnsi="Times New Roman" w:cs="Times New Roman"/>
          <w:sz w:val="20"/>
          <w:szCs w:val="20"/>
        </w:rPr>
        <w:t>Source: National Survey of Child and Adolescent Well-Being (NSCAW-II) (</w:t>
      </w:r>
      <w:r w:rsidRPr="00442034">
        <w:rPr>
          <w:rFonts w:ascii="Times New Roman" w:hAnsi="Times New Roman" w:cs="Times New Roman"/>
          <w:i/>
          <w:iCs/>
          <w:sz w:val="20"/>
          <w:szCs w:val="20"/>
        </w:rPr>
        <w:t>N</w:t>
      </w:r>
      <w:r w:rsidRPr="00442034">
        <w:rPr>
          <w:rFonts w:ascii="Times New Roman" w:hAnsi="Times New Roman" w:cs="Times New Roman"/>
          <w:sz w:val="20"/>
          <w:szCs w:val="20"/>
        </w:rPr>
        <w:t xml:space="preserve"> = </w:t>
      </w:r>
      <w:r w:rsidR="001153DC">
        <w:rPr>
          <w:rFonts w:ascii="Times New Roman" w:hAnsi="Times New Roman" w:cs="Times New Roman"/>
          <w:sz w:val="20"/>
          <w:szCs w:val="20"/>
        </w:rPr>
        <w:t>608</w:t>
      </w:r>
      <w:r w:rsidRPr="00442034">
        <w:rPr>
          <w:rFonts w:ascii="Times New Roman" w:hAnsi="Times New Roman" w:cs="Times New Roman"/>
          <w:sz w:val="20"/>
          <w:szCs w:val="20"/>
        </w:rPr>
        <w:t>)</w:t>
      </w:r>
      <w:r w:rsidRPr="00442034">
        <w:rPr>
          <w:rFonts w:ascii="Times New Roman" w:hAnsi="Times New Roman" w:cs="Times New Roman"/>
          <w:b/>
          <w:bCs/>
        </w:rPr>
        <w:t xml:space="preserve"> </w:t>
      </w:r>
    </w:p>
    <w:p w14:paraId="48D7CA4A" w14:textId="19784BC2" w:rsidR="00442034" w:rsidRPr="00442034" w:rsidRDefault="00442034">
      <w:pPr>
        <w:rPr>
          <w:rFonts w:ascii="Times New Roman" w:hAnsi="Times New Roman" w:cs="Times New Roman"/>
          <w:sz w:val="24"/>
          <w:szCs w:val="24"/>
        </w:rPr>
        <w:sectPr w:rsidR="00442034" w:rsidRPr="00442034" w:rsidSect="00E4733D">
          <w:pgSz w:w="15840" w:h="12240" w:orient="landscape"/>
          <w:pgMar w:top="1440" w:right="1440" w:bottom="1440" w:left="1440" w:header="720" w:footer="720" w:gutter="0"/>
          <w:cols w:space="720"/>
          <w:docGrid w:linePitch="360"/>
        </w:sectPr>
      </w:pPr>
    </w:p>
    <w:p w14:paraId="4105C24A" w14:textId="77777777" w:rsidR="00AE2123" w:rsidRPr="00442034" w:rsidRDefault="00AE2123">
      <w:pPr>
        <w:rPr>
          <w:rFonts w:ascii="Times New Roman" w:hAnsi="Times New Roman" w:cs="Times New Roman"/>
          <w:sz w:val="24"/>
          <w:szCs w:val="24"/>
        </w:rPr>
      </w:pPr>
    </w:p>
    <w:p w14:paraId="678AAB60" w14:textId="77777777" w:rsidR="0090434E" w:rsidRPr="00442034" w:rsidRDefault="0090434E" w:rsidP="00AE2123">
      <w:pPr>
        <w:spacing w:line="480" w:lineRule="auto"/>
        <w:rPr>
          <w:rFonts w:ascii="Times New Roman" w:hAnsi="Times New Roman" w:cs="Times New Roman"/>
          <w:sz w:val="24"/>
          <w:szCs w:val="24"/>
        </w:rPr>
      </w:pPr>
    </w:p>
    <w:p w14:paraId="47218553" w14:textId="77777777" w:rsidR="00CB6E45" w:rsidRPr="00442034" w:rsidRDefault="00CB6E45" w:rsidP="00AE2123">
      <w:pPr>
        <w:spacing w:line="480" w:lineRule="auto"/>
        <w:rPr>
          <w:rFonts w:ascii="Times New Roman" w:hAnsi="Times New Roman" w:cs="Times New Roman"/>
          <w:sz w:val="24"/>
          <w:szCs w:val="24"/>
        </w:rPr>
      </w:pPr>
    </w:p>
    <w:p w14:paraId="09B4BD30" w14:textId="77777777" w:rsidR="00CB6E45" w:rsidRPr="00442034" w:rsidRDefault="00CB6E45" w:rsidP="00AE2123">
      <w:pPr>
        <w:spacing w:line="480" w:lineRule="auto"/>
        <w:rPr>
          <w:rFonts w:ascii="Times New Roman" w:hAnsi="Times New Roman" w:cs="Times New Roman"/>
          <w:sz w:val="24"/>
          <w:szCs w:val="24"/>
        </w:rPr>
      </w:pPr>
    </w:p>
    <w:p w14:paraId="773195FC" w14:textId="77777777" w:rsidR="00CB6E45" w:rsidRPr="00442034" w:rsidRDefault="00CB6E45" w:rsidP="00AE2123">
      <w:pPr>
        <w:spacing w:line="480" w:lineRule="auto"/>
        <w:rPr>
          <w:rFonts w:ascii="Times New Roman" w:hAnsi="Times New Roman" w:cs="Times New Roman"/>
          <w:sz w:val="24"/>
          <w:szCs w:val="24"/>
        </w:rPr>
      </w:pPr>
    </w:p>
    <w:p w14:paraId="630259E8" w14:textId="77777777" w:rsidR="00CB6E45" w:rsidRDefault="00CB6E45" w:rsidP="00AE2123">
      <w:pPr>
        <w:spacing w:line="480" w:lineRule="auto"/>
        <w:rPr>
          <w:rFonts w:ascii="Times New Roman" w:hAnsi="Times New Roman" w:cs="Times New Roman"/>
          <w:sz w:val="24"/>
          <w:szCs w:val="24"/>
        </w:rPr>
      </w:pPr>
    </w:p>
    <w:p w14:paraId="13A580EE" w14:textId="77777777" w:rsidR="00C95CB9" w:rsidRDefault="00C95CB9" w:rsidP="00AE2123">
      <w:pPr>
        <w:spacing w:line="480" w:lineRule="auto"/>
        <w:rPr>
          <w:rFonts w:ascii="Times New Roman" w:hAnsi="Times New Roman" w:cs="Times New Roman"/>
          <w:sz w:val="24"/>
          <w:szCs w:val="24"/>
        </w:rPr>
      </w:pPr>
    </w:p>
    <w:p w14:paraId="5BF93825" w14:textId="77777777" w:rsidR="00C95CB9" w:rsidRPr="00442034" w:rsidRDefault="00C95CB9" w:rsidP="00AE2123">
      <w:pPr>
        <w:spacing w:line="480" w:lineRule="auto"/>
        <w:rPr>
          <w:rFonts w:ascii="Times New Roman" w:hAnsi="Times New Roman" w:cs="Times New Roman"/>
          <w:sz w:val="24"/>
          <w:szCs w:val="24"/>
        </w:rPr>
      </w:pPr>
    </w:p>
    <w:p w14:paraId="5421E7EC" w14:textId="77777777" w:rsidR="005A70F9" w:rsidRDefault="00CB6E45" w:rsidP="00A72968">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t xml:space="preserve">Chapter Three: </w:t>
      </w:r>
    </w:p>
    <w:p w14:paraId="5B068DD1" w14:textId="23A38B40" w:rsidR="00A72968" w:rsidRPr="00442034" w:rsidRDefault="00A72968" w:rsidP="00A72968">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t>Supporting the Future: Future Expectations for LGBQ Youth in</w:t>
      </w:r>
    </w:p>
    <w:p w14:paraId="6F97B8D1" w14:textId="257B758D" w:rsidR="00CB6E45" w:rsidRDefault="00A72968" w:rsidP="00A72968">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t>Child Welfare and How Social Support Shapes Them</w:t>
      </w:r>
    </w:p>
    <w:p w14:paraId="03C867C7" w14:textId="1781EB07" w:rsidR="00023D30" w:rsidRDefault="00023D30" w:rsidP="00A72968">
      <w:pPr>
        <w:spacing w:line="480" w:lineRule="auto"/>
        <w:jc w:val="center"/>
        <w:rPr>
          <w:rFonts w:ascii="Times New Roman" w:hAnsi="Times New Roman" w:cs="Times New Roman"/>
          <w:sz w:val="24"/>
          <w:szCs w:val="24"/>
        </w:rPr>
      </w:pPr>
      <w:r>
        <w:rPr>
          <w:rFonts w:ascii="Times New Roman" w:hAnsi="Times New Roman" w:cs="Times New Roman"/>
          <w:sz w:val="24"/>
          <w:szCs w:val="24"/>
        </w:rPr>
        <w:t>Co-Authors on Chapter Three: Dr. Erin Maher and Rin Ferraro</w:t>
      </w:r>
    </w:p>
    <w:p w14:paraId="31BE89F1" w14:textId="77777777" w:rsidR="00023D30" w:rsidRDefault="00023D30" w:rsidP="00A72968">
      <w:pPr>
        <w:spacing w:line="480" w:lineRule="auto"/>
        <w:jc w:val="center"/>
        <w:rPr>
          <w:rFonts w:ascii="Times New Roman" w:hAnsi="Times New Roman" w:cs="Times New Roman"/>
          <w:sz w:val="24"/>
          <w:szCs w:val="24"/>
        </w:rPr>
      </w:pPr>
    </w:p>
    <w:p w14:paraId="2F48B148" w14:textId="77777777" w:rsidR="00023D30" w:rsidRDefault="00023D30" w:rsidP="00A72968">
      <w:pPr>
        <w:spacing w:line="480" w:lineRule="auto"/>
        <w:jc w:val="center"/>
        <w:rPr>
          <w:rFonts w:ascii="Times New Roman" w:hAnsi="Times New Roman" w:cs="Times New Roman"/>
          <w:sz w:val="24"/>
          <w:szCs w:val="24"/>
        </w:rPr>
      </w:pPr>
    </w:p>
    <w:p w14:paraId="7FF362D3" w14:textId="77777777" w:rsidR="00023D30" w:rsidRDefault="00023D30" w:rsidP="00A72968">
      <w:pPr>
        <w:spacing w:line="480" w:lineRule="auto"/>
        <w:jc w:val="center"/>
        <w:rPr>
          <w:rFonts w:ascii="Times New Roman" w:hAnsi="Times New Roman" w:cs="Times New Roman"/>
          <w:sz w:val="24"/>
          <w:szCs w:val="24"/>
        </w:rPr>
      </w:pPr>
    </w:p>
    <w:p w14:paraId="10C473BC" w14:textId="37336D70" w:rsidR="00023D30" w:rsidRDefault="00023D30" w:rsidP="00023D30">
      <w:pPr>
        <w:spacing w:line="240" w:lineRule="auto"/>
        <w:rPr>
          <w:rFonts w:ascii="Times New Roman" w:hAnsi="Times New Roman" w:cs="Times New Roman"/>
          <w:sz w:val="24"/>
          <w:szCs w:val="24"/>
        </w:rPr>
      </w:pPr>
      <w:r>
        <w:rPr>
          <w:rFonts w:ascii="Times New Roman" w:hAnsi="Times New Roman" w:cs="Times New Roman"/>
          <w:sz w:val="24"/>
          <w:szCs w:val="24"/>
        </w:rPr>
        <w:t>Breakdown of Effort:</w:t>
      </w:r>
    </w:p>
    <w:p w14:paraId="39091BA3" w14:textId="21DDE34C" w:rsidR="00023D30" w:rsidRDefault="00023D30" w:rsidP="00023D30">
      <w:pPr>
        <w:spacing w:line="240" w:lineRule="auto"/>
        <w:rPr>
          <w:rFonts w:ascii="Times New Roman" w:hAnsi="Times New Roman" w:cs="Times New Roman"/>
          <w:sz w:val="24"/>
          <w:szCs w:val="24"/>
        </w:rPr>
      </w:pPr>
      <w:r>
        <w:rPr>
          <w:rFonts w:ascii="Times New Roman" w:hAnsi="Times New Roman" w:cs="Times New Roman"/>
          <w:sz w:val="24"/>
          <w:szCs w:val="24"/>
        </w:rPr>
        <w:t>Heather Lepper-Pappan: Development of research questions, performed all data analysis, author of first draft, edited all subsequent drafts</w:t>
      </w:r>
      <w:r w:rsidR="00FE0A3B">
        <w:rPr>
          <w:rFonts w:ascii="Times New Roman" w:hAnsi="Times New Roman" w:cs="Times New Roman"/>
          <w:sz w:val="24"/>
          <w:szCs w:val="24"/>
        </w:rPr>
        <w:t>.</w:t>
      </w:r>
    </w:p>
    <w:p w14:paraId="36DC5B55" w14:textId="5865ABE8" w:rsidR="0003592C" w:rsidRDefault="0003592C" w:rsidP="00023D30">
      <w:pPr>
        <w:spacing w:line="240" w:lineRule="auto"/>
        <w:rPr>
          <w:rFonts w:ascii="Times New Roman" w:hAnsi="Times New Roman" w:cs="Times New Roman"/>
          <w:sz w:val="24"/>
          <w:szCs w:val="24"/>
        </w:rPr>
      </w:pPr>
      <w:r>
        <w:rPr>
          <w:rFonts w:ascii="Times New Roman" w:hAnsi="Times New Roman" w:cs="Times New Roman"/>
          <w:sz w:val="24"/>
          <w:szCs w:val="24"/>
        </w:rPr>
        <w:t>Dr. Erin Maher: Edited drafts, contributed to literature review and discussion</w:t>
      </w:r>
      <w:r w:rsidR="00FE0A3B">
        <w:rPr>
          <w:rFonts w:ascii="Times New Roman" w:hAnsi="Times New Roman" w:cs="Times New Roman"/>
          <w:sz w:val="24"/>
          <w:szCs w:val="24"/>
        </w:rPr>
        <w:t>.</w:t>
      </w:r>
    </w:p>
    <w:p w14:paraId="1B1BFCA8" w14:textId="4F80C031" w:rsidR="0003592C" w:rsidRDefault="0003592C" w:rsidP="00023D30">
      <w:pPr>
        <w:spacing w:line="240" w:lineRule="auto"/>
        <w:rPr>
          <w:rFonts w:ascii="Times New Roman" w:hAnsi="Times New Roman" w:cs="Times New Roman"/>
          <w:sz w:val="24"/>
          <w:szCs w:val="24"/>
        </w:rPr>
      </w:pPr>
      <w:r>
        <w:rPr>
          <w:rFonts w:ascii="Times New Roman" w:hAnsi="Times New Roman" w:cs="Times New Roman"/>
          <w:sz w:val="24"/>
          <w:szCs w:val="24"/>
        </w:rPr>
        <w:t xml:space="preserve">Rin Ferraro: Reviewed </w:t>
      </w:r>
      <w:r w:rsidR="00E96AD0">
        <w:rPr>
          <w:rFonts w:ascii="Times New Roman" w:hAnsi="Times New Roman" w:cs="Times New Roman"/>
          <w:sz w:val="24"/>
          <w:szCs w:val="24"/>
        </w:rPr>
        <w:t xml:space="preserve">drafts, contributed to </w:t>
      </w:r>
      <w:r w:rsidR="001D2F94">
        <w:rPr>
          <w:rFonts w:ascii="Times New Roman" w:hAnsi="Times New Roman" w:cs="Times New Roman"/>
          <w:sz w:val="24"/>
          <w:szCs w:val="24"/>
        </w:rPr>
        <w:t>data analysis</w:t>
      </w:r>
      <w:r w:rsidR="00FE0A3B">
        <w:rPr>
          <w:rFonts w:ascii="Times New Roman" w:hAnsi="Times New Roman" w:cs="Times New Roman"/>
          <w:sz w:val="24"/>
          <w:szCs w:val="24"/>
        </w:rPr>
        <w:t>.</w:t>
      </w:r>
    </w:p>
    <w:p w14:paraId="1E8CD589" w14:textId="77777777" w:rsidR="00CB6E45" w:rsidRPr="00442034" w:rsidRDefault="00CB6E45">
      <w:pPr>
        <w:rPr>
          <w:rFonts w:ascii="Times New Roman" w:hAnsi="Times New Roman" w:cs="Times New Roman"/>
          <w:sz w:val="24"/>
          <w:szCs w:val="24"/>
        </w:rPr>
      </w:pPr>
      <w:r w:rsidRPr="00442034">
        <w:rPr>
          <w:rFonts w:ascii="Times New Roman" w:hAnsi="Times New Roman" w:cs="Times New Roman"/>
          <w:sz w:val="24"/>
          <w:szCs w:val="24"/>
        </w:rPr>
        <w:br w:type="page"/>
      </w:r>
    </w:p>
    <w:p w14:paraId="4EA4C312" w14:textId="170D197D" w:rsidR="00CB6E45" w:rsidRPr="00442034" w:rsidRDefault="0038481C" w:rsidP="00CB6E45">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lastRenderedPageBreak/>
        <w:t>Abstract</w:t>
      </w:r>
    </w:p>
    <w:p w14:paraId="7C3C0B7C" w14:textId="4B07FB79" w:rsidR="002B63BF" w:rsidRPr="00442034" w:rsidRDefault="002B63BF" w:rsidP="002B63BF">
      <w:pPr>
        <w:spacing w:line="240" w:lineRule="auto"/>
        <w:ind w:firstLine="720"/>
        <w:rPr>
          <w:rFonts w:ascii="Times New Roman" w:hAnsi="Times New Roman" w:cs="Times New Roman"/>
          <w:sz w:val="24"/>
          <w:szCs w:val="24"/>
        </w:rPr>
      </w:pPr>
      <w:r w:rsidRPr="00442034">
        <w:rPr>
          <w:rFonts w:ascii="Times New Roman" w:hAnsi="Times New Roman" w:cs="Times New Roman"/>
          <w:sz w:val="24"/>
          <w:szCs w:val="24"/>
        </w:rPr>
        <w:t xml:space="preserve">Youth involved with the child welfare system, and particularly those who are also lesbian, gay, bisexual, and queer (LGBQ), are a vulnerable population, facing unique challenges within a system designed to protect them from child abuse and neglect. Transitions from the child welfare system into adulthood can be especially difficult, and research has pointed to poor developmental outcomes for youth exiting care without a permanent family. To mitigate these challenging circumstances, more research is needed to explore characteristics that help promote a successful transition into adulthood. One such trait is youth having positive </w:t>
      </w:r>
      <w:r w:rsidR="002B660A">
        <w:rPr>
          <w:rFonts w:ascii="Times New Roman" w:hAnsi="Times New Roman" w:cs="Times New Roman"/>
          <w:sz w:val="24"/>
          <w:szCs w:val="24"/>
        </w:rPr>
        <w:t xml:space="preserve">or normative (relative to their peers and the culture in which they live) </w:t>
      </w:r>
      <w:r w:rsidRPr="00442034">
        <w:rPr>
          <w:rFonts w:ascii="Times New Roman" w:hAnsi="Times New Roman" w:cs="Times New Roman"/>
          <w:sz w:val="24"/>
          <w:szCs w:val="24"/>
        </w:rPr>
        <w:t xml:space="preserve">expectations for their future. Positive expectations reflect hope, which </w:t>
      </w:r>
      <w:r w:rsidR="00B219ED">
        <w:rPr>
          <w:rFonts w:ascii="Times New Roman" w:hAnsi="Times New Roman" w:cs="Times New Roman"/>
          <w:sz w:val="24"/>
          <w:szCs w:val="24"/>
        </w:rPr>
        <w:t>is</w:t>
      </w:r>
      <w:r w:rsidRPr="00442034">
        <w:rPr>
          <w:rFonts w:ascii="Times New Roman" w:hAnsi="Times New Roman" w:cs="Times New Roman"/>
          <w:sz w:val="24"/>
          <w:szCs w:val="24"/>
        </w:rPr>
        <w:t xml:space="preserve"> associated with well-being and can serve as a protective factor for high-risk youth</w:t>
      </w:r>
      <w:r w:rsidRPr="00442034">
        <w:rPr>
          <w:rStyle w:val="CommentReference"/>
          <w:rFonts w:ascii="Times New Roman" w:hAnsi="Times New Roman" w:cs="Times New Roman"/>
        </w:rPr>
        <w:t>.</w:t>
      </w:r>
      <w:r w:rsidRPr="00442034">
        <w:rPr>
          <w:rFonts w:ascii="Times New Roman" w:hAnsi="Times New Roman" w:cs="Times New Roman"/>
          <w:sz w:val="24"/>
          <w:szCs w:val="24"/>
        </w:rPr>
        <w:t xml:space="preserve"> This paper examines how future expectations may be different for LGBQ youth involved in child welfare compared to their non-LGBQ peers. It also investigates how the perception of social support from adults and peers among both LGBQ and non-LGBQ youth involved in the child welfare system shapes their future expectations. Data for this study comes from the National Survey of Child and Adolescent Well-Being II (NSCAW II). We focus on future expectations of having a family, getting married by twenty-five, and living to thirty-five, all of which are considered normative aspects of the transition to adulthood. We use multinomial logistic regression analyses to determine whether sexual orientation predicts the likelihood of having positive expectations and whether social support from caregivers and peers moderate</w:t>
      </w:r>
      <w:r w:rsidR="00B219ED">
        <w:rPr>
          <w:rFonts w:ascii="Times New Roman" w:hAnsi="Times New Roman" w:cs="Times New Roman"/>
          <w:sz w:val="24"/>
          <w:szCs w:val="24"/>
        </w:rPr>
        <w:t>s</w:t>
      </w:r>
      <w:r w:rsidRPr="00442034">
        <w:rPr>
          <w:rFonts w:ascii="Times New Roman" w:hAnsi="Times New Roman" w:cs="Times New Roman"/>
          <w:sz w:val="24"/>
          <w:szCs w:val="24"/>
        </w:rPr>
        <w:t xml:space="preserve"> these expectations. </w:t>
      </w:r>
      <w:r w:rsidR="00F266B1">
        <w:rPr>
          <w:rFonts w:ascii="Times New Roman" w:hAnsi="Times New Roman" w:cs="Times New Roman"/>
          <w:sz w:val="24"/>
          <w:szCs w:val="24"/>
        </w:rPr>
        <w:t xml:space="preserve">We find that LGBQ youth have significantly lower future expectations compared to heterosexual youth, and social support from peers negatively </w:t>
      </w:r>
      <w:r w:rsidR="001367D8">
        <w:rPr>
          <w:rFonts w:ascii="Times New Roman" w:hAnsi="Times New Roman" w:cs="Times New Roman"/>
          <w:sz w:val="24"/>
          <w:szCs w:val="24"/>
        </w:rPr>
        <w:t>influences</w:t>
      </w:r>
      <w:r w:rsidR="00F266B1">
        <w:rPr>
          <w:rFonts w:ascii="Times New Roman" w:hAnsi="Times New Roman" w:cs="Times New Roman"/>
          <w:sz w:val="24"/>
          <w:szCs w:val="24"/>
        </w:rPr>
        <w:t xml:space="preserve"> </w:t>
      </w:r>
      <w:r w:rsidR="007B30AE">
        <w:rPr>
          <w:rFonts w:ascii="Times New Roman" w:hAnsi="Times New Roman" w:cs="Times New Roman"/>
          <w:sz w:val="24"/>
          <w:szCs w:val="24"/>
        </w:rPr>
        <w:t>expectations of living to thirty-five compared to heterosexual youth</w:t>
      </w:r>
      <w:r w:rsidRPr="00442034">
        <w:rPr>
          <w:rFonts w:ascii="Times New Roman" w:hAnsi="Times New Roman" w:cs="Times New Roman"/>
          <w:sz w:val="24"/>
          <w:szCs w:val="24"/>
        </w:rPr>
        <w:t xml:space="preserve">. The results of this study add to the literature on protective factors for vulnerable populations in child welfare and inform the development of policies and practices to support them.  </w:t>
      </w:r>
    </w:p>
    <w:p w14:paraId="63157F7C" w14:textId="6E834B2A" w:rsidR="002B63BF" w:rsidRPr="00442034" w:rsidRDefault="000D59B3">
      <w:pPr>
        <w:rPr>
          <w:rFonts w:ascii="Times New Roman" w:hAnsi="Times New Roman" w:cs="Times New Roman"/>
          <w:sz w:val="24"/>
          <w:szCs w:val="24"/>
        </w:rPr>
      </w:pPr>
      <w:r>
        <w:rPr>
          <w:rFonts w:ascii="Times New Roman" w:hAnsi="Times New Roman" w:cs="Times New Roman"/>
          <w:b/>
          <w:bCs/>
          <w:sz w:val="24"/>
          <w:szCs w:val="24"/>
        </w:rPr>
        <w:t>Keywords:</w:t>
      </w:r>
      <w:r>
        <w:rPr>
          <w:rFonts w:ascii="Times New Roman" w:hAnsi="Times New Roman" w:cs="Times New Roman"/>
          <w:sz w:val="24"/>
          <w:szCs w:val="24"/>
        </w:rPr>
        <w:t xml:space="preserve"> </w:t>
      </w:r>
      <w:r w:rsidR="000F584C">
        <w:rPr>
          <w:rFonts w:ascii="Times New Roman" w:hAnsi="Times New Roman" w:cs="Times New Roman"/>
          <w:sz w:val="24"/>
          <w:szCs w:val="24"/>
        </w:rPr>
        <w:t>LGBQ youth, social support, future expectations</w:t>
      </w:r>
      <w:r w:rsidR="002B63BF" w:rsidRPr="00442034">
        <w:rPr>
          <w:rFonts w:ascii="Times New Roman" w:hAnsi="Times New Roman" w:cs="Times New Roman"/>
          <w:sz w:val="24"/>
          <w:szCs w:val="24"/>
        </w:rPr>
        <w:br w:type="page"/>
      </w:r>
    </w:p>
    <w:p w14:paraId="3626D35A" w14:textId="77777777" w:rsidR="0048282A" w:rsidRPr="00442034" w:rsidRDefault="0048282A" w:rsidP="0048282A">
      <w:pPr>
        <w:contextualSpacing/>
        <w:jc w:val="center"/>
        <w:rPr>
          <w:rFonts w:ascii="Times New Roman" w:hAnsi="Times New Roman" w:cs="Times New Roman"/>
          <w:b/>
          <w:bCs/>
          <w:sz w:val="24"/>
          <w:szCs w:val="24"/>
        </w:rPr>
      </w:pPr>
      <w:r w:rsidRPr="00442034">
        <w:rPr>
          <w:rFonts w:ascii="Times New Roman" w:hAnsi="Times New Roman" w:cs="Times New Roman"/>
          <w:b/>
          <w:bCs/>
          <w:sz w:val="24"/>
          <w:szCs w:val="24"/>
        </w:rPr>
        <w:lastRenderedPageBreak/>
        <w:t>Introduction</w:t>
      </w:r>
    </w:p>
    <w:p w14:paraId="69344E3D" w14:textId="77777777" w:rsidR="0048282A" w:rsidRPr="00442034" w:rsidRDefault="0048282A" w:rsidP="0048282A">
      <w:pPr>
        <w:contextualSpacing/>
        <w:jc w:val="center"/>
        <w:rPr>
          <w:rFonts w:ascii="Times New Roman" w:hAnsi="Times New Roman" w:cs="Times New Roman"/>
          <w:b/>
          <w:bCs/>
          <w:sz w:val="24"/>
          <w:szCs w:val="24"/>
        </w:rPr>
      </w:pPr>
    </w:p>
    <w:p w14:paraId="0A86FCB7" w14:textId="6E29C6A0"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Youth in the child welfare system, particularly lesbian, gay, bisexual, and queer (LGBQ) youth are a particularly vulnerable population understudied in child welfare research, specifically as it pertains to understanding factors and characteristics that promote successful transitions into adulthood. We use the acronym LGBQ for sexual orientation only since there is no variable to capture transgender identity in the dataset used for this analysis. In 2021, Child Protective Services received over 3.9 million referrals for child abuse and neglect impacting nearly 7.2 million children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{"citationID":"zErF9Wo5","properties":{"formattedCitation":"(U.S. Department of Health and Human Services, Administration for Children and Families, Administration on Children, Youth and Families, Children\\uc0\\u8217{}s Bureau 2023)","plainCitation":"(U.S. Department of Health and Human Services, Administration for Children and Families, Administration on Children, Youth and Families, Children’s Bureau 2023)","noteIndex":0},"citationItems":[{"id":527,"uris":["http://zotero.org/users/7501598/items/W8TRN5RX"],"itemData":{"id":527,"type":"webpage","abstract":"This report presents national data about child abuse and neglect known to child protective services agencies in the United States during federal fiscal year 2021.","language":"en","title":"Child Maltreatment 2021","URL":"https://www.acf.hhs.gov/cb/report/child-maltreatment-2021","author":[{"family":"U.S. Department of Health and Human Services, Administration for Children and Families, Administration on Children, Youth and Families, Children's Bureau","given":""}],"accessed":{"date-parts":[["2023",4,19]]},"issued":{"date-parts":[["2023"]]}}}],"schema":"https://github.com/citation-style-language/schema/raw/master/csl-citation.json"}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(U.S. Department of Health and Human Services, Administration for Children and Families, Administration on Children, Youth and Families, Children’s Bureau 2023)</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Because of this intimate involvement in family life, the child welfare system has served as an institution that shapes family life</w:t>
      </w:r>
      <w:r w:rsidR="00831A0B" w:rsidRPr="00442034">
        <w:rPr>
          <w:rFonts w:ascii="Times New Roman" w:hAnsi="Times New Roman" w:cs="Times New Roman"/>
          <w:sz w:val="24"/>
          <w:szCs w:val="24"/>
        </w:rPr>
        <w:t>,</w:t>
      </w:r>
      <w:r w:rsidRPr="00442034">
        <w:rPr>
          <w:rFonts w:ascii="Times New Roman" w:hAnsi="Times New Roman" w:cs="Times New Roman"/>
          <w:sz w:val="24"/>
          <w:szCs w:val="24"/>
        </w:rPr>
        <w:t xml:space="preserve"> yet has received little sociological attention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{"citationID":"nRay8Qp2","properties":{"formattedCitation":"(Reich 2008)","plainCitation":"(Reich 2008)","noteIndex":0},"citationItems":[{"id":546,"uris":["http://zotero.org/users/7501598/items/5BYZ2FLS"],"itemData":{"id":546,"type":"article-journal","abstract":"The child welfare system remains one of the most important welfare institutions in regulating family life and meanings of gender. However, it has largely escaped sociological analysis. This article provides a framework for thinking about the meanings of state intervention in family life and describes the legal and procedural machinations of the system by providing an overview of the history of the system. In doing so, this article elucidates the complex and contradictory mandates the child-protective services system and its actors face and raises several questions or quandaries that remain under-explored and deserving of analytical attention.","container-title":"Sociology Compass","DOI":"10.1111/j.1751-9020.2008.00111.x","ISSN":"1751-9020","issue":"3","language":"en","note":"_eprint: https://onlinelibrary.wiley.com/doi/pdf/10.1111/j.1751-9020.2008.00111.x","page":"888-909","source":"Wiley Online Library","title":"The Child Welfare System and State Intervention in Families: From Historical Patterns to Future Questions","title-short":"The Child Welfare System and State Intervention in Families","volume":"2","author":[{"family":"Reich","given":"Jennifer A."}],"issued":{"date-parts":[["2008"]]}}}],"schema":"https://github.com/citation-style-language/schema/raw/master/csl-citation.json"}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(Reich 2008)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Youth who identify as LGBQ are at even higher risk of child welfare involvement than their heterosexual peers, representing 14% of youth in the child welfare system, though they account for only 8% of the general population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{"citationID":"xAKPlIPg","properties":{"formattedCitation":"(Dettlaff and Washburn 2018; Fish et al. 2019)","plainCitation":"(Dettlaff and Washburn 2018; Fish et al. 2019)","noteIndex":0},"citationItems":[{"id":152,"uris":["http://zotero.org/users/7501598/items/ICVZWQ4R"],"itemData":{"id":152,"type":"article-journal","container-title":"Child abuse &amp; neglect","note":"ISBN: 0145-2134\npublisher: Elsevier","page":"183-193","title":"Lesbian, gay, and bisexual (LGB) youth within in welfare: Prevalence, risk and outcomes","volume":"80","author":[{"family":"Dettlaff","given":"Alan J."},{"family":"Washburn","given":"Micki"}],"issued":{"date-parts":[["2018"]]}}},{"id":150,"uris":["http://zotero.org/users/7501598/items/LFVXHAYH"],"itemData":{"id":150,"type":"article-journal","abstract":"Background\nPreliminary evidence suggests that sexual minority (e.g. lesbian, gay, bisexual, and same-sex attracted) youth are overrepresented in child welfare services. Yet, no study to date has been able to test this hypothesis with national data.\nObjective\nUsing a two-study design, we test whether sexual minority youth are overrepresented in child welfare, foster care, and out-of-home placement using nationally representative data from the United States.\nParticipants and setting\nStudy 1 data are from the National Longitudinal Study of Adolescent to Adult Health (n = 14,154; Mean age = 15.4). Study 2 data are from wave three of the National Survey of Child and Adolescent Well-Being II (n = 1309; Mean age = 15.0).\nMethods\nFor Study 1, we use adjusted logistic regression models to test differences in lifetime foster care involvement between sexual minority and heterosexual youth. In Study 2, we calculate a Disproportionality Representation Index (DRI) – a ratio of sample prevalence relative to the general population – to estimate whether sexual minority youth were overrepresented in child welfare and out-of-home care.\nResults\nStudy 1 results indicate that sexual minority youth are nearly 2.5 times as likely as heterosexual youth to experience foster care placement (aOR = 2.43, 95% CI 1.40, 4.21, p = .002). Results from Study 2 show that sexual minority youth were largely overrepresented in child welfare services (DRI = 1.95–2.48) and out-of-home placement (DRI = 3.69–4.68).\nConclusions\nFindings are the first to demonstrate sexual minority youth’s overrepresentation in child welfare, foster care, and out-of-home placement using nationally representative data and emphasizes the need for focused research on sexual minority youth involved in the child welfare system.","container-title":"Child Abuse &amp; Neglect","DOI":"10.1016/j.chiabu.2019.01.005","ISSN":"0145-2134","journalAbbreviation":"Child Abuse &amp; Neglect","page":"203-211","title":"Are sexual minority youth overrepresented in foster care, child welfare, and out-of-home placement? Findings from nationally representative data","volume":"89","author":[{"family":"Fish","given":"Jessica N."},{"family":"Baams","given":"Laura"},{"family":"Wojciak","given":"Armeda Stevenson"},{"family":"Russell","given":"Stephen T."}],"issued":{"date-parts":[["2019",3,1]]}}}],"schema":"https://github.com/citation-style-language/schema/raw/master/csl-citation.json"}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(Dettlaff and Washburn 2018; Fish et al.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The disproportionality of LGBQ youth in child welfare is likely due to their increased risk of family rejection, abandonment, and higher rates of physical and sexual abuse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{"citationID":"Dir0wz2M","properties":{"formattedCitation":"(Saewyc et al. 2006)","plainCitation":"(Saewyc et al. 2006)","noteIndex":0},"citationItems":[{"id":149,"uris":["http://zotero.org/users/7501598/items/YRQLUBTX"],"itemData":{"id":149,"type":"article-journal","container-title":"Child welfare","issue":"2","note":"ISBN: 0009-4021","title":"Hazards of stigma: the sexual and physical abuse of gay, lesbian, and bisexual adolescents in the United States and Canada.","volume":"85","author":[{"family":"Saewyc","given":"Elizabeth M."},{"family":"Skay","given":"Carol L."},{"family":"Pettingell","given":"Sandra L."},{"family":"Reis","given":"Elizabeth A."},{"family":"Bearinger","given":"Linda"},{"family":"Resnick","given":"Michael"},{"family":"Murphy","given":"Aileen"},{"family":"Combs","given":"Leigh"}],"issued":{"date-parts":[["2006"]]}}}],"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(Saewyc et al. 2006)</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7799A3DC" w14:textId="78808761"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Youth in the child welfare system, almost by definition, are likely to have difficult and strained relationships with their parents and caregivers due to experiences of abuse, neglect, and familial instability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{"citationID":"zO3jpxMT","properties":{"formattedCitation":"(Dickerson et al. 2019)","plainCitation":"(Dickerson et al. 2019)","noteIndex":0},"citationItems":[{"id":537,"uris":["http://zotero.org/users/7501598/items/65X6I76I"],"itemData":{"id":537,"type":"article-journal","abstract":"According to an evolutionary perspective, early environmental unpredictability induces expectations in youth that their future is uncertain and increases their likelihood of engaging in opportunistic, impulsive, and aggressive behaviors. Although considerable evidence supports the links between environmental unpredictability and such behaviors, less is known about how youth growing up in volatile environments actually perceive their lives and how these perceptions relate to their behavior. In this study, two samples of 10–17 year-olds, one with a history of maltreatment and removal from home (n = 90; 52% female; 67% Hispanic-American) and one without (n = 80; 54% female; 69% Hispanic-American), reported on their perceptions of unpredictability and social functioning. Maltreated youth endorsed greater perceptions of unpredictability than non-maltreated youth. For both groups, greater perceptions of unpredictability were associated with increased aggression and conduct problems and decreased prosociality. Findings advance understanding of a developmental pathway contributing to opportunistic and risky social behavior in youth.","container-title":"Journal of Youth and Adolescence","DOI":"10.1007/s10964-019-01052-9","ISSN":"1573-6601","issue":"9","journalAbbreviation":"J Youth Adolescence","language":"en","page":"1754-1764","source":"Springer Link","title":"Early Environmental Unpredictability: Implications for Youth’s Perceptions and Social Functioning","title-short":"Early Environmental Unpredictability","volume":"48","author":[{"family":"Dickerson","given":"Kelli L."},{"family":"Milojevich","given":"Helen M."},{"family":"Quas","given":"Jodi A."}],"issued":{"date-parts":[["2019",9,1]]}}}],"schema":"https://github.com/citation-style-language/schema/raw/master/csl-citation.json"}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sz w:val="24"/>
        </w:rPr>
        <w:t>(Dickerson et al.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r w:rsidRPr="00442034">
        <w:rPr>
          <w:rFonts w:ascii="Times New Roman" w:hAnsi="Times New Roman" w:cs="Times New Roman"/>
          <w:color w:val="FF0000"/>
          <w:sz w:val="24"/>
          <w:szCs w:val="24"/>
        </w:rPr>
        <w:t xml:space="preserve"> </w:t>
      </w:r>
      <w:r w:rsidRPr="00442034">
        <w:rPr>
          <w:rFonts w:ascii="Times New Roman" w:hAnsi="Times New Roman" w:cs="Times New Roman"/>
          <w:sz w:val="24"/>
          <w:szCs w:val="24"/>
        </w:rPr>
        <w:t xml:space="preserve">These experiences can impact youth’s sense of stability and support as well as their development of expectations for their future. For LGBQ youth, family dynamics can be even more strained because of their sexual minority status. If placed in out-of-home care, LGBQ youth often face additional challenges. Research shows they are more likely to spend more time in foster care, age out without a permanent family, have more </w:t>
      </w:r>
      <w:r w:rsidRPr="00442034">
        <w:rPr>
          <w:rFonts w:ascii="Times New Roman" w:hAnsi="Times New Roman" w:cs="Times New Roman"/>
          <w:sz w:val="24"/>
          <w:szCs w:val="24"/>
        </w:rPr>
        <w:lastRenderedPageBreak/>
        <w:t xml:space="preserve">frequent placement changes, and end up in congregate or residential housing more than their heterosexual peers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{"citationID":"1wVbTcRX","properties":{"formattedCitation":"(Schaub, Stander, and Montgomery 2022; Wilson and Kastanis 2015)","plainCitation":"(Schaub, Stander, and Montgomery 2022; Wilson and Kastanis 2015)","noteIndex":0},"citationItems":[{"id":3,"uris":["http://zotero.org/users/7501598/items/WPGD54FF"],"itemData":{"id":3,"type":"article-journal","abstract":"Background and objectives\nThe experiences of lesbian, gay, bisexual, transgender, and queer or questioning (LGBTQ+) youth in foster and residential social care have largely been overlooked in research, practice and policy. This scoping review aims to identify and synthesize the existing empirical research concerning the health and well-being needs of LGBTQ+ youth in care.\nMethods\nFollowing a six-stage approach to scoping reviews, a computerized search was conducted from a total of eight electronic databases: PubMed, Web of Science (Core Collection), Scopus, CINAHL Plus, PsychINFO, Sociological Abstracts, Social Care Online (SCIE), and OpenGrey. Search parameters comprised of three domains (LGBTQ+ status, age, and social care interventions). Data synthesis included thematic analysis, as well as critical appraisal using Critical Appraisal Skills Programme (CASP) criteria. Of the initial 1,962 sources identified, 22 studies met the search and quality criteria and were included in the final review.\nResults\nOverall, the evidence base is limited with most studies originating from the USA (77 % of included papers). The findings indicate that LGBTQ+ youth experience poorer physical and mental health, and also poorer well-being outcomes compared to non-LGBTQ+ youth while in foster and residential social care. Racial or ethnic minority LGBTQ+ youth, lesbian/bisexual girls, and trans and nonbinary youth face particular challenges, and social care systems appear especially ill-equipped to meet the needs of transgender and nonbinary youth.\nConclusion\nWhile the evidence base continues to grow, there remains a need for high quality research including longitudinal and life course studies in various contexts and countries to generate robust empirical evidence in this area. The implications for practice and policy include policy shifts, mandatory and comprehensive competency-based education and training, as well ongoing coaching regarding anti-LGBTQ+ and heteronormative bias within this system.","container-title":"Children and Youth Services Review","DOI":"10.1016/j.childyouth.2022.106682","ISSN":"0190-7409","journalAbbreviation":"Children and Youth Services Review","language":"en","page":"106682","source":"ScienceDirect","title":"LGBTQ+ Young People’s Health and Well-being Experiences in Out-of-home Social Care: A scoping review","title-short":"LGBTQ+ Young People’s Health and Well-being Experiences in Out-of-home Social Care","volume":"143","author":[{"family":"Schaub","given":"Jason"},{"family":"Stander","given":"Willem J."},{"family":"Montgomery","given":"Paul"}],"issued":{"date-parts":[["2022",12,1]]}}},{"id":242,"uris":["http://zotero.org/users/7501598/items/5IKH5KVD"],"itemData":{"id":242,"type":"article-journal","abstract":"Empirical research is needed to support ongoing efforts to improve services for sexual and gender minority youth in foster care. Further, data on the presence of sexual and gender minority youth within the child welfare system are needed to encourage counties that have not yet begun to engage in any efforts to address the unique needs and barriers to permanency for these youth. The current study reports on the ﬁndings of the Los Angeles Foster Youth Survey (LAFYS) which was designed to assess the proportion of youth placed in the Los Angeles County public child welfare system who are LGBTQ and to examine their experiences in communities, schools, and foster care. Findings indicate that approximately 19% of Los Angeles foster youth are LGBTQ. This proportion of youth is signiﬁcantly higher than estimates of adolescent and young adult sexual and gender minority identiﬁcation rates in the general population. Further, analyses also indicate that sexual and gender minority youth in this study are less satisﬁed with their child welfare system experience, are more likely to experience homelessness, are moved around to more placements, and are experiencing higher levels of emotional distress compared to their nonLGBTQ counterparts.","container-title":"Children and Youth Services Review","DOI":"10.1016/j.childyouth.2015.08.016","ISSN":"01907409","journalAbbreviation":"Children and Youth Services Review","language":"en","page":"11-17","source":"DOI.org (Crossref)","title":"Sexual and gender minority disproportionality and disparities in child welfare: A population-based study","title-short":"Sexual and gender minority disproportionality and disparities in child welfare","volume":"58","author":[{"family":"Wilson","given":"Bianca D.M."},{"family":"Kastanis","given":"Angeliki A."}],"issued":{"date-parts":[["2015",11]]}}}],"schema":"https://github.com/citation-style-language/schema/raw/master/csl-citation.json"}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(Schaub, Stander, and Montgomery 2022; Wilson and Kastanis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These experiences of maltreatment coupled with this family instability, as well as discrimination as a result of their identity, may more negatively impact life course outcomes for LGBQ youth and shape their expectations for their future as they transition into adulthood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{"citationID":"e1yLCSKz","properties":{"formattedCitation":"(Brumley et al. 2017; Shpiegel and Simmel 2016)","plainCitation":"(Brumley et al. 2017; Shpiegel and Simmel 2016)","noteIndex":0},"citationItems":[{"id":60,"uris":["http://zotero.org/users/7501598/items/UPKPIBIY"],"itemData":{"id":60,"type":"article-journal","abstract":"Adverse childhood experiences and pessimistic future expectations about college attendance or mortality are established risk factors for problem behaviors among youth. Data were from the National Longitudinal Study of Adolescent to Adult Health (N = 14,800; 49 % female). Participants were 11–17-years-old at baseline and 24–32-years-old at outcome. Adolescents’ college expectations and fatalistic expectations mediated the effect of childhood adversity on violent behavior in young adulthood. Neither college nor fatalistic expectations were significant mediators in models predicting substance use and nonviolent antisocial behaviors. Although observed mediational effect sizes were small, they survived models that included multiple controls designed to rule-out alternative explanations. Intervening on adversity-exposed adolescents’ college and fatalistic expectations may reduce risk for violent behaviors.","container-title":"Journal of Youth and Adolescence","DOI":"10.1007/s10964-016-0597-9","ISSN":"1573-6601","issue":"1","journalAbbreviation":"J Youth Adolescence","language":"en","page":"1-14","source":"Springer Link","title":"Pathways from Childhood Adversity to Problem Behaviors in Young Adulthood: The Mediating Role of Adolescents’ Future Expectations","title-short":"Pathways from Childhood Adversity to Problem Behaviors in Young Adulthood","volume":"46","author":[{"family":"Brumley","given":"Lauren D."},{"family":"Jaffee","given":"Sara R."},{"family":"Brumley","given":"Benjamin P."}],"issued":{"date-parts":[["2017",1,1]]}}},{"id":297,"uris":["http://zotero.org/users/7501598/items/AS5DZ8CF"],"itemData":{"id":297,"type":"article-journal","abstract":"The heterogeneity of youth emancipating from the foster care system makes it difficult to establish the extent to which their functional outcomes are equivalent across different subgroups. In the present study, we use secondary data from the Multi Site Evaluation of Foster Youth Programs (MSEYP) to explore the challenges faced by sexual minority youths in comparison to their heterosexual peers. We focus on measurements of key independent living outcomes at age 19 to obtain a broad picture of how sexual minority youth fare during the period of transition to adulthood. Bivariate results indicate that the deficits for sexual minority youth are noteworthy across all categories of functional outcomes (i.e. education, employment, homelessness and financial stability). Furthermore, results from binary logistic regression models indicate that sexual orientation was associated with each category of functional outcomes, even when controlling for demographics and child welfare history factors. Findings suggest that sexual minority youth leaving foster care are particularly vulnerable to negative outcomes and may require more intensive supports during the period of transition to adulthood. Implications for practice and future research are discussed.","container-title":"Children and Youth Services Review","DOI":"10.1016/j.childyouth.2015.12.012","ISSN":"0190-7409","journalAbbreviation":"Children and Youth Services Review","language":"en","page":"101-108","source":"ScienceDirect","title":"Functional outcomes among sexual minority youth emancipating from the child welfare system","volume":"61","author":[{"family":"Shpiegel","given":"Svetlana"},{"family":"Simmel","given":"Cassandra"}],"issued":{"date-parts":[["2016",2,1]]}}}],"schema":"https://github.com/citation-style-language/schema/raw/master/csl-citation.json"}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sz w:val="24"/>
        </w:rPr>
        <w:t>(Brumley et al. 2017; Shpiegel and Simmel 2016)</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The field needs a better understanding of these experiences and their impact to advocate for and develop more support.</w:t>
      </w:r>
    </w:p>
    <w:p w14:paraId="5C3035A4" w14:textId="47FC6457"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Research in sociology has studied youth aspirations and future expectations in the general population. However, hardly any sociological research has examined this for youth involved with the child welfare system, and no research to our knowledge has focused on future expectations for LGBQ youth. Future expectations refer to how individuals perceive their future aspirations and possibilities, and these expectations represent potential mechanisms for promoting healthy development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{"citationID":"IC59OdWE","properties":{"formattedCitation":"(Prince et al. 2019)","plainCitation":"(Prince et al. 2019)","noteIndex":0},"citationItems":[{"id":66,"uris":["http://zotero.org/users/7501598/items/37X7NPEV"],"itemData":{"id":66,"type":"article-journal","abstract":"We examined the reciprocal relationships among positive future expectations, expected threats to future safety, depression, and individual substance use and delinquency using 4 waves of data (N = 248-338) from African American and Latino adolescent male participants in the Chicago Youth Development Study. Individual positive future expectations and expected threats to safety were assessed at each wave and modeled as latent constructs. Individual substance use and delinquency were assessed at each wave and represented as ordinal variables ranging from low to high. Categorical autoregressive cross-lagged structural models were used to examine the hypothesized reciprocal relationships between both aspects of future expectations construct and risk behavior across adolescence. Analyses show that future expectations has important effects on youth substance use and involvement in delinquency, both of which in turn decrease positive expectations and increase expectation of threats to future safety across adolescence. Similarly, low positive expectations for the future continued to predict increased substance use and involvement in delinquency. The expected threats to safety construct was significantly correlated with delinquency within time. These effects are observed across adolescence after controlling for youth depression and race. Findings support the reciprocal effects hypothesis of a negative reinforcing cycle in the relationships between future expectations and both substance use and involvement in delinquent behavior across adolescence. The enduring nature of these relationships underscores the importance of future expectation as a potential change mechanism for intervention and prevention efforts to promote healthy development; vulnerable racial and ethnic minority male adolescents may especially benefit from such intervention.","container-title":"Journal of Clinical Child &amp; Adolescent Psychology","DOI":"10.1080/15374416.2016.1197835","ISSN":"15374416","issue":"1","note":"publisher: Taylor &amp; Francis Ltd","page":"54-67","source":"EBSCOhost","title":"Reciprocal Effects of Positive Future Expectations, Threats to Safety, and Risk Behavior Across Adolescence","volume":"48","author":[{"family":"Prince","given":"Dana M."},{"family":"Epstein","given":"Marina"},{"family":"Nurius","given":"Paula S."},{"family":"Gorman-Smith","given":"Deborah"},{"family":"Henry","given":"David B."}],"issued":{"date-parts":[["2019",2,1]]}}}],"schema":"https://github.com/citation-style-language/schema/raw/master/csl-citation.json"}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(Prince et al.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r w:rsidR="00B83509">
        <w:rPr>
          <w:rFonts w:ascii="Times New Roman" w:hAnsi="Times New Roman" w:cs="Times New Roman"/>
          <w:sz w:val="24"/>
          <w:szCs w:val="24"/>
        </w:rPr>
        <w:t xml:space="preserve">Expectations for adulthood are shaped by the culture in which we live and achieving certain normative milestones is often </w:t>
      </w:r>
      <w:r w:rsidR="00757A06">
        <w:rPr>
          <w:rFonts w:ascii="Times New Roman" w:hAnsi="Times New Roman" w:cs="Times New Roman"/>
          <w:sz w:val="24"/>
          <w:szCs w:val="24"/>
        </w:rPr>
        <w:t xml:space="preserve">seen as </w:t>
      </w:r>
      <w:r w:rsidR="00B83509">
        <w:rPr>
          <w:rFonts w:ascii="Times New Roman" w:hAnsi="Times New Roman" w:cs="Times New Roman"/>
          <w:sz w:val="24"/>
          <w:szCs w:val="24"/>
        </w:rPr>
        <w:t xml:space="preserve">a measure of </w:t>
      </w:r>
      <w:r w:rsidR="00757A06">
        <w:rPr>
          <w:rFonts w:ascii="Times New Roman" w:hAnsi="Times New Roman" w:cs="Times New Roman"/>
          <w:sz w:val="24"/>
          <w:szCs w:val="24"/>
        </w:rPr>
        <w:t xml:space="preserve">success. </w:t>
      </w:r>
      <w:r w:rsidRPr="00442034">
        <w:rPr>
          <w:rFonts w:ascii="Times New Roman" w:hAnsi="Times New Roman" w:cs="Times New Roman"/>
          <w:sz w:val="24"/>
          <w:szCs w:val="24"/>
        </w:rPr>
        <w:t xml:space="preserve">We examine what youth expect to happen in their future and how the support they receive from family and peers may shape these expectations for marriage, family, and mortality. These questions are critically important because the family lives of youth in the child welfare system are characterized by instability and childhood adversity that shape their future life trajectories, often in ways that hinder their social competence and can lead to negative health and well-being outcomes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{"citationID":"iuBsnrux","properties":{"formattedCitation":"(Brumley et al. 2017; Dickerson et al. 2019)","plainCitation":"(Brumley et al. 2017; Dickerson et al. 2019)","noteIndex":0},"citationItems":[{"id":60,"uris":["http://zotero.org/users/7501598/items/UPKPIBIY"],"itemData":{"id":60,"type":"article-journal","abstract":"Adverse childhood experiences and pessimistic future expectations about college attendance or mortality are established risk factors for problem behaviors among youth. Data were from the National Longitudinal Study of Adolescent to Adult Health (N = 14,800; 49 % female). Participants were 11–17-years-old at baseline and 24–32-years-old at outcome. Adolescents’ college expectations and fatalistic expectations mediated the effect of childhood adversity on violent behavior in young adulthood. Neither college nor fatalistic expectations were significant mediators in models predicting substance use and nonviolent antisocial behaviors. Although observed mediational effect sizes were small, they survived models that included multiple controls designed to rule-out alternative explanations. Intervening on adversity-exposed adolescents’ college and fatalistic expectations may reduce risk for violent behaviors.","container-title":"Journal of Youth and Adolescence","DOI":"10.1007/s10964-016-0597-9","ISSN":"1573-6601","issue":"1","journalAbbreviation":"J Youth Adolescence","language":"en","page":"1-14","source":"Springer Link","title":"Pathways from Childhood Adversity to Problem Behaviors in Young Adulthood: The Mediating Role of Adolescents’ Future Expectations","title-short":"Pathways from Childhood Adversity to Problem Behaviors in Young Adulthood","volume":"46","author":[{"family":"Brumley","given":"Lauren D."},{"family":"Jaffee","given":"Sara R."},{"family":"Brumley","given":"Benjamin P."}],"issued":{"date-parts":[["2017",1,1]]}}},{"id":537,"uris":["http://zotero.org/users/7501598/items/65X6I76I"],"itemData":{"id":537,"type":"article-journal","abstract":"According to an evolutionary perspective, early environmental unpredictability induces expectations in youth that their future is uncertain and increases their likelihood of engaging in opportunistic, impulsive, and aggressive behaviors. Although considerable evidence supports the links between environmental unpredictability and such behaviors, less is known about how youth growing up in volatile environments actually perceive their lives and how these perceptions relate to their behavior. In this study, two samples of 10–17 year-olds, one with a history of maltreatment and removal from home (n = 90; 52% female; 67% Hispanic-American) and one without (n = 80; 54% female; 69% Hispanic-American), reported on their perceptions of unpredictability and social functioning. Maltreated youth endorsed greater perceptions of unpredictability than non-maltreated youth. For both groups, greater perceptions of unpredictability were associated with increased aggression and conduct problems and decreased prosociality. Findings advance understanding of a developmental pathway contributing to opportunistic and risky social behavior in youth.","container-title":"Journal of Youth and Adolescence","DOI":"10.1007/s10964-019-01052-9","ISSN":"1573-6601","issue":"9","journalAbbreviation":"J Youth Adolescence","language":"en","page":"1754-1764","source":"Springer Link","title":"Early Environmental Unpredictability: Implications for Youth’s Perceptions and Social Functioning","title-short":"Early Environmental Unpredictability","volume":"48","author":[{"family":"Dickerson","given":"Kelli L."},{"family":"Milojevich","given":"Helen M."},{"family":"Quas","given":"Jodi A."}],"issued":{"date-parts":[["2019",9,1]]}}}],"schema":"https://github.com/citation-style-language/schema/raw/master/csl-citation.json"}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(Brumley et al. 2017; Dickerson et al.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However, little research has focused on the characteristics that shape these expectations and whether protective factors such as social support influence youth’s goals and ambitions.</w:t>
      </w:r>
    </w:p>
    <w:p w14:paraId="4086C50C" w14:textId="317F622E"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lastRenderedPageBreak/>
        <w:t xml:space="preserve">This paper examines how LGBQ status influences future expectations for </w:t>
      </w:r>
      <w:r w:rsidR="00C21100" w:rsidRPr="00442034">
        <w:rPr>
          <w:rFonts w:ascii="Times New Roman" w:hAnsi="Times New Roman" w:cs="Times New Roman"/>
          <w:sz w:val="24"/>
          <w:szCs w:val="24"/>
        </w:rPr>
        <w:t xml:space="preserve">marriage, family, and mortality </w:t>
      </w:r>
      <w:r w:rsidRPr="00442034">
        <w:rPr>
          <w:rFonts w:ascii="Times New Roman" w:hAnsi="Times New Roman" w:cs="Times New Roman"/>
          <w:sz w:val="24"/>
          <w:szCs w:val="24"/>
        </w:rPr>
        <w:t>during their transition into adulthood</w:t>
      </w:r>
      <w:r w:rsidR="00F87B9A">
        <w:rPr>
          <w:rFonts w:ascii="Times New Roman" w:hAnsi="Times New Roman" w:cs="Times New Roman"/>
          <w:sz w:val="24"/>
          <w:szCs w:val="24"/>
        </w:rPr>
        <w:t xml:space="preserve"> </w:t>
      </w:r>
      <w:r w:rsidRPr="00442034">
        <w:rPr>
          <w:rFonts w:ascii="Times New Roman" w:hAnsi="Times New Roman" w:cs="Times New Roman"/>
          <w:sz w:val="24"/>
          <w:szCs w:val="24"/>
        </w:rPr>
        <w:t xml:space="preserve">among youth in the child welfare system and how the support they receive from caregivers and peers moderates these future expectations. Using the second National Survey of Child and Adolescent Well-Being, we pose two research questions: First, how do the future expectations of LGBQ youth involved in the child welfare system </w:t>
      </w:r>
      <w:proofErr w:type="gramStart"/>
      <w:r w:rsidRPr="00442034">
        <w:rPr>
          <w:rFonts w:ascii="Times New Roman" w:hAnsi="Times New Roman" w:cs="Times New Roman"/>
          <w:sz w:val="24"/>
          <w:szCs w:val="24"/>
        </w:rPr>
        <w:t>compare</w:t>
      </w:r>
      <w:proofErr w:type="gramEnd"/>
      <w:r w:rsidRPr="00442034">
        <w:rPr>
          <w:rFonts w:ascii="Times New Roman" w:hAnsi="Times New Roman" w:cs="Times New Roman"/>
          <w:sz w:val="24"/>
          <w:szCs w:val="24"/>
        </w:rPr>
        <w:t xml:space="preserve"> to their heterosexual peers? Second, does social support from caregivers and peers </w:t>
      </w:r>
      <w:r w:rsidR="00673F00">
        <w:rPr>
          <w:rFonts w:ascii="Times New Roman" w:hAnsi="Times New Roman" w:cs="Times New Roman"/>
          <w:sz w:val="24"/>
          <w:szCs w:val="24"/>
        </w:rPr>
        <w:t xml:space="preserve">moderate or </w:t>
      </w:r>
      <w:r w:rsidR="00591DF0">
        <w:rPr>
          <w:rFonts w:ascii="Times New Roman" w:hAnsi="Times New Roman" w:cs="Times New Roman"/>
          <w:sz w:val="24"/>
          <w:szCs w:val="24"/>
        </w:rPr>
        <w:t>shape</w:t>
      </w:r>
      <w:r w:rsidR="00591DF0" w:rsidRPr="00442034">
        <w:rPr>
          <w:rFonts w:ascii="Times New Roman" w:hAnsi="Times New Roman" w:cs="Times New Roman"/>
          <w:sz w:val="24"/>
          <w:szCs w:val="24"/>
        </w:rPr>
        <w:t xml:space="preserve"> </w:t>
      </w:r>
      <w:r w:rsidRPr="00442034">
        <w:rPr>
          <w:rFonts w:ascii="Times New Roman" w:hAnsi="Times New Roman" w:cs="Times New Roman"/>
          <w:sz w:val="24"/>
          <w:szCs w:val="24"/>
        </w:rPr>
        <w:t>the</w:t>
      </w:r>
      <w:r w:rsidR="004C40E4">
        <w:rPr>
          <w:rFonts w:ascii="Times New Roman" w:hAnsi="Times New Roman" w:cs="Times New Roman"/>
          <w:sz w:val="24"/>
          <w:szCs w:val="24"/>
        </w:rPr>
        <w:t xml:space="preserve"> relationship between </w:t>
      </w:r>
      <w:r w:rsidRPr="00442034">
        <w:rPr>
          <w:rFonts w:ascii="Times New Roman" w:hAnsi="Times New Roman" w:cs="Times New Roman"/>
          <w:sz w:val="24"/>
          <w:szCs w:val="24"/>
        </w:rPr>
        <w:t xml:space="preserve">future expectations </w:t>
      </w:r>
      <w:r w:rsidR="004C40E4">
        <w:rPr>
          <w:rFonts w:ascii="Times New Roman" w:hAnsi="Times New Roman" w:cs="Times New Roman"/>
          <w:sz w:val="24"/>
          <w:szCs w:val="24"/>
        </w:rPr>
        <w:t xml:space="preserve">and </w:t>
      </w:r>
      <w:r w:rsidRPr="00442034">
        <w:rPr>
          <w:rFonts w:ascii="Times New Roman" w:hAnsi="Times New Roman" w:cs="Times New Roman"/>
          <w:sz w:val="24"/>
          <w:szCs w:val="24"/>
        </w:rPr>
        <w:t xml:space="preserve">LGBQ </w:t>
      </w:r>
      <w:r w:rsidR="004C40E4">
        <w:rPr>
          <w:rFonts w:ascii="Times New Roman" w:hAnsi="Times New Roman" w:cs="Times New Roman"/>
          <w:sz w:val="24"/>
          <w:szCs w:val="24"/>
        </w:rPr>
        <w:t>status</w:t>
      </w:r>
      <w:r w:rsidRPr="00442034">
        <w:rPr>
          <w:rFonts w:ascii="Times New Roman" w:hAnsi="Times New Roman" w:cs="Times New Roman"/>
          <w:sz w:val="24"/>
          <w:szCs w:val="24"/>
        </w:rPr>
        <w:t>? The results of this proposed study will inform policies and programs aimed at interventions for youth in child welfare, particularly LGBQ youth.</w:t>
      </w:r>
    </w:p>
    <w:p w14:paraId="0D42297D" w14:textId="77777777" w:rsidR="0048282A" w:rsidRPr="00442034" w:rsidRDefault="0048282A" w:rsidP="00C37F60">
      <w:pPr>
        <w:spacing w:line="480" w:lineRule="auto"/>
        <w:contextualSpacing/>
        <w:jc w:val="center"/>
        <w:rPr>
          <w:rFonts w:ascii="Times New Roman" w:hAnsi="Times New Roman" w:cs="Times New Roman"/>
          <w:b/>
          <w:bCs/>
          <w:sz w:val="24"/>
          <w:szCs w:val="24"/>
        </w:rPr>
      </w:pPr>
      <w:r w:rsidRPr="00442034">
        <w:rPr>
          <w:rFonts w:ascii="Times New Roman" w:hAnsi="Times New Roman" w:cs="Times New Roman"/>
          <w:b/>
          <w:bCs/>
          <w:sz w:val="24"/>
          <w:szCs w:val="24"/>
        </w:rPr>
        <w:t>Literature Review</w:t>
      </w:r>
    </w:p>
    <w:p w14:paraId="3E3E68DE" w14:textId="77777777" w:rsidR="0048282A" w:rsidRPr="00442034" w:rsidRDefault="0048282A" w:rsidP="00C37F60">
      <w:pPr>
        <w:spacing w:line="480" w:lineRule="auto"/>
        <w:contextualSpacing/>
        <w:rPr>
          <w:rFonts w:ascii="Times New Roman" w:hAnsi="Times New Roman" w:cs="Times New Roman"/>
          <w:b/>
          <w:bCs/>
          <w:i/>
          <w:iCs/>
          <w:sz w:val="24"/>
          <w:szCs w:val="24"/>
        </w:rPr>
      </w:pPr>
      <w:r w:rsidRPr="00442034">
        <w:rPr>
          <w:rFonts w:ascii="Times New Roman" w:hAnsi="Times New Roman" w:cs="Times New Roman"/>
          <w:b/>
          <w:bCs/>
          <w:i/>
          <w:iCs/>
          <w:sz w:val="24"/>
          <w:szCs w:val="24"/>
        </w:rPr>
        <w:t>Future Expectations and Social-Ecological Development</w:t>
      </w:r>
    </w:p>
    <w:p w14:paraId="7B49D8EC" w14:textId="0529BE2F" w:rsidR="0048282A" w:rsidRPr="00442034" w:rsidRDefault="0048282A" w:rsidP="006978C5">
      <w:pPr>
        <w:spacing w:line="480" w:lineRule="auto"/>
        <w:contextualSpacing/>
        <w:rPr>
          <w:rFonts w:ascii="Times New Roman" w:hAnsi="Times New Roman" w:cs="Times New Roman"/>
          <w:sz w:val="24"/>
          <w:szCs w:val="24"/>
        </w:rPr>
      </w:pPr>
      <w:r w:rsidRPr="00442034">
        <w:rPr>
          <w:rFonts w:ascii="Times New Roman" w:hAnsi="Times New Roman" w:cs="Times New Roman"/>
          <w:b/>
          <w:bCs/>
          <w:sz w:val="24"/>
          <w:szCs w:val="24"/>
        </w:rPr>
        <w:tab/>
      </w:r>
      <w:r w:rsidRPr="00442034">
        <w:rPr>
          <w:rFonts w:ascii="Times New Roman" w:hAnsi="Times New Roman" w:cs="Times New Roman"/>
          <w:sz w:val="24"/>
          <w:szCs w:val="24"/>
        </w:rPr>
        <w:t xml:space="preserve">Adolescence is a time of growth and development in which youth begin to orient themselves to their future goals and events (Jámbori and Sallay 2003). As such, expectations for their future develop as part of their sociocultural environment, including their family and friends. Future expectations are defined as the belief or expectancy that a specific event is likely to occur in the future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{"citationID":"gW9zY8Qu","properties":{"formattedCitation":"(Sipsma et al. 2012)","plainCitation":"(Sipsma et al. 2012)","noteIndex":0},"citationItems":[{"id":547,"uris":["http://zotero.org/users/7501598/items/XEFBJZFM"],"itemData":{"id":547,"type":"article-journal","abstract":"Future expectations have been important predictors of adolescent development and behavior. Its measurement, however, has largely focused on single dimensions and misses potentially important components. This analysis investigates whether an empirically-driven, multidimensional approach to conceptualizing future expectations can substantively contribute to our understanding of adolescent risk behavior. We use data from the National Longitudinal Survey of Youth 1997 to derive subpopulations of adolescents based on their future expectations with latent class analysis. Multinomial regression then determines which covariates from Bronfenbrenner's ecological systems theory are associated with class membership. After modeling these covariates, we examine whether future expectations is associated with delinquency, substance use, and sexual experience. Our analysis suggests the emergence of four distinct classes labeled the Student Expectations, Student/Drinking Expectations, Victim Expectations, and Drinking/Arrest Expectations classes according to their indicator profiles. These classes differ with respect to covariates associated with membership; furthermore, they are all statistically and differentially associated with at least one adolescent risk behavior. This analysis demonstrates the additional benefit derived from using this multidimensional approach for studying future expectations. Further research is needed to investigate its stability and role in predicting adolescent risk behavior over time.","container-title":"American Journal of Community Psychology","DOI":"10.1007/s10464-011-9487-1","ISSN":"1573-2770","issue":"1-2","language":"en","note":"_eprint: https://onlinelibrary.wiley.com/doi/pdf/10.1007/s10464-011-9487-1","page":"169-181","source":"Wiley Online Library","title":"Future Expectations Among Adolescents: A Latent Class Analysis","title-short":"Future Expectations Among Adolescents","volume":"50","author":[{"family":"Sipsma","given":"Heather L."},{"family":"Ickovics","given":"Jeannette R."},{"family":"Lin","given":"Haiqun"},{"family":"Kershaw","given":"Trace S."}],"issued":{"date-parts":[["2012"]]}}}],"schema":"https://github.com/citation-style-language/schema/raw/master/csl-citation.json"}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(Sipsma et al. 2012)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Negative future expectations have been linked to poor health outcomes and risky behaviors such as substance use, aggression, and impulsivity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{"citationID":"PkymYtQj","properties":{"formattedCitation":"(Dickerson et al. 2019; Haller\\uc0\\u246{}d 2011)","plainCitation":"(Dickerson et al. 2019; Halleröd 2011)","noteIndex":0},"citationItems":[{"id":537,"uris":["http://zotero.org/users/7501598/items/65X6I76I"],"itemData":{"id":537,"type":"article-journal","abstract":"According to an evolutionary perspective, early environmental unpredictability induces expectations in youth that their future is uncertain and increases their likelihood of engaging in opportunistic, impulsive, and aggressive behaviors. Although considerable evidence supports the links between environmental unpredictability and such behaviors, less is known about how youth growing up in volatile environments actually perceive their lives and how these perceptions relate to their behavior. In this study, two samples of 10–17 year-olds, one with a history of maltreatment and removal from home (n = 90; 52% female; 67% Hispanic-American) and one without (n = 80; 54% female; 69% Hispanic-American), reported on their perceptions of unpredictability and social functioning. Maltreated youth endorsed greater perceptions of unpredictability than non-maltreated youth. For both groups, greater perceptions of unpredictability were associated with increased aggression and conduct problems and decreased prosociality. Findings advance understanding of a developmental pathway contributing to opportunistic and risky social behavior in youth.","container-title":"Journal of Youth and Adolescence","DOI":"10.1007/s10964-019-01052-9","ISSN":"1573-6601","issue":"9","journalAbbreviation":"J Youth Adolescence","language":"en","page":"1754-1764","source":"Springer Link","title":"Early Environmental Unpredictability: Implications for Youth’s Perceptions and Social Functioning","title-short":"Early Environmental Unpredictability","volume":"48","author":[{"family":"Dickerson","given":"Kelli L."},{"family":"Milojevich","given":"Helen M."},{"family":"Quas","given":"Jodi A."}],"issued":{"date-parts":[["2019",9,1]]}}},{"id":61,"uris":["http://zotero.org/users/7501598/items/5IJNL9GA"],"itemData":{"id":61,"type":"article-journal","abstract":"Are children's statements about their futures related to outcomes in middle age? In 1966 almost 13,500 children ages 12–13 were asked whether they thought their futures would be worse, similar or better as compared to others of their own age. It was shown that children with low, and surprisingly high, expectations did suffer from increased mortality, economic hardship and weak labor market attachment risks in middle age. Although it cannot be ruled out that expectations worked as self-fulfilling prophesies, the analyses showed that expectations essentially reflected facts known to the children (i.e., upbringing conditions and their own abilities and achievements).","container-title":"Social Forces","DOI":"10.1093/sf/90.1.65","ISSN":"00377732","issue":"1","note":"publisher: Oxford University Press / USA","page":"65-83","source":"EBSCOhost","title":"What Do Children Know About Their Futures: Do Children's Expectations Predict Outcomes in Middle Age?","title-short":"What Do Children Know About Their Futures","volume":"90","author":[{"family":"Halleröd","given":"Björn"}],"issued":{"date-parts":[["2011",9]]}}}],"schema":"https://github.com/citation-style-language/schema/raw/master/csl-citation.json"}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(Dickerson et al. 2019; Halleröd 2011)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Alternatively, Wyman et al (1993) found that positive future expectations can promote resiliency as well as improved social and emotional development, particularly for minority and low-income youth. Even if these expectations are not achieved, there are no negative impacts on the youth’s mental health according to some research, suggesting that high expectations should be fostered among all youth</w:t>
      </w:r>
      <w:r w:rsidR="005116C2">
        <w:rPr>
          <w:rFonts w:ascii="Times New Roman" w:hAnsi="Times New Roman" w:cs="Times New Roman"/>
          <w:sz w:val="24"/>
          <w:szCs w:val="24"/>
        </w:rPr>
        <w:t xml:space="preserve"> to promote resiliency</w:t>
      </w:r>
      <w:r w:rsidR="00BB782E">
        <w:rPr>
          <w:rFonts w:ascii="Times New Roman" w:hAnsi="Times New Roman" w:cs="Times New Roman"/>
          <w:sz w:val="24"/>
          <w:szCs w:val="24"/>
        </w:rPr>
        <w:t>,</w:t>
      </w:r>
      <w:r w:rsidRPr="00442034">
        <w:rPr>
          <w:rFonts w:ascii="Times New Roman" w:hAnsi="Times New Roman" w:cs="Times New Roman"/>
          <w:sz w:val="24"/>
          <w:szCs w:val="24"/>
        </w:rPr>
        <w:t xml:space="preserve"> whether or not it contributes to the attainment of these expectations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{"citationID":"3wn55xeC","properties":{"formattedCitation":"(Reynolds and Baird 2010)","plainCitation":"(Reynolds and Baird 2010)","noteIndex":0},"citationItems":[{"id":516,"uris":["http://zotero.org/users/7501598/items/8LT8KMQ6"],"itemData":{"id":516,"type":"article-journal","abstract":"Despite decades of research on the benefits of educational expectations, researchers have failed to show that unrealized plans are consequential for mental health, as self-discrepancy and other social psychological theories would predict. This article uses two national longitudinal studies of youth to test whether unrealized educational expectations are associated with depression in adulthood. Negative binomial regression analyses show that unmet expectations are associated with a greater risk of depression among young adults who share similar educational expectations. The apparent consequences of aiming high and falling short result, however, from lower attainment, not the gap between plans and attainment. Results indicate almost no long-term emotional costs of ‘‘shooting for the stars’’ rather than planning for the probable, once educational attainment is taken into account. This lack of association also holds after accounting for early mental health, the magnitude of the shortfall, the stability of expectations, and college-related resources, and it is robust across two distinct cohorts of high school students. We develop a theory of ‘‘adaptive resilience’’ to account for these findings and, because aiming high and failing are not consequential for mental health, conclude that society should not dissuade unpromising students from dreams of college.","container-title":"American Sociological Review","DOI":"10.1177/0003122409357064","ISSN":"0003-1224, 1939-8271","issue":"1","journalAbbreviation":"Am Sociol Rev","language":"en","page":"151-172","source":"Semantic Scholar","title":"Is There a Downside to Shooting for the Stars? Unrealized Educational Expectations and Symptoms of Depression","title-short":"Is There a Downside to Shooting for the Stars?","volume":"75","author":[{"family":"Reynolds","given":"John R."},{"family":"Baird","given":"Chardie L."}],"issued":{"date-parts":[["2010",2]]}}}],"schema":"https://github.com/citation-style-language/schema/raw/master/csl-citation.json"}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(Reynolds and Baird 2010)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r w:rsidR="00BB782E">
        <w:rPr>
          <w:rFonts w:ascii="Times New Roman" w:hAnsi="Times New Roman" w:cs="Times New Roman"/>
          <w:sz w:val="24"/>
          <w:szCs w:val="24"/>
        </w:rPr>
        <w:lastRenderedPageBreak/>
        <w:t>Building resiliency among marginalized populations</w:t>
      </w:r>
      <w:r w:rsidR="00420335">
        <w:rPr>
          <w:rFonts w:ascii="Times New Roman" w:hAnsi="Times New Roman" w:cs="Times New Roman"/>
          <w:sz w:val="24"/>
          <w:szCs w:val="24"/>
        </w:rPr>
        <w:t xml:space="preserve"> especially</w:t>
      </w:r>
      <w:r w:rsidR="00BB782E" w:rsidRPr="00442034">
        <w:rPr>
          <w:rFonts w:ascii="Times New Roman" w:hAnsi="Times New Roman" w:cs="Times New Roman"/>
          <w:sz w:val="24"/>
          <w:szCs w:val="24"/>
        </w:rPr>
        <w:t xml:space="preserve"> is crucial as </w:t>
      </w:r>
      <w:r w:rsidR="00BB782E">
        <w:rPr>
          <w:rFonts w:ascii="Times New Roman" w:hAnsi="Times New Roman" w:cs="Times New Roman"/>
          <w:sz w:val="24"/>
          <w:szCs w:val="24"/>
        </w:rPr>
        <w:t>they</w:t>
      </w:r>
      <w:r w:rsidR="00BB782E" w:rsidRPr="00442034">
        <w:rPr>
          <w:rFonts w:ascii="Times New Roman" w:hAnsi="Times New Roman" w:cs="Times New Roman"/>
          <w:sz w:val="24"/>
          <w:szCs w:val="24"/>
        </w:rPr>
        <w:t xml:space="preserve"> are often disproportionately represented in the child welfare system </w:t>
      </w:r>
      <w:r w:rsidR="00BB782E"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{"citationID":"Q1GZoOPg","properties":{"formattedCitation":"(Dettlaff and Boyd 2020)","plainCitation":"(Dettlaff and Boyd 2020)","noteIndex":0},"citationItems":[{"id":682,"uris":["http://zotero.org/users/7501598/items/PYERLVMU"],"itemData":{"id":682,"type":"article-journal","abstract":"Children of color are overrepresented in the child welfare system, and Black children have been most significantly impacted by this racial disproportionality. Racial disproportionality in child welfare exists because of influences that are both external to child welfare systems and part of the child welfare system. We summarize the causes of racial disproportionality, arguing that internal and external causes of disproportional involvement originate from a common underlying factor: structural and institutional racism that is both within child welfare systems and part of society at large. Further, we review options for addressing racial disproportionality, arguing that it needs to be rectified because of the harm it causes Black children and families and that forcible separation of children from their parents can no longer be viewed as an acceptable form of intervention for families in need.","container-title":"The ANNALS of the American Academy of Political and Social Science","DOI":"10.1177/0002716220980329","ISSN":"0002-7162","issue":"1","language":"en","note":"publisher: SAGE Publications Inc","page":"253-274","source":"SAGE Journals","title":"Racial Disproportionality and Disparities in the Child Welfare System: Why Do They Exist, and What Can Be Done to Address Them?","title-short":"Racial Disproportionality and Disparities in the Child Welfare System","volume":"692","author":[{"family":"Dettlaff","given":"Alan J."},{"family":"Boyd","given":"Reiko"}],"issued":{"date-parts":[["2020",11,1]]}}}],"schema":"https://github.com/citation-style-language/schema/raw/master/csl-citation.json"} </w:instrText>
      </w:r>
      <w:r w:rsidR="00BB782E" w:rsidRPr="00442034">
        <w:rPr>
          <w:rFonts w:ascii="Times New Roman" w:hAnsi="Times New Roman" w:cs="Times New Roman"/>
          <w:sz w:val="24"/>
          <w:szCs w:val="24"/>
        </w:rPr>
        <w:fldChar w:fldCharType="separate"/>
      </w:r>
      <w:r w:rsidR="00BB782E" w:rsidRPr="00442034">
        <w:rPr>
          <w:rFonts w:ascii="Times New Roman" w:hAnsi="Times New Roman" w:cs="Times New Roman"/>
          <w:sz w:val="24"/>
        </w:rPr>
        <w:t>(Dettlaff and Boyd 2020)</w:t>
      </w:r>
      <w:r w:rsidR="00BB782E" w:rsidRPr="00442034">
        <w:rPr>
          <w:rFonts w:ascii="Times New Roman" w:hAnsi="Times New Roman" w:cs="Times New Roman"/>
          <w:sz w:val="24"/>
          <w:szCs w:val="24"/>
        </w:rPr>
        <w:fldChar w:fldCharType="end"/>
      </w:r>
      <w:r w:rsidR="00BB782E" w:rsidRPr="00442034">
        <w:rPr>
          <w:rFonts w:ascii="Times New Roman" w:hAnsi="Times New Roman" w:cs="Times New Roman"/>
          <w:sz w:val="24"/>
          <w:szCs w:val="24"/>
        </w:rPr>
        <w:t>.</w:t>
      </w:r>
      <w:r w:rsidR="00BB782E">
        <w:rPr>
          <w:rFonts w:ascii="Times New Roman" w:hAnsi="Times New Roman" w:cs="Times New Roman"/>
          <w:sz w:val="24"/>
          <w:szCs w:val="24"/>
        </w:rPr>
        <w:t xml:space="preserve"> </w:t>
      </w:r>
      <w:r w:rsidR="00BB782E" w:rsidRPr="00442034">
        <w:rPr>
          <w:rFonts w:ascii="Times New Roman" w:hAnsi="Times New Roman" w:cs="Times New Roman"/>
          <w:sz w:val="24"/>
          <w:szCs w:val="24"/>
        </w:rPr>
        <w:t xml:space="preserve"> </w:t>
      </w:r>
    </w:p>
    <w:p w14:paraId="5B13D27D" w14:textId="3378B0FE"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The research on expectations has predominately focused on educational expectations and occupational attainment. Studies on educational expectations and attainment have consistently shown that parent and family expectations and values can influence the formation of future expectations for education among adolescents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{"citationID":"ibuNd0BX","properties":{"formattedCitation":"(Sanders, Munford, and Liebenberg 2012; Stoddard and Pierce 2015; Trusty 1998; Young, Beutel, and Burge 2023)","plainCitation":"(Sanders, Munford, and Liebenberg 2012; Stoddard and Pierce 2015; Trusty 1998; Young, Beutel, and Burge 2023)","noteIndex":0},"citationItems":[{"id":657,"uris":["http://zotero.org/users/7501598/items/SDFUSS2E"],"itemData":{"id":657,"type":"chapter","abstract":"In this chapter, the authors take the innovative approach of exploring the way complexity theory can help us understand resilience among young people. The chapter uses a case example to apply three aspects of complexity theory to practice, demonstrating how complexity theory is congruent with an ecological understanding of the supports (family and otherwise) that make resilience more likely.","container-title":"The Social Ecology of Resilience: A Handbook of Theory and Practice","event-place":"New York, NY","ISBN":"978-1-4614-0586-3","language":"en","note":"DOI: 10.1007/978-1-4614-0586-3_19","page":"233-243","publisher":"Springer","publisher-place":"New York, NY","source":"Springer Link","title":"Young People, Their Families and Social Supports: Understanding Resilience with Complexity Theory","title-short":"Young People, Their Families and Social Supports","URL":"https://doi.org/10.1007/978-1-4614-0586-3_19","author":[{"family":"Sanders","given":"Jackie"},{"family":"Munford","given":"Robyn"},{"family":"Liebenberg","given":"Linda"}],"editor":[{"family":"Ungar","given":"Michael"}],"accessed":{"date-parts":[["2023",3,28]]},"issued":{"date-parts":[["2012"]]}}},{"id":68,"uris":["http://zotero.org/users/7501598/items/DJDDMGQP"],"itemData":{"id":68,"type":"article-journal","abstract":"Positive future expectations can facilitate optimal development and contribute to healthier outcomes for youth. Researchers suggest that internal resources and community-level factors may influence adolescent future expectations, yet little is known about the processes through which these benefits are conferred. The present study examined the relationship between contribution to community, neighborhood collective efficacy, purpose, hope and future expectations, and tested a mediation model that linked contribution to community and collective efficacy with future expectations through purpose and hope in a sample of 7th grade youth (N = 196; M = 12.39; 60 % female; 40 % African American; 71 % economically disadvantaged). Greater collective efficacy and contribution to community predicted higher levels of hope and purpose. Higher levels of hope and purpose predicted more positive future expectations. Contribution to community and neighborhood collective efficacy indirectly predicted future expectations via hope. Implications of the findings and suggestions for future research are discussed.","container-title":"American Journal of Community Psychology","DOI":"10.1007/s10464-015-9754-7","ISSN":"0091-0562","issue":"3/4","journalAbbreviation":"AM J COMMUNITY PSYCHOL","note":"publisher-place: Malden, Massachusetts\npublisher: Wiley-Blackwell","page":"332-341","source":"EBSCOhost","title":"Promoting Positive Future Expectations During Adolescence: The Role of Assets","title-short":"Promoting Positive Future Expectations During Adolescence","volume":"56","author":[{"family":"Stoddard","given":"Sarah A."},{"family":"Pierce","given":"Jennifer"}],"issued":{"date-parts":[["2015",12]]}}},{"id":550,"uris":["http://zotero.org/users/7501598/items/6JLSU38L"],"itemData":{"id":550,"type":"article-journal","abstract":"Using national data, the author examined the influence of family and parenting variables on expectations regarding education. Demographic, family, and parenting variables were reported by adolescents and parents while the adolescents were seniors in high school, and educational expectations were reported by adolescents 2 years beyond high school. Socioeconomic status (SES) was most strongly related to educational expectations. Adolescents' perceptions of parents' personal involvement and parents' reports of their own behavior were both related to educational expectations. Also, both seemed to interact with SES. Variables quantifying the affective dimension of family relationships were only weakly related to educational expectations.","container-title":"The Journal of Educational Research","DOI":"10.1080/00220679809597553","ISSN":"0022-0671","issue":"5","note":"publisher: Routledge\n_eprint: https://doi.org/10.1080/00220679809597553","page":"260-271","source":"Taylor and Francis+NEJM","title":"Family Influences on Educational Expectations of Late Adolescents","volume":"91","author":[{"family":"Trusty","given":"Jerry"}],"issued":{"date-parts":[["1998",5,1]]}}},{"id":515,"uris":["http://zotero.org/users/7501598/items/LNQMRMPD"],"itemData":{"id":515,"type":"article-journal","abstract":"Educational expectations have increased over time, with greater increases among young women than men, yet research focused on expectations for post-baccalaureate degrees is limited. We investigate young men’s and women’s plans to attend graduate or professional school using Monitoring the Future data from 12th graders for 1976 to 2019, focusing on how academic performance and work and family values may be associated with post-baccalaureate expectations. We find that young women’s expectations for graduate or professional school began to exceed young men’s in the early 1990s and continued to do so afterward, although expectations for post-baccalaureate schooling declined some in recent years, especially among young men. Results also indicate that the gender gap over time is driven partially by more young women than men with B or lower average grades holding post-baccalaureate expectations. Work values may foster these high expectations, especially for lower-achieving young women. Finally, we examine whether post-baccalaureate expectations translate into higher attainments, and results suggest that higher-achieving students are better positioned to meet their post-baccalaureate expectations. Collectively, our findings suggest that sociocultural factors promoting women’s participation in the public sphere may encourage some young women to form high-level expectations that they are not academically equipped to meet.","container-title":"The Sociological Quarterly","DOI":"10.1080/00380253.2023.2177207","ISSN":"0038-0253","issue":"0","note":"publisher: Routledge\n_eprint: https://doi.org/10.1080/00380253.2023.2177207","page":"1-27","source":"Taylor and Francis+NEJM","title":"High Hopes: Gender Trends in Educational Expectations for Graduate and Professional School, 1976-2019","title-short":"High Hopes","volume":"0","author":[{"family":"Young","given":"S. Abby"},{"family":"Beutel","given":"Ann M."},{"family":"Burge","given":"Stephanie W."}],"issued":{"date-parts":[["2023",2,28]]}}}],"schema":"https://github.com/citation-style-language/schema/raw/master/csl-citation.json"}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(Sanders, Munford, and Liebenberg 2012; Stoddard and Pierce 2015; Trusty 1998; Young, Beutel, and Burge 2023)</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which is why it is so important to look at parental and other sources of support. For example, Rimkute et al. (2011) found that among adolescents, high parental expectations for their child’s education predicted the youth’s own high educational expectations. Jámbori and Sallay (2003) found </w:t>
      </w:r>
      <w:r w:rsidR="001E57F5">
        <w:rPr>
          <w:rFonts w:ascii="Times New Roman" w:hAnsi="Times New Roman" w:cs="Times New Roman"/>
          <w:sz w:val="24"/>
          <w:szCs w:val="24"/>
        </w:rPr>
        <w:t xml:space="preserve">that </w:t>
      </w:r>
      <w:r w:rsidRPr="00442034">
        <w:rPr>
          <w:rFonts w:ascii="Times New Roman" w:hAnsi="Times New Roman" w:cs="Times New Roman"/>
          <w:sz w:val="24"/>
          <w:szCs w:val="24"/>
        </w:rPr>
        <w:t>among adolescents</w:t>
      </w:r>
      <w:r w:rsidR="001E57F5">
        <w:rPr>
          <w:rFonts w:ascii="Times New Roman" w:hAnsi="Times New Roman" w:cs="Times New Roman"/>
          <w:sz w:val="24"/>
          <w:szCs w:val="24"/>
        </w:rPr>
        <w:t>,</w:t>
      </w:r>
      <w:r w:rsidRPr="00442034">
        <w:rPr>
          <w:rFonts w:ascii="Times New Roman" w:hAnsi="Times New Roman" w:cs="Times New Roman"/>
          <w:sz w:val="24"/>
          <w:szCs w:val="24"/>
        </w:rPr>
        <w:t xml:space="preserve"> </w:t>
      </w:r>
      <w:r w:rsidR="00B219ED">
        <w:rPr>
          <w:rFonts w:ascii="Times New Roman" w:hAnsi="Times New Roman" w:cs="Times New Roman"/>
          <w:sz w:val="24"/>
          <w:szCs w:val="24"/>
        </w:rPr>
        <w:t xml:space="preserve">positive </w:t>
      </w:r>
      <w:r w:rsidRPr="00442034">
        <w:rPr>
          <w:rFonts w:ascii="Times New Roman" w:hAnsi="Times New Roman" w:cs="Times New Roman"/>
          <w:sz w:val="24"/>
          <w:szCs w:val="24"/>
        </w:rPr>
        <w:t xml:space="preserve">future expectations were developed more often when parenting styles were authoritative and supportive, highlighting the role of parents and adults in the formulation of positive future outlooks. </w:t>
      </w:r>
    </w:p>
    <w:p w14:paraId="227EEFE3" w14:textId="644F7F63"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Additionally, peers become more influential during adolescence and young adulthood, and the role of peers has been shown to influence expectations and behaviors. Peers who have more socially acceptable norms contribute to conventional student expectations for youth, while peers with deviant norms are more likely to influence expectations toward delinquency and risky behavior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{"citationID":"FIwFtlBq","properties":{"formattedCitation":"(Sipsma et al. 2012)","plainCitation":"(Sipsma et al. 2012)","noteIndex":0},"citationItems":[{"id":547,"uris":["http://zotero.org/users/7501598/items/XEFBJZFM"],"itemData":{"id":547,"type":"article-journal","abstract":"Future expectations have been important predictors of adolescent development and behavior. Its measurement, however, has largely focused on single dimensions and misses potentially important components. This analysis investigates whether an empirically-driven, multidimensional approach to conceptualizing future expectations can substantively contribute to our understanding of adolescent risk behavior. We use data from the National Longitudinal Survey of Youth 1997 to derive subpopulations of adolescents based on their future expectations with latent class analysis. Multinomial regression then determines which covariates from Bronfenbrenner's ecological systems theory are associated with class membership. After modeling these covariates, we examine whether future expectations is associated with delinquency, substance use, and sexual experience. Our analysis suggests the emergence of four distinct classes labeled the Student Expectations, Student/Drinking Expectations, Victim Expectations, and Drinking/Arrest Expectations classes according to their indicator profiles. These classes differ with respect to covariates associated with membership; furthermore, they are all statistically and differentially associated with at least one adolescent risk behavior. This analysis demonstrates the additional benefit derived from using this multidimensional approach for studying future expectations. Further research is needed to investigate its stability and role in predicting adolescent risk behavior over time.","container-title":"American Journal of Community Psychology","DOI":"10.1007/s10464-011-9487-1","ISSN":"1573-2770","issue":"1-2","language":"en","note":"_eprint: https://onlinelibrary.wiley.com/doi/pdf/10.1007/s10464-011-9487-1","page":"169-181","source":"Wiley Online Library","title":"Future Expectations Among Adolescents: A Latent Class Analysis","title-short":"Future Expectations Among Adolescents","volume":"50","author":[{"family":"Sipsma","given":"Heather L."},{"family":"Ickovics","given":"Jeannette R."},{"family":"Lin","given":"Haiqun"},{"family":"Kershaw","given":"Trace S."}],"issued":{"date-parts":[["2012"]]}}}],"schema":"https://github.com/citation-style-language/schema/raw/master/csl-citation.json"}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(Sipsma et al. 2012)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These studies have shown that expectations influence later attainment and behavioral outcomes, yet less research has focused on future expectations other than education, such as expectations for early mortality or family formation.</w:t>
      </w:r>
    </w:p>
    <w:p w14:paraId="7AC58F35" w14:textId="77777777" w:rsidR="0048282A" w:rsidRPr="00442034" w:rsidRDefault="0048282A" w:rsidP="00C37F60">
      <w:pPr>
        <w:spacing w:line="480" w:lineRule="auto"/>
        <w:ind w:firstLine="720"/>
        <w:contextualSpacing/>
        <w:rPr>
          <w:rFonts w:ascii="Times New Roman" w:eastAsia="Times New Roman" w:hAnsi="Times New Roman" w:cs="Times New Roman"/>
          <w:sz w:val="24"/>
          <w:szCs w:val="24"/>
        </w:rPr>
      </w:pPr>
      <w:r w:rsidRPr="00442034">
        <w:rPr>
          <w:rFonts w:ascii="Times New Roman" w:eastAsia="Times New Roman" w:hAnsi="Times New Roman" w:cs="Times New Roman"/>
          <w:sz w:val="24"/>
          <w:szCs w:val="24"/>
        </w:rPr>
        <w:t xml:space="preserve">Future expectations can be shaped positively or negatively by experiences youth face in their adolescence. Brumley et al. (2017) used the National Longitudinal Study of Adolescent to Adult Health (Add Health) data to examine whether adolescents’ future expectations mediated </w:t>
      </w:r>
      <w:r w:rsidRPr="00442034">
        <w:rPr>
          <w:rFonts w:ascii="Times New Roman" w:eastAsia="Times New Roman" w:hAnsi="Times New Roman" w:cs="Times New Roman"/>
          <w:sz w:val="24"/>
          <w:szCs w:val="24"/>
        </w:rPr>
        <w:lastRenderedPageBreak/>
        <w:t xml:space="preserve">the pathway from adverse childhood experiences to problem behaviors. They found that adverse childhood experiences can shape future expectations negatively and that these pessimistic views of the future are associated with higher rates of problem behaviors including substance abuse, physical violence, and gang membership. Their findings revealed that youth with higher adverse experiences had less optimistic expectations for their future and higher levels of problem behaviors. Furthermore, Thompson et al. (2012) analyzed the Longitudinal Studies on Child Abuse and Neglect (LONGSCAN) data and found that maltreatment and caregiver instability predicted less success and more instability in youth’s future expectations. These findings highlight how future expectations can be shaped negatively by adverse childhood experiences and </w:t>
      </w:r>
      <w:proofErr w:type="gramStart"/>
      <w:r w:rsidRPr="00442034">
        <w:rPr>
          <w:rFonts w:ascii="Times New Roman" w:eastAsia="Times New Roman" w:hAnsi="Times New Roman" w:cs="Times New Roman"/>
          <w:sz w:val="24"/>
          <w:szCs w:val="24"/>
        </w:rPr>
        <w:t>highlights</w:t>
      </w:r>
      <w:proofErr w:type="gramEnd"/>
      <w:r w:rsidRPr="00442034">
        <w:rPr>
          <w:rFonts w:ascii="Times New Roman" w:eastAsia="Times New Roman" w:hAnsi="Times New Roman" w:cs="Times New Roman"/>
          <w:sz w:val="24"/>
          <w:szCs w:val="24"/>
        </w:rPr>
        <w:t xml:space="preserve"> how youth in the child welfare system may have lower future expectations that shape their life trajectories. </w:t>
      </w:r>
    </w:p>
    <w:p w14:paraId="0813E9DB" w14:textId="080F6919"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eastAsia="Times New Roman" w:hAnsi="Times New Roman" w:cs="Times New Roman"/>
          <w:sz w:val="24"/>
          <w:szCs w:val="24"/>
        </w:rPr>
        <w:t xml:space="preserve">In contrast, some research has examined the mechanisms that foster positive future expectations. Among youth in foster care, placement security was significantly and positively related to future expectations </w:t>
      </w:r>
      <w:r w:rsidRPr="00442034">
        <w:rPr>
          <w:rFonts w:ascii="Times New Roman" w:eastAsia="Times New Roman" w:hAnsi="Times New Roman" w:cs="Times New Roman"/>
          <w:sz w:val="24"/>
          <w:szCs w:val="24"/>
        </w:rPr>
        <w:fldChar w:fldCharType="begin"/>
      </w:r>
      <w:r w:rsidR="00B17A86">
        <w:rPr>
          <w:rFonts w:ascii="Times New Roman" w:eastAsia="Times New Roman" w:hAnsi="Times New Roman" w:cs="Times New Roman"/>
          <w:sz w:val="24"/>
          <w:szCs w:val="24"/>
        </w:rPr>
        <w:instrText xml:space="preserve"> ADDIN ZOTERO_ITEM CSL_CITATION {"citationID":"w9n2Obab","properties":{"formattedCitation":"(Mihalec-Adkins, Christ, and Day 2020)","plainCitation":"(Mihalec-Adkins, Christ, and Day 2020)","noteIndex":0},"citationItems":[{"id":63,"uris":["http://zotero.org/users/7501598/items/9UAVVZHC"],"itemData":{"id":63,"type":"article-journal","abstract":"There is ample evidence that experiencing foster care in childhood often predicts grim outcomes in adulthood, including under-education and resulting poverty and dysfunction. However, little is known about the exact mechanisms through which foster care corrodes academic trajectories, specifically. The current study uses a nationally representative sample of adolescent foster youth (i.e., NSCAW II) to test a model of the influences of placement-related factors on school engagement – namely, foster youth’s perceptions of security in their foster placements, their reports of education-specific involvement by foster caregivers, and the mediating potential of adolescents’ expectations for their future. Results indicate that adolescents’ feelings of “placement security” were linked to their future expectations of positive life outcomes and, ultimately, school engagement. Results also suggest that while educational involvement by foster caregivers was not important for future expectations or social school engagement, it may be related to the more explicitly cognitive aspects of school engagement (i.e., assignment completion, effort, etc.). These findings offer insight into relations between foster care-specific factors and school engagement – a known predictor of academic achievement and eventual educational attainment. Implications for future research and practice are discussed.","container-title":"Children and Youth Services Review","DOI":"10.1016/j.childyouth.2019.104616","ISSN":"0190-7409","journalAbbreviation":"Children and Youth Services Review","language":"en","page":"104616","source":"ScienceDirect","title":"An exploration of placement-related psychosocial influences on school engagement among adolescents in foster care","volume":"108","author":[{"family":"Mihalec-Adkins","given":"Brittany P."},{"family":"Christ","given":"Sharon L."},{"family":"Day","given":"Elizabeth"}],"issued":{"date-parts":[["2020",1,1]]}}}],"schema":"https://github.com/citation-style-language/schema/raw/master/csl-citation.json"} </w:instrText>
      </w:r>
      <w:r w:rsidRPr="00442034">
        <w:rPr>
          <w:rFonts w:ascii="Times New Roman" w:eastAsia="Times New Roman" w:hAnsi="Times New Roman" w:cs="Times New Roman"/>
          <w:sz w:val="24"/>
          <w:szCs w:val="24"/>
        </w:rPr>
        <w:fldChar w:fldCharType="separate"/>
      </w:r>
      <w:r w:rsidRPr="00442034">
        <w:rPr>
          <w:rFonts w:ascii="Times New Roman" w:eastAsia="Times New Roman" w:hAnsi="Times New Roman" w:cs="Times New Roman"/>
          <w:noProof/>
          <w:sz w:val="24"/>
          <w:szCs w:val="24"/>
        </w:rPr>
        <w:t>(Mihalec-Adkins, Christ, and Day 2020)</w:t>
      </w:r>
      <w:r w:rsidRPr="00442034">
        <w:rPr>
          <w:rFonts w:ascii="Times New Roman" w:eastAsia="Times New Roman" w:hAnsi="Times New Roman" w:cs="Times New Roman"/>
          <w:sz w:val="24"/>
          <w:szCs w:val="24"/>
        </w:rPr>
        <w:fldChar w:fldCharType="end"/>
      </w:r>
      <w:r w:rsidRPr="00442034">
        <w:rPr>
          <w:rFonts w:ascii="Times New Roman" w:eastAsia="Times New Roman" w:hAnsi="Times New Roman" w:cs="Times New Roman"/>
          <w:sz w:val="24"/>
          <w:szCs w:val="24"/>
        </w:rPr>
        <w:t xml:space="preserve">, and Stoddard and Pierce (2015) found that </w:t>
      </w:r>
      <w:r w:rsidRPr="00442034">
        <w:rPr>
          <w:rFonts w:ascii="Times New Roman" w:hAnsi="Times New Roman" w:cs="Times New Roman"/>
          <w:sz w:val="24"/>
          <w:szCs w:val="24"/>
        </w:rPr>
        <w:t xml:space="preserve">positive future expectations can be fostered through hope and purpose. Additionally, Van Audenhove and Vander Laenen (2015) found that many </w:t>
      </w:r>
      <w:proofErr w:type="gramStart"/>
      <w:r w:rsidRPr="00442034">
        <w:rPr>
          <w:rFonts w:ascii="Times New Roman" w:hAnsi="Times New Roman" w:cs="Times New Roman"/>
          <w:sz w:val="24"/>
          <w:szCs w:val="24"/>
        </w:rPr>
        <w:t>youth</w:t>
      </w:r>
      <w:proofErr w:type="gramEnd"/>
      <w:r w:rsidRPr="00442034">
        <w:rPr>
          <w:rFonts w:ascii="Times New Roman" w:hAnsi="Times New Roman" w:cs="Times New Roman"/>
          <w:sz w:val="24"/>
          <w:szCs w:val="24"/>
        </w:rPr>
        <w:t xml:space="preserve"> leaving care and transitioning to adulthood reported positive expectations for the future but felt that there may be challenges to achieving these expectations. For these youth, long-term relationships with parents, partners, and mentors were critical to enhance their sense of agency and ability as they navigate early adulthood. </w:t>
      </w:r>
    </w:p>
    <w:p w14:paraId="7EFF24F0" w14:textId="4E7C3A3A"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Some studies have shown that future expectations are not static, rather they are dynamic and influenced at multiple levels, particularly by parents and peers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{"citationID":"iv4SES2c","properties":{"formattedCitation":"(Oshri et al. 2018)","plainCitation":"(Oshri et al. 2018)","noteIndex":0},"citationItems":[{"id":545,"uris":["http://zotero.org/users/7501598/items/FDLU9TCL"],"itemData":{"id":545,"type":"article-journal","abstract":"During adolescence, a positive outlook toward the future (i.e., future\norientation) can protect youth from the risks conferred by childhood adversity.\nResearch to date, however, has largely considered future orientation as a static\nattribute. Developmental systems perspectives suggest that future orientation,\nwhen considered across time, will exhibit dynamic trajectories with levels\nchanging in response to the varying balance of risks and resources in\nyouths’ environments. Investigating the developmental course and\nconsequences of future orientation is particularly germane to maltreated youth\nwho may benefit from programs that target this protective mechanism. The present\nstudy tested hypotheses regarding the developmental course of future\norientation, including the association of distinct future orientation\ntrajectories with time-varying risk factors and resources, and the association\nof continuity and change in future orientation trajectories with young adult\npsychosocial functioning. Hypotheses were investigated with longitudinal (T1\nMage = 12.22, T2\nMage = 13.52, T3\nMage = 14.79, T4\nMage = 18.54), multi-reporter data from a\nnationally representative sample of maltreated youth (N =\n1,461). Growth mixture modeling (GMM) identified three classes of growth\ntrajectories in future orientation: high-persistent, low\nstart/increasing, and high start/decreasing.\nTime-variant and -invariant risk factors and resources differentiated\nyouths’ future orientation trajectories. Youth in the\nhigh-persistent and low start/increasing\ntrajectories were more likely to attain young adulthood developmental milestones\n– including independent living skills, social capital, employment, and\nhigher weekly income. This study documents how an important component of\nresilient adaptation emerges and promotes positive outcomes among highly\nvulnerable youth.","container-title":"Developmental psychology","DOI":"10.1037/dev0000528","ISSN":"0012-1649","issue":"8","journalAbbreviation":"Dev Psychol","note":"PMID: 29952602\nPMCID: PMC6546100","page":"1456-1471","source":"PubMed Central","title":"Growth Patterns of Future Orientation Among Maltreated Youth: A Prospective Examination of the Emergence of Resilience","title-short":"Growth Patterns of Future Orientation Among Maltreated Youth","volume":"54","author":[{"family":"Oshri","given":"Assaf"},{"family":"Duprey","given":"Erinn B."},{"family":"Kogan","given":"Steven M."},{"family":"Carlson","given":"Mathew"},{"family":"Liu","given":"Sihong"}],"issued":{"date-parts":[["2018",8]]}}}],"schema":"https://github.com/citation-style-language/schema/raw/master/csl-citation.json"}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(Oshri et al.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Using nationally representative data on youth involved in the child welfare system (NSCAW-I), Oshri </w:t>
      </w:r>
      <w:r w:rsidRPr="00442034">
        <w:rPr>
          <w:rFonts w:ascii="Times New Roman" w:hAnsi="Times New Roman" w:cs="Times New Roman"/>
          <w:sz w:val="24"/>
          <w:szCs w:val="24"/>
        </w:rPr>
        <w:lastRenderedPageBreak/>
        <w:t xml:space="preserve">et al.’s study (2018) was one of the first to look at changing future orientations in the context of risk and protective factors. The study identified three patterns of future orientations among youth in child welfare: high and persistent expectations for the future, initial high expectations that decrease over time, and initial low expectations that increase over time. The majority of youth in this sample (76%) reported high future orientations despite histories of maltreatment, following similar literature on the resilience of youth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{"citationID":"gTOiLo9B","properties":{"formattedCitation":"(Wyman et al. 1993)","plainCitation":"(Wyman et al. 1993)","noteIndex":0},"citationItems":[{"id":533,"uris":["http://zotero.org/users/7501598/items/PF6F2K2K"],"itemData":{"id":533,"type":"article-journal","abstract":"Study I examined relationships between an interview measure of children's future expectations and variables reflecting self-system functioning with 136 9–11-year-old urban children exposed to high psychosocial stress. As expected, future expectations related to affect regulation, self-representations, and school adjustment. Study II, done with a subsample of the original group, showed that early positive future expectations predicted enhanced socioemotional adjustment in school and a more internal locus of control 2½–3½ years later and acted as a protective factor in reducing the negative effects of high stress on self-rated competence. These findings: (a) are consistent with prior data showing positive expectations to be characteristic of resilient children; (b) suggest that early positive future expectations influence later adjustment; and (c) underscore the role children have in actively structuring their environments and, thus, influencing their development. The heuristic value of the construct of self for future studies of resilience is suggested, and implications for preventive interventions are considered.","container-title":"Development and Psychopathology","DOI":"10.1017/S0954579400006210","ISSN":"1469-2198, 0954-5794","issue":"4","language":"en","note":"publisher: Cambridge University Press","page":"649-661","source":"Cambridge University Press","title":"The role of children's future expectations in self-system functioning and adjustment to life stress: A prospective study of urban at-risk children","title-short":"The role of children's future expectations in self-system functioning and adjustment to life stress","volume":"5","author":[{"family":"Wyman","given":"Peter A."},{"family":"Cowen","given":"Emory L."},{"family":"Work","given":"William C."},{"family":"Kerley","given":"Judy H."}],"issued":{"date-parts":[["1993"]],"season":"ed"}}}],"schema":"https://github.com/citation-style-language/schema/raw/master/csl-citation.json"}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(Wyman et al. 1993)</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More recent research has articulated influences on future expectations and how they change</w:t>
      </w:r>
      <w:r w:rsidR="008B31FC">
        <w:rPr>
          <w:rFonts w:ascii="Times New Roman" w:hAnsi="Times New Roman" w:cs="Times New Roman"/>
          <w:sz w:val="24"/>
          <w:szCs w:val="24"/>
        </w:rPr>
        <w:t>.</w:t>
      </w:r>
      <w:r w:rsidRPr="00442034">
        <w:rPr>
          <w:rFonts w:ascii="Times New Roman" w:hAnsi="Times New Roman" w:cs="Times New Roman"/>
          <w:sz w:val="24"/>
          <w:szCs w:val="24"/>
        </w:rPr>
        <w:t xml:space="preserve"> </w:t>
      </w:r>
      <w:r w:rsidR="008B31FC">
        <w:rPr>
          <w:rFonts w:ascii="Times New Roman" w:hAnsi="Times New Roman" w:cs="Times New Roman"/>
          <w:sz w:val="24"/>
          <w:szCs w:val="24"/>
        </w:rPr>
        <w:t>P</w:t>
      </w:r>
      <w:r w:rsidRPr="00442034">
        <w:rPr>
          <w:rFonts w:ascii="Times New Roman" w:hAnsi="Times New Roman" w:cs="Times New Roman"/>
          <w:sz w:val="24"/>
          <w:szCs w:val="24"/>
        </w:rPr>
        <w:t xml:space="preserve">hysically abusive discipline by parents and caregivers and dissatisfaction with peers can lead to lower future expectations. Conversely, reductions in risk factors and increases in resources can lead to higher expectations that promote independent living skills and higher social capital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{"citationID":"pmpR16is","properties":{"formattedCitation":"(Oshri et al. 2018)","plainCitation":"(Oshri et al. 2018)","noteIndex":0},"citationItems":[{"id":545,"uris":["http://zotero.org/users/7501598/items/FDLU9TCL"],"itemData":{"id":545,"type":"article-journal","abstract":"During adolescence, a positive outlook toward the future (i.e., future\norientation) can protect youth from the risks conferred by childhood adversity.\nResearch to date, however, has largely considered future orientation as a static\nattribute. Developmental systems perspectives suggest that future orientation,\nwhen considered across time, will exhibit dynamic trajectories with levels\nchanging in response to the varying balance of risks and resources in\nyouths’ environments. Investigating the developmental course and\nconsequences of future orientation is particularly germane to maltreated youth\nwho may benefit from programs that target this protective mechanism. The present\nstudy tested hypotheses regarding the developmental course of future\norientation, including the association of distinct future orientation\ntrajectories with time-varying risk factors and resources, and the association\nof continuity and change in future orientation trajectories with young adult\npsychosocial functioning. Hypotheses were investigated with longitudinal (T1\nMage = 12.22, T2\nMage = 13.52, T3\nMage = 14.79, T4\nMage = 18.54), multi-reporter data from a\nnationally representative sample of maltreated youth (N =\n1,461). Growth mixture modeling (GMM) identified three classes of growth\ntrajectories in future orientation: high-persistent, low\nstart/increasing, and high start/decreasing.\nTime-variant and -invariant risk factors and resources differentiated\nyouths’ future orientation trajectories. Youth in the\nhigh-persistent and low start/increasing\ntrajectories were more likely to attain young adulthood developmental milestones\n– including independent living skills, social capital, employment, and\nhigher weekly income. This study documents how an important component of\nresilient adaptation emerges and promotes positive outcomes among highly\nvulnerable youth.","container-title":"Developmental psychology","DOI":"10.1037/dev0000528","ISSN":"0012-1649","issue":"8","journalAbbreviation":"Dev Psychol","note":"PMID: 29952602\nPMCID: PMC6546100","page":"1456-1471","source":"PubMed Central","title":"Growth Patterns of Future Orientation Among Maltreated Youth: A Prospective Examination of the Emergence of Resilience","title-short":"Growth Patterns of Future Orientation Among Maltreated Youth","volume":"54","author":[{"family":"Oshri","given":"Assaf"},{"family":"Duprey","given":"Erinn B."},{"family":"Kogan","given":"Steven M."},{"family":"Carlson","given":"Mathew"},{"family":"Liu","given":"Sihong"}],"issued":{"date-parts":[["2018",8]]}}}],"schema":"https://github.com/citation-style-language/schema/raw/master/csl-citation.json"}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(Oshri et al.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As one of the only studies looking at changing future expectations, </w:t>
      </w:r>
      <w:r w:rsidR="00A530D8" w:rsidRPr="00442034">
        <w:rPr>
          <w:rFonts w:ascii="Times New Roman" w:hAnsi="Times New Roman" w:cs="Times New Roman"/>
          <w:sz w:val="24"/>
          <w:szCs w:val="24"/>
        </w:rPr>
        <w:t>Oshri</w:t>
      </w:r>
      <w:r w:rsidR="005815B8" w:rsidRPr="00442034">
        <w:rPr>
          <w:rFonts w:ascii="Times New Roman" w:hAnsi="Times New Roman" w:cs="Times New Roman"/>
          <w:sz w:val="24"/>
          <w:szCs w:val="24"/>
        </w:rPr>
        <w:t xml:space="preserve"> et al</w:t>
      </w:r>
      <w:r w:rsidR="001D0E7E">
        <w:rPr>
          <w:rFonts w:ascii="Times New Roman" w:hAnsi="Times New Roman" w:cs="Times New Roman"/>
          <w:sz w:val="24"/>
          <w:szCs w:val="24"/>
        </w:rPr>
        <w:t>.</w:t>
      </w:r>
      <w:r w:rsidR="005815B8" w:rsidRPr="00442034">
        <w:rPr>
          <w:rFonts w:ascii="Times New Roman" w:hAnsi="Times New Roman" w:cs="Times New Roman"/>
          <w:sz w:val="24"/>
          <w:szCs w:val="24"/>
        </w:rPr>
        <w:t xml:space="preserve"> (2018)</w:t>
      </w:r>
      <w:r w:rsidRPr="00442034">
        <w:rPr>
          <w:rFonts w:ascii="Times New Roman" w:hAnsi="Times New Roman" w:cs="Times New Roman"/>
          <w:sz w:val="24"/>
          <w:szCs w:val="24"/>
        </w:rPr>
        <w:t xml:space="preserve"> call</w:t>
      </w:r>
      <w:r w:rsidR="005815B8" w:rsidRPr="00442034">
        <w:rPr>
          <w:rFonts w:ascii="Times New Roman" w:hAnsi="Times New Roman" w:cs="Times New Roman"/>
          <w:sz w:val="24"/>
          <w:szCs w:val="24"/>
        </w:rPr>
        <w:t>ed</w:t>
      </w:r>
      <w:r w:rsidRPr="00442034">
        <w:rPr>
          <w:rFonts w:ascii="Times New Roman" w:hAnsi="Times New Roman" w:cs="Times New Roman"/>
          <w:sz w:val="24"/>
          <w:szCs w:val="24"/>
        </w:rPr>
        <w:t xml:space="preserve"> for additional research on the mechanisms that influence such changes, such as social support from caregivers as well as from peers. Additionally, no research to our knowledge has focused on expectations for LGBQ youth in the child welfare system, for whom this type of positive support from parents and peers may be lacking. </w:t>
      </w:r>
    </w:p>
    <w:p w14:paraId="1D38F5BD" w14:textId="3FDB5EF0"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A theory sometimes used to examine future expectations is the social-ecological theory of human development. According to this theory, human development is cultivated through interactions with the environment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{"citationID":"nKYk9M5J","properties":{"formattedCitation":"(Bronfenbrenner 1979)","plainCitation":"(Bronfenbrenner 1979)","noteIndex":0},"citationItems":[{"id":183,"uris":["http://zotero.org/users/7501598/items/XETY7K64"],"itemData":{"id":183,"type":"book","abstract":"Here is a book that challenges the very basis of the way psychologists have studied child development. According to Urie Bronfenbrenner, one of the world’s foremost developmental psychologists, laboratory studies of the child’s behavior sacrifice too much in order to gain experimental control and analytic rigor. Laboratory observations, he argues, too often lead to “the science of the strange behavior of children in strange situations with strange adults for the briefest possible periods of time.” To understand the way children actually develop, Bronfenbrenner believes that it will be necessary to observe their behavior in natural settings, while they are interacting with familiar adults over prolonged periods of time. This book offers an important blueprint for constructing such a new and ecologically valid psychology of development. The blueprint includes a complete conceptual framework for analysing the layers of the environment that have a formative influence on the child. This framework is applied to a variety of settings in which children commonly develop, ranging from the pediatric ward to daycare, school, and various family configurations. The result is a rich set of hypotheses about the developmental consequences of various types of environments. Where current research bears on these hypotheses, Bronfenbrenner marshals the data to show how an ecological theory can be tested. Where no relevant data exist, he suggests new and interesting ecological experiments that might be undertaken to resolve current unknowns. Bronfenbrenner’s groundbreaking program for reform in developmental psychology is certain to be controversial. His argument flies in the face of standard psychological procedures and challenges psychology to become more relevant to the ways in which children actually develop. It is a challenge psychology can ill-afford to ignore.","ISBN":"978-0-674-22457-5","language":"en","note":"Google-Books-ID: OCmbzWka6xUC","number-of-pages":"352","publisher":"Harvard University Press","source":"Google Books","title":"The Ecology of Human Development: Experiments by Nature and Design","title-short":"The Ecology of Human Development","author":[{"family":"Bronfenbrenner","given":"Urie"}],"issued":{"date-parts":[["1979"]]}}}],"schema":"https://github.com/citation-style-language/schema/raw/master/csl-citation.json"}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(Bronfenbrenner 1979)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The social-ecological theory posits that the multiple contexts at the individual, family, community</w:t>
      </w:r>
      <w:r w:rsidR="005576A2">
        <w:rPr>
          <w:rFonts w:ascii="Times New Roman" w:hAnsi="Times New Roman" w:cs="Times New Roman"/>
          <w:sz w:val="24"/>
          <w:szCs w:val="24"/>
        </w:rPr>
        <w:t>, and policy</w:t>
      </w:r>
      <w:r w:rsidRPr="00442034">
        <w:rPr>
          <w:rFonts w:ascii="Times New Roman" w:hAnsi="Times New Roman" w:cs="Times New Roman"/>
          <w:sz w:val="24"/>
          <w:szCs w:val="24"/>
        </w:rPr>
        <w:t xml:space="preserve"> level shape youths’ development and their expectations for the future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{"citationID":"yTnDBaSM","properties":{"formattedCitation":"(Brumley et al. 2017)","plainCitation":"(Brumley et al. 2017)","noteIndex":0},"citationItems":[{"id":60,"uris":["http://zotero.org/users/7501598/items/UPKPIBIY"],"itemData":{"id":60,"type":"article-journal","abstract":"Adverse childhood experiences and pessimistic future expectations about college attendance or mortality are established risk factors for problem behaviors among youth. Data were from the National Longitudinal Study of Adolescent to Adult Health (N = 14,800; 49 % female). Participants were 11–17-years-old at baseline and 24–32-years-old at outcome. Adolescents’ college expectations and fatalistic expectations mediated the effect of childhood adversity on violent behavior in young adulthood. Neither college nor fatalistic expectations were significant mediators in models predicting substance use and nonviolent antisocial behaviors. Although observed mediational effect sizes were small, they survived models that included multiple controls designed to rule-out alternative explanations. Intervening on adversity-exposed adolescents’ college and fatalistic expectations may reduce risk for violent behaviors.","container-title":"Journal of Youth and Adolescence","DOI":"10.1007/s10964-016-0597-9","ISSN":"1573-6601","issue":"1","journalAbbreviation":"J Youth Adolescence","language":"en","page":"1-14","source":"Springer Link","title":"Pathways from Childhood Adversity to Problem Behaviors in Young Adulthood: The Mediating Role of Adolescents’ Future Expectations","title-short":"Pathways from Childhood Adversity to Problem Behaviors in Young Adulthood","volume":"46","author":[{"family":"Brumley","given":"Lauren D."},{"family":"Jaffee","given":"Sara R."},{"family":"Brumley","given":"Benjamin P."}],"issued":{"date-parts":[["2017",1,1]]}}}],"schema":"https://github.com/citation-style-language/schema/raw/master/csl-citation.json"}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(Brumley et al.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r w:rsidRPr="00442034">
        <w:rPr>
          <w:rFonts w:ascii="Times New Roman" w:eastAsia="Times New Roman" w:hAnsi="Times New Roman" w:cs="Times New Roman"/>
          <w:sz w:val="24"/>
          <w:szCs w:val="24"/>
        </w:rPr>
        <w:t xml:space="preserve">Saupe et al. (2020) utilized a socio-ecological approach to understand how individual risk factors of harsh parenting and internalizing behavioral problems and community-level protective factors (community integration) were associated with youths’ future expectations. The authors found that harsh </w:t>
      </w:r>
      <w:r w:rsidRPr="00442034">
        <w:rPr>
          <w:rFonts w:ascii="Times New Roman" w:eastAsia="Times New Roman" w:hAnsi="Times New Roman" w:cs="Times New Roman"/>
          <w:sz w:val="24"/>
          <w:szCs w:val="24"/>
        </w:rPr>
        <w:lastRenderedPageBreak/>
        <w:t>parenting and internalizing behavioral problems are negatively associated with optimistic future expectations, while community support and integration were associated with a more positive outlook. These findings highlight how future expectations may be less optimistic for children who experience maltreatment, harsh parenting, and low parental bonding, which has implications for their transition to adulthood. These findings also confirmed that more pessimistic future expectations were linked to risky behaviors and early pregnancies, potentially continuing the cycle of harsh parenting and maltreatment.</w:t>
      </w:r>
    </w:p>
    <w:p w14:paraId="2D381260" w14:textId="2548A40D" w:rsidR="0048282A" w:rsidRDefault="0048282A" w:rsidP="00C37F60">
      <w:pPr>
        <w:spacing w:line="480" w:lineRule="auto"/>
        <w:ind w:firstLine="720"/>
        <w:contextualSpacing/>
        <w:rPr>
          <w:rFonts w:ascii="Times New Roman" w:eastAsia="Times New Roman" w:hAnsi="Times New Roman" w:cs="Times New Roman"/>
          <w:sz w:val="24"/>
          <w:szCs w:val="24"/>
        </w:rPr>
      </w:pPr>
      <w:r w:rsidRPr="00442034">
        <w:rPr>
          <w:rFonts w:ascii="Times New Roman" w:eastAsia="Times New Roman" w:hAnsi="Times New Roman" w:cs="Times New Roman"/>
          <w:sz w:val="24"/>
          <w:szCs w:val="24"/>
        </w:rPr>
        <w:t xml:space="preserve">Iovu (2014) also studied future expectations from an ecological model, recognizing how </w:t>
      </w:r>
      <w:r w:rsidR="00000058">
        <w:rPr>
          <w:rFonts w:ascii="Times New Roman" w:eastAsia="Times New Roman" w:hAnsi="Times New Roman" w:cs="Times New Roman"/>
          <w:sz w:val="24"/>
          <w:szCs w:val="24"/>
        </w:rPr>
        <w:t>future</w:t>
      </w:r>
      <w:r w:rsidR="00000058" w:rsidRPr="00442034">
        <w:rPr>
          <w:rFonts w:ascii="Times New Roman" w:eastAsia="Times New Roman" w:hAnsi="Times New Roman" w:cs="Times New Roman"/>
          <w:sz w:val="24"/>
          <w:szCs w:val="24"/>
        </w:rPr>
        <w:t xml:space="preserve"> </w:t>
      </w:r>
      <w:r w:rsidRPr="00442034">
        <w:rPr>
          <w:rFonts w:ascii="Times New Roman" w:eastAsia="Times New Roman" w:hAnsi="Times New Roman" w:cs="Times New Roman"/>
          <w:sz w:val="24"/>
          <w:szCs w:val="24"/>
        </w:rPr>
        <w:t xml:space="preserve">orientations can be shaped by various systems such as the individual, family relationships, and peer relationships. The findings indicated that most adolescents had high expectations for completing high school, getting a good job, and finding a partner. However, family and peer relationships did not matter as much as individual self-confidence in developing these expectations </w:t>
      </w:r>
      <w:r w:rsidRPr="00442034">
        <w:rPr>
          <w:rFonts w:ascii="Times New Roman" w:eastAsia="Times New Roman" w:hAnsi="Times New Roman" w:cs="Times New Roman"/>
          <w:sz w:val="24"/>
          <w:szCs w:val="24"/>
        </w:rPr>
        <w:fldChar w:fldCharType="begin"/>
      </w:r>
      <w:r w:rsidR="00B17A86">
        <w:rPr>
          <w:rFonts w:ascii="Times New Roman" w:eastAsia="Times New Roman" w:hAnsi="Times New Roman" w:cs="Times New Roman"/>
          <w:sz w:val="24"/>
          <w:szCs w:val="24"/>
        </w:rPr>
        <w:instrText xml:space="preserve"> ADDIN ZOTERO_ITEM CSL_CITATION {"citationID":"560Fx1dY","properties":{"formattedCitation":"(Iovu 2014)","plainCitation":"(Iovu 2014)","noteIndex":0},"citationItems":[{"id":692,"uris":["http://zotero.org/users/7501598/items/SGBJWBAB"],"itemData":{"id":692,"type":"article-journal","abstract":"Problem Statement\nAdolescence is seen as an important period for youth as they transition to adulthood. Required to manage multiple developmental tasks, adolescents might construct distorted expectations when thinking and planning their future. Therefore, it is important to determine the factors that influence adolescents’ positive and negative expectations in order to assist them with the appropriate services.\nPurpose of Study\nThe aim of the current study is two-fold: (1) assessing the content and the extent of positive and negative expectations of adolescents from Romania on their pending transition to adulthood, and (2) exploring the hypothesis that personal variables (gender, residency, and material deprivation), psychological variables (self-confidence), and social support variables (family, peer and teacher support) predict their future expectations.\nMethods\nEmpirical estimates were carried out using regression analysis on data collected from 3509 high school students in the 12th grade (2043 females and 1466 males). The self-report questionnaire covered several areas including demographics, psychological attributes, and family, school, and peer support.\nResults\nAdolescents perceived their future mostly in positive terms. The greatest effect for positive expectations belonged to self confidence and teacher support, while negative expectations were best predicted by lower teacher support, self confidence, and peer-support.\nConclusions and Recommendations\nThis research yields interesting results for the Romanian context. Interventions that prepare youth for transitioning from adolescence to adulthood should focus on constructing positive and realistic expectations utilizing a range of factors from the various systems that make up the ecological model (individual, family, school, and peer relationships). However, more prospective research is needed to determine how future expectations are shaped during this period.","collection-title":"LUMEN 2014 - From Theory to Inquiry in Social Sciences, Iasi, Romania, 10-12 April 2014","container-title":"Procedia - Social and Behavioral Sciences","DOI":"10.1016/j.sbspro.2014.08.283","ISSN":"1877-0428","journalAbbreviation":"Procedia - Social and Behavioral Sciences","language":"en","page":"433-437","source":"ScienceDirect","title":"Adolescents’ Positive Expectations and Future Worries on their Transition to Adulthood","volume":"149","author":[{"family":"Iovu","given":"Mihai-Bogdan"}],"issued":{"date-parts":[["2014",9,5]]}}}],"schema":"https://github.com/citation-style-language/schema/raw/master/csl-citation.json"} </w:instrText>
      </w:r>
      <w:r w:rsidRPr="00442034">
        <w:rPr>
          <w:rFonts w:ascii="Times New Roman" w:eastAsia="Times New Roman" w:hAnsi="Times New Roman" w:cs="Times New Roman"/>
          <w:sz w:val="24"/>
          <w:szCs w:val="24"/>
        </w:rPr>
        <w:fldChar w:fldCharType="separate"/>
      </w:r>
      <w:r w:rsidRPr="00442034">
        <w:rPr>
          <w:rFonts w:ascii="Times New Roman" w:eastAsia="Times New Roman" w:hAnsi="Times New Roman" w:cs="Times New Roman"/>
          <w:noProof/>
          <w:sz w:val="24"/>
          <w:szCs w:val="24"/>
        </w:rPr>
        <w:t>(Iovu 2014)</w:t>
      </w:r>
      <w:r w:rsidRPr="00442034">
        <w:rPr>
          <w:rFonts w:ascii="Times New Roman" w:eastAsia="Times New Roman" w:hAnsi="Times New Roman" w:cs="Times New Roman"/>
          <w:sz w:val="24"/>
          <w:szCs w:val="24"/>
        </w:rPr>
        <w:fldChar w:fldCharType="end"/>
      </w:r>
      <w:r w:rsidRPr="00442034">
        <w:rPr>
          <w:rFonts w:ascii="Times New Roman" w:eastAsia="Times New Roman" w:hAnsi="Times New Roman" w:cs="Times New Roman"/>
          <w:sz w:val="24"/>
          <w:szCs w:val="24"/>
        </w:rPr>
        <w:t>. How youth developed self-confidence was not addressed and may have similar influences. Iovu (2014) also found differences by gender, in which women had more positive and normative future expectations than men. This study called for further research on the topic as it was cross-sectional and was focused on a general population of youth. More research is needed to look at how the environmental contexts of family and peers influence youth in the child welfare system and their expectations for their futures.</w:t>
      </w:r>
    </w:p>
    <w:p w14:paraId="15306465" w14:textId="4BB006B8" w:rsidR="008C1136" w:rsidRPr="00A92BBF" w:rsidRDefault="00A23E17" w:rsidP="00C37F60">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LGBQ youth, future expectations may also be shaped from a policy level according to the social-ecological theory of development. </w:t>
      </w:r>
      <w:r w:rsidR="009A03FA">
        <w:rPr>
          <w:rFonts w:ascii="Times New Roman" w:eastAsia="Times New Roman" w:hAnsi="Times New Roman" w:cs="Times New Roman"/>
          <w:sz w:val="24"/>
          <w:szCs w:val="24"/>
        </w:rPr>
        <w:t>Expectations for having a family among LGBQ youth may be shaped by policies against the use of reproductive technologies</w:t>
      </w:r>
      <w:r w:rsidR="001A0EBE">
        <w:rPr>
          <w:rFonts w:ascii="Times New Roman" w:eastAsia="Times New Roman" w:hAnsi="Times New Roman" w:cs="Times New Roman"/>
          <w:sz w:val="24"/>
          <w:szCs w:val="24"/>
        </w:rPr>
        <w:t>,</w:t>
      </w:r>
      <w:r w:rsidR="009A03FA">
        <w:rPr>
          <w:rFonts w:ascii="Times New Roman" w:eastAsia="Times New Roman" w:hAnsi="Times New Roman" w:cs="Times New Roman"/>
          <w:sz w:val="24"/>
          <w:szCs w:val="24"/>
        </w:rPr>
        <w:t xml:space="preserve"> bans on LGBQ individuals becoming foster parents</w:t>
      </w:r>
      <w:r w:rsidR="001A0EBE">
        <w:rPr>
          <w:rFonts w:ascii="Times New Roman" w:eastAsia="Times New Roman" w:hAnsi="Times New Roman" w:cs="Times New Roman"/>
          <w:sz w:val="24"/>
          <w:szCs w:val="24"/>
        </w:rPr>
        <w:t xml:space="preserve">, and lack of legal recognition of parenthood for same-sex couples </w:t>
      </w:r>
      <w:r w:rsidR="002721CA" w:rsidRPr="002721CA">
        <w:rPr>
          <w:rFonts w:ascii="Times New Roman" w:hAnsi="Times New Roman" w:cs="Times New Roman"/>
          <w:sz w:val="24"/>
          <w:szCs w:val="24"/>
        </w:rPr>
        <w:t>(Mayo-Adam 2020)</w:t>
      </w:r>
      <w:r w:rsidR="002721CA">
        <w:rPr>
          <w:rFonts w:ascii="Times New Roman" w:hAnsi="Times New Roman" w:cs="Times New Roman"/>
          <w:sz w:val="24"/>
          <w:szCs w:val="24"/>
        </w:rPr>
        <w:t xml:space="preserve">. </w:t>
      </w:r>
      <w:r w:rsidR="00EC3BC4">
        <w:rPr>
          <w:rFonts w:ascii="Times New Roman" w:hAnsi="Times New Roman" w:cs="Times New Roman"/>
          <w:sz w:val="24"/>
          <w:szCs w:val="24"/>
        </w:rPr>
        <w:t xml:space="preserve">Similarly, expectations for marriage </w:t>
      </w:r>
      <w:r w:rsidR="000A048D">
        <w:rPr>
          <w:rFonts w:ascii="Times New Roman" w:hAnsi="Times New Roman" w:cs="Times New Roman"/>
          <w:sz w:val="24"/>
          <w:szCs w:val="24"/>
        </w:rPr>
        <w:t xml:space="preserve">may also be influenced by </w:t>
      </w:r>
      <w:r w:rsidR="000A048D">
        <w:rPr>
          <w:rFonts w:ascii="Times New Roman" w:hAnsi="Times New Roman" w:cs="Times New Roman"/>
          <w:sz w:val="24"/>
          <w:szCs w:val="24"/>
        </w:rPr>
        <w:lastRenderedPageBreak/>
        <w:t xml:space="preserve">policy, </w:t>
      </w:r>
      <w:r w:rsidR="0090488E">
        <w:rPr>
          <w:rFonts w:ascii="Times New Roman" w:hAnsi="Times New Roman" w:cs="Times New Roman"/>
          <w:sz w:val="24"/>
          <w:szCs w:val="24"/>
        </w:rPr>
        <w:t>such as</w:t>
      </w:r>
      <w:r w:rsidR="000A048D">
        <w:rPr>
          <w:rFonts w:ascii="Times New Roman" w:hAnsi="Times New Roman" w:cs="Times New Roman"/>
          <w:sz w:val="24"/>
          <w:szCs w:val="24"/>
        </w:rPr>
        <w:t xml:space="preserve"> the </w:t>
      </w:r>
      <w:r w:rsidR="00EE6DFF">
        <w:rPr>
          <w:rFonts w:ascii="Times New Roman" w:hAnsi="Times New Roman" w:cs="Times New Roman"/>
          <w:sz w:val="24"/>
          <w:szCs w:val="24"/>
        </w:rPr>
        <w:t xml:space="preserve">2015 Supreme Court ruling in </w:t>
      </w:r>
      <w:r w:rsidR="00EE6DFF">
        <w:rPr>
          <w:rFonts w:ascii="Times New Roman" w:hAnsi="Times New Roman" w:cs="Times New Roman"/>
          <w:i/>
          <w:iCs/>
          <w:sz w:val="24"/>
          <w:szCs w:val="24"/>
        </w:rPr>
        <w:t>Obergefell v. Hodges</w:t>
      </w:r>
      <w:r w:rsidR="00EE6DFF">
        <w:rPr>
          <w:rFonts w:ascii="Times New Roman" w:hAnsi="Times New Roman" w:cs="Times New Roman"/>
          <w:sz w:val="24"/>
          <w:szCs w:val="24"/>
        </w:rPr>
        <w:t xml:space="preserve"> </w:t>
      </w:r>
      <w:r w:rsidR="0090488E">
        <w:rPr>
          <w:rFonts w:ascii="Times New Roman" w:hAnsi="Times New Roman" w:cs="Times New Roman"/>
          <w:sz w:val="24"/>
          <w:szCs w:val="24"/>
        </w:rPr>
        <w:t>which</w:t>
      </w:r>
      <w:r w:rsidR="00482E83">
        <w:rPr>
          <w:rFonts w:ascii="Times New Roman" w:hAnsi="Times New Roman" w:cs="Times New Roman"/>
          <w:sz w:val="24"/>
          <w:szCs w:val="24"/>
        </w:rPr>
        <w:t xml:space="preserve"> finally</w:t>
      </w:r>
      <w:r w:rsidR="0090488E">
        <w:rPr>
          <w:rFonts w:ascii="Times New Roman" w:hAnsi="Times New Roman" w:cs="Times New Roman"/>
          <w:sz w:val="24"/>
          <w:szCs w:val="24"/>
        </w:rPr>
        <w:t xml:space="preserve"> </w:t>
      </w:r>
      <w:r w:rsidR="00EE6DFF">
        <w:rPr>
          <w:rFonts w:ascii="Times New Roman" w:hAnsi="Times New Roman" w:cs="Times New Roman"/>
          <w:sz w:val="24"/>
          <w:szCs w:val="24"/>
        </w:rPr>
        <w:t xml:space="preserve">awarded same-sex couples the right to federally recognized marriage </w:t>
      </w:r>
      <w:r w:rsidR="00A92BBF">
        <w:rPr>
          <w:rFonts w:ascii="Times New Roman" w:hAnsi="Times New Roman" w:cs="Times New Roman"/>
          <w:sz w:val="24"/>
          <w:szCs w:val="24"/>
        </w:rPr>
        <w:t>(</w:t>
      </w:r>
      <w:r w:rsidR="00A92BBF">
        <w:rPr>
          <w:rFonts w:ascii="Times New Roman" w:hAnsi="Times New Roman" w:cs="Times New Roman"/>
          <w:i/>
          <w:iCs/>
          <w:sz w:val="24"/>
          <w:szCs w:val="24"/>
        </w:rPr>
        <w:t>Obergefell v. Hodges</w:t>
      </w:r>
      <w:r w:rsidR="00A92BBF">
        <w:rPr>
          <w:rFonts w:ascii="Times New Roman" w:hAnsi="Times New Roman" w:cs="Times New Roman"/>
          <w:sz w:val="24"/>
          <w:szCs w:val="24"/>
        </w:rPr>
        <w:t xml:space="preserve"> </w:t>
      </w:r>
      <w:r w:rsidR="00575B97">
        <w:rPr>
          <w:rFonts w:ascii="Times New Roman" w:hAnsi="Times New Roman" w:cs="Times New Roman"/>
          <w:sz w:val="24"/>
          <w:szCs w:val="24"/>
        </w:rPr>
        <w:t xml:space="preserve">576 US 644, 2015). </w:t>
      </w:r>
      <w:r w:rsidR="00482E83">
        <w:rPr>
          <w:rFonts w:ascii="Times New Roman" w:hAnsi="Times New Roman" w:cs="Times New Roman"/>
          <w:sz w:val="24"/>
          <w:szCs w:val="24"/>
        </w:rPr>
        <w:t>These policies have direct implications for how LGBQ youth may develop their future expectations</w:t>
      </w:r>
      <w:r w:rsidR="006D7AB6">
        <w:rPr>
          <w:rFonts w:ascii="Times New Roman" w:hAnsi="Times New Roman" w:cs="Times New Roman"/>
          <w:sz w:val="24"/>
          <w:szCs w:val="24"/>
        </w:rPr>
        <w:t xml:space="preserve"> within this ecological model.</w:t>
      </w:r>
    </w:p>
    <w:p w14:paraId="5B25C7FD" w14:textId="77777777" w:rsidR="0048282A" w:rsidRPr="00442034" w:rsidRDefault="0048282A" w:rsidP="00C37F60">
      <w:pPr>
        <w:spacing w:line="480" w:lineRule="auto"/>
        <w:contextualSpacing/>
        <w:rPr>
          <w:rFonts w:ascii="Times New Roman" w:hAnsi="Times New Roman" w:cs="Times New Roman"/>
          <w:b/>
          <w:bCs/>
          <w:i/>
          <w:iCs/>
          <w:sz w:val="24"/>
          <w:szCs w:val="24"/>
        </w:rPr>
      </w:pPr>
      <w:r w:rsidRPr="00442034">
        <w:rPr>
          <w:rFonts w:ascii="Times New Roman" w:hAnsi="Times New Roman" w:cs="Times New Roman"/>
          <w:b/>
          <w:bCs/>
          <w:i/>
          <w:iCs/>
          <w:sz w:val="24"/>
          <w:szCs w:val="24"/>
        </w:rPr>
        <w:t>Social Support and Life Course Theory</w:t>
      </w:r>
    </w:p>
    <w:p w14:paraId="537609F4" w14:textId="2BF5DBA6"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Social support is one mechanism thought to influence future expectations, though little research has examined these trends for LGBQ youth specifically.</w:t>
      </w:r>
      <w:r w:rsidRPr="00442034">
        <w:rPr>
          <w:rFonts w:ascii="Times New Roman" w:hAnsi="Times New Roman" w:cs="Times New Roman"/>
          <w:color w:val="FF0000"/>
          <w:sz w:val="24"/>
          <w:szCs w:val="24"/>
        </w:rPr>
        <w:t xml:space="preserve"> </w:t>
      </w:r>
      <w:r w:rsidRPr="00442034">
        <w:rPr>
          <w:rFonts w:ascii="Times New Roman" w:hAnsi="Times New Roman" w:cs="Times New Roman"/>
          <w:sz w:val="24"/>
          <w:szCs w:val="24"/>
        </w:rPr>
        <w:t xml:space="preserve">Social support is defined as the perceived or received assistance that an individual has from other people in their lives, and is a well-established protective factor for mental illness and life satisfaction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{"citationID":"xL6KuG2e","properties":{"formattedCitation":"(Evans et al. 2022)","plainCitation":"(Evans et al. 2022)","noteIndex":0},"citationItems":[{"id":691,"uris":["http://zotero.org/users/7501598/items/ADLRA5YG"],"itemData":{"id":691,"type":"article-journal","abstract":"Young adults with a history of out-of-home care report poorer mental health and life satisfaction compared to non-care-experienced peers. Social support is a known protective factor for mental health. There is limited evidence, however, on the relationship between sources (e.g., family members) and types (e.g., information) of social support and mental health symptoms and life satisfaction in this population. Reporting cross-sectional survey data from 215 young adults aged 18–22 years with a history of out-of-home care, the current study conducted descriptive, bivariate, and linear regression analysis to examine the different sources and types of support young adults receive and their relation to mental health symptoms and life satisfaction. Participants had high levels of support from family members, friends, and other adults. Most participants had informational support, but less than half had consistent material support. Regression analyses demonstrated that having enough informational and material support were associated with fewer mental health symptoms. Having family support and material support were associated with greater life satisfaction. Further longitudinal research is needed to understand the trajectory between social supports and mental health functioning and life satisfaction.","container-title":"Children","DOI":"10.3390/children9040520","ISSN":"2227-9067","issue":"4","language":"en","license":"http://creativecommons.org/licenses/by/3.0/","note":"number: 4\npublisher: Multidisciplinary Digital Publishing Institute","page":"520","source":"www.mdpi.com","title":"Sources and Types of Social Supports and Their Association with Mental Health Symptoms and Life Satisfaction among Young Adults with a History of Out-of-Home Care","volume":"9","author":[{"family":"Evans","given":"Rhiannon"},{"family":"Katz","given":"Colleen C."},{"family":"Fulginiti","given":"Anthony"},{"family":"Taussig","given":"Heather"}],"issued":{"date-parts":[["2022",4]]}}}],"schema":"https://github.com/citation-style-language/schema/raw/master/csl-citation.json"}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(Evans et al. 2022)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Research has shown that social support is associated with positive health and well-being outcomes, particularly for youth who have been reported for child maltreatment or who are in foster care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{"citationID":"RIPvi8sq","properties":{"formattedCitation":"(Collins et al. 2010)","plainCitation":"(Collins et al. 2010)","noteIndex":0},"citationItems":[{"id":434,"uris":["http://zotero.org/users/7501598/items/8FTLU6W7"],"itemData":{"id":434,"type":"article-journal","abstract":"Social support is needed by everyone, but particularly by vulnerable populations at times of transition. This study utilizes data collected from 96 former foster youth regarding supports they received during the transition from care. The report addresses three questions: (1) What types of supportive relationships did the sample report? (2) What are the characteristics of supportive relationships? (3) What is the relationship of social support to outcomes? Based on the analysis, the authors draw implications for intervention and research.","container-title":"Child welfare","journalAbbreviation":"Child welfare","page":"125-43","source":"ResearchGate","title":"Supporting Youth in the Transition from Foster Care: Formal and Informal Connections","title-short":"Supporting Youth in the Transition from Foster Care","volume":"89","author":[{"family":"Collins","given":"Mary"},{"family":"Spencer","given":"Renée"},{"family":"Ward","given":"Rolanda"}],"issued":{"date-parts":[["2010",1,1]]}}}],"schema":"https://github.com/citation-style-language/schema/raw/master/csl-citation.json"}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(Collins et al. 2010)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In a study using data collected on youth who had been in foster care until the age of eighteen, Collins, Spencer, and Ward (2010) found that these youth often identified biological families, peers, and mentors as sources of support that provided acceptance, constant encouragement, and assistance when needed. When youth reported having these supportive relationships, they reported better outcomes regarding securing living space and increased educational attainment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{"citationID":"foPdpTOf","properties":{"formattedCitation":"(Collins et al. 2010)","plainCitation":"(Collins et al. 2010)","noteIndex":0},"citationItems":[{"id":434,"uris":["http://zotero.org/users/7501598/items/8FTLU6W7"],"itemData":{"id":434,"type":"article-journal","abstract":"Social support is needed by everyone, but particularly by vulnerable populations at times of transition. This study utilizes data collected from 96 former foster youth regarding supports they received during the transition from care. The report addresses three questions: (1) What types of supportive relationships did the sample report? (2) What are the characteristics of supportive relationships? (3) What is the relationship of social support to outcomes? Based on the analysis, the authors draw implications for intervention and research.","container-title":"Child welfare","journalAbbreviation":"Child welfare","page":"125-43","source":"ResearchGate","title":"Supporting Youth in the Transition from Foster Care: Formal and Informal Connections","title-short":"Supporting Youth in the Transition from Foster Care","volume":"89","author":[{"family":"Collins","given":"Mary"},{"family":"Spencer","given":"Renée"},{"family":"Ward","given":"Rolanda"}],"issued":{"date-parts":[["2010",1,1]]}}}],"schema":"https://github.com/citation-style-language/schema/raw/master/csl-citation.json"}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(Collins et al. 2010)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Indeed, social support from parents and peers has been found to promote well-being among youth who have experienced maltreatment, but may also be challenging to maintain as they face placement instability, difficulties with adjustment and behavior, and potential attachment issues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{"citationID":"N4E5bKq9","properties":{"formattedCitation":"(Corwin et al. 2020; Hershberger and Jones 2018)","plainCitation":"(Corwin et al. 2020; Hershberger and Jones 2018)","noteIndex":0},"citationItems":[{"id":1986,"uris":["http://zotero.org/users/7501598/items/NR2C7LM5"],"itemData":{"id":1986,"type":"article-journal","abstract":"Social support networks can provide instrumental and emotional support that buffer against child maltreatment. Family Group Conferencing, in part, aims to develop support networks in the interest of child safety. This study uses a randomised controlled trial to examine the impact of Family Group Conferencing on caseworkers’ perceptions of families’ levels of social support. The analytical sample included 287 families with a substantiated report of child abuse or neglect assigned to receive in-home services in two counties. Ordinal logistic regression analyses demonstrated family meeting participation and, Family Group Conference participation in particular, jurisdiction, and the number of children on the case record significantly predicted perceived improvement in social support. This study provides evidence that family meetings may increase levels of social support and provide a protective factor for child safety.","container-title":"The British Journal of Social Work","DOI":"10.1093/bjsw/bcz036","ISSN":"0045-3102","issue":"1","journalAbbreviation":"The British Journal of Social Work","page":"137-156","source":"Silverchair","title":"Increasing Social Support for Child Welfare-Involved Families Through Family Group Conferencing","volume":"50","author":[{"family":"Corwin","given":"Tyler W"},{"family":"Maher","given":"Erin J"},{"family":"Merkel-Holguin","given":"Lisa"},{"family":"Allan","given":"Heather"},{"family":"Hollinshead","given":"Dana M"},{"family":"Fluke","given":"John D"}],"issued":{"date-parts":[["2020",1,1]]}}},{"id":535,"uris":["http://zotero.org/users/7501598/items/QUHCVWEX"],"itemData":{"id":535,"type":"article-journal","abstract":"Adolescents who have experienced maltreatment face many developmental and educational challenges compared with their non-maltreated peers. Research demonstrates the importance of social relationships in academic achievement among non-maltreated youth, and suggests the influence of parent and peer relationships for academic success in maltreated youth as well, including the potential benefit of school engagement. Data for the study comes from the first wave of the second National Survey of Child and Adolescent Well-Being (NSCAW II), a nationally-representative sample of children involved in Child Protective Services in the United States. The study finds that maltreated adolescents' perceptions of relationship quality with both parents and peers significantly predict academic achievement. In addition, results demonstrate a mediating effect of school engagement between parent and peer variables and some academic achievement outcomes.","container-title":"Journal of Adolescence","DOI":"10.1016/j.adolescence.2018.06.003","ISSN":"0140-1971","journalAbbreviation":"Journal of Adolescence","language":"en","page":"98-108","source":"ScienceDirect","title":"The influence of social relationships and school engagement on academic achievement in maltreated adolescents","volume":"67","author":[{"family":"Hershberger","given":"Mary A."},{"family":"Jones","given":"Martin H."}],"issued":{"date-parts":[["2018",8,1]]}}}],"schema":"https://github.com/citation-style-language/schema/raw/master/csl-citation.json"}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(Corwin et al. 2020; Hershberger and Jones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This study considers social support from two sources: caregivers and peers.</w:t>
      </w:r>
    </w:p>
    <w:p w14:paraId="7268B5B2" w14:textId="707B9399"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A predominant theory used to understand the trajectories of adolescents into adulthood is life course theory. The life course is defined as “pathways through the age-differentiated life </w:t>
      </w:r>
      <w:r w:rsidRPr="00442034">
        <w:rPr>
          <w:rFonts w:ascii="Times New Roman" w:hAnsi="Times New Roman" w:cs="Times New Roman"/>
          <w:sz w:val="24"/>
          <w:szCs w:val="24"/>
        </w:rPr>
        <w:lastRenderedPageBreak/>
        <w:t xml:space="preserve">span” and the social transitions enacted over time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{"citationID":"pw7ruZa9","properties":{"formattedCitation":"(Elder 1998)","plainCitation":"(Elder 1998)","noteIndex":0},"citationItems":[{"id":528,"uris":["http://zotero.org/users/7501598/items/SFEEJKG3"],"itemData":{"id":528,"type":"article-journal","abstract":"The pioneering longitudinal studies of child development (all launched in the 1920s and 1930s) were extended well beyond childhood. Indeed, they eventually followed their young study members up to the middle years and later life. In doing so, they generated issues that could not be addressed satisfactorily by available theories. These include the recognition that individual lives are influenced by their ever-changing historical context, that the study of human lives calls for new ways of thinking about their pattern and dynamic, and that concepts of human development should apply to processes across the life span. Life course theory has evolved since the 1960s through programmatic efforts to address such issues.","container-title":"Child Development","DOI":"10.2307/1132065","ISSN":"0009-3920","issue":"1","note":"publisher: [Wiley, Society for Research in Child Development]","page":"1-12","source":"JSTOR","title":"The Life Course as Developmental Theory","volume":"69","author":[{"family":"Elder","given":"Glen H."}],"issued":{"date-parts":[["1998"]]}}}],"schema":"https://github.com/citation-style-language/schema/raw/master/csl-citation.json"}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(Elder 1998)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According to this theory, early child development significantly shapes future life trajectories. Social bonds to family and schools can counteract negative trajectories. Additionally, turning points such as employment and marriage in adulthood can redirect pathways positively by increasing attachments and commitment to conventional society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{"citationID":"k7PKTYqo","properties":{"formattedCitation":"(Laub and Sampson 1993)","plainCitation":"(Laub and Sampson 1993)","noteIndex":0},"citationItems":[{"id":86,"uris":["http://zotero.org/users/7501598/items/AVG4FCRQ"],"itemData":{"id":86,"type":"article-journal","abstract":"This article examines conceptual issues relating to continuity and change in crime over the life course. Building on past efforts, we first distinguish self-selection from a cumulative, developmental process whereby delinquent behavior attenuates adult social bonds (e.g., labor force attachment, marital cohesion). We then conceptualize various types of change and argue that social capital and turning points are crucial in understanding processes of change in the adult life course. These concepts are illustrated by examining person-based, life-history data drawn from the Gluecks' longitudinal study of 1,000 men. Although adult crime is clearly connected to childhood behavior, these qualitative data suggest that both incremental and abrupt change are structured by changes in adult social bonds. We conclude with some hypotheses and implications for future research on subjective contingencies, opportunity structures, and chance encounters as potential turning points for change, especially as they interact with race, class location, and historical context.","container-title":"Criminology","DOI":"10.1111/j.1745-9125.1993.tb01132.x","ISSN":"1745-9125","issue":"3","language":"en","note":"_eprint: https://onlinelibrary.wiley.com/doi/pdf/10.1111/j.1745-9125.1993.tb01132.x","page":"301-325","source":"Wiley Online Library","title":"Turning Points in the Life Course: Why Change Matters to the Study of Crime*","title-short":"Turning Points in the Life Course","volume":"31","author":[{"family":"Laub","given":"John H."},{"family":"Sampson","given":"Robert J."}],"issued":{"date-parts":[["1993"]]}}}],"schema":"https://github.com/citation-style-language/schema/raw/master/csl-citation.json"}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(Laub and Sampson 1993)</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This theory is useful for studying youth in the child welfare system as they navigate their transition into adulthood, as their attachments to family and schools are often fractured due to child abuse and neglect and disruptions in placements while in the child welfare system. As a result, outcomes for youth transitioning from the system and into adulthood are fraught with challenges in finding housing, employment, and continuing their education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{"citationID":"pX5m2Hyf","properties":{"formattedCitation":"(Gunawardena and Stich 2021)","plainCitation":"(Gunawardena and Stich 2021)","noteIndex":0},"citationItems":[{"id":108,"uris":["http://zotero.org/users/7501598/items/J6P5KJL6"],"itemData":{"id":108,"type":"article-journal","abstract":"Introduction\nYoung people aging out of the child welfare system face significant barriers to their transition into adulthood including issues related to housing, employment, education, and involvement in the criminal justice system. To be able to develop effective, evidence-based interventions that can help support them, we need to understand which aspects of current interventions work, under what conditions and for whom they work. The present systematic review synthesizes available scientific evidence on interventions for youth transitioning out of the child welfare system in high-income countries.\nMethods\nWe conducted a systematic review using the Preferred Reporting Items for Systematic Reviews and Meta-analyses (PRISMA) 2009 checklist. We used a comprehensive search strategy across six electronic databases to identify relevant scientific publications: Medline, CINAHL, Scopus, PsycINFO, Social Sciences Citation Index and Social Work Abstracts. Following duplicate removal, abstract and full-text screening, we ultimately included 30 studies in the final review. Following risk of bias assessment and data extraction, we chose narrative synthesis to summarize findings from quantitative, qualitative and mixed-methods studies by intervention themes.\nResults\nWe identified eight intervention themes across evaluated interventions: independent living readiness; policy changes allowing youth to remain in care beyond the age of majority; mentorship; art/mindfulness; education support; employment support; self-empowerment; and informal learning opportunities. Independent living readiness programs are the most commonly studied programs. Results on their effectiveness are mixed, showing positive results for employment outcomes, improved housing stability, lower legal system involvement and decreased levels of mental health problems, but not for educational attainment or social support. Results from studies on the effectiveness of policy changes that allow youth to remain in care beyond the age of majority and on employment support programs were mixed. Studies on mentorship programs, educational programs, art/mindfulness programs provide no evidence of effectiveness.\nConclusion\nThe scarcity of rigorous evaluation studies renders the identification of components for effective interventions to support youth transitioning out of care difficult. While results found in the current systematic review offer an evidence-base for the development of effective interventions for youth transitioning out of care, more rigorous evaluation studies are needed to help understand what works, in what context and for what populations of transitioning youth.","container-title":"Children and Youth Services Review","DOI":"10.1016/j.childyouth.2021.106076","ISSN":"0190-7409","journalAbbreviation":"Children and Youth Services Review","language":"en","page":"106076","source":"ScienceDirect","title":"Interventions for young people aging out of the child welfare system: A systematic literature review","title-short":"Interventions for young people aging out of the child welfare system","volume":"127","author":[{"family":"Gunawardena","given":"Nathali"},{"family":"Stich","given":"Christine"}],"issued":{"date-parts":[["2021",8,1]]}}}],"schema":"https://github.com/citation-style-language/schema/raw/master/csl-citation.json"}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(Gunawardena and Stich 2021)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r w:rsidR="00BB0320">
        <w:rPr>
          <w:rFonts w:ascii="Times New Roman" w:hAnsi="Times New Roman" w:cs="Times New Roman"/>
          <w:sz w:val="24"/>
          <w:szCs w:val="24"/>
        </w:rPr>
        <w:t xml:space="preserve"> These fractured relationships may be even more predominant for LGBQ youth in child welfare, warranting more investigation.</w:t>
      </w:r>
    </w:p>
    <w:p w14:paraId="360F689F" w14:textId="50D7F6EB" w:rsidR="0048282A"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A component of life course theory especially useful in exploring social support as a mechanism for influencing future expectations is the linked lives principle. The linked lives principle suggests that an individual and their life course cannot be understood independently from their social relationships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{"citationID":"ga5OpoDs","properties":{"formattedCitation":"(Landes and Settersten 2019)","plainCitation":"(Landes and Settersten 2019)","noteIndex":0},"citationItems":[{"id":525,"uris":["http://zotero.org/users/7501598/items/48QAQ6VG"],"itemData":{"id":525,"type":"article-journal","abstract":"The notion that people make choices and take actions that determine the outcomes of their lives – human agency – is a central principle of the life course paradigm. Unfortunately, conceptualizations of agency, like larger developmental and sociological theories, often assume that agency is limited to individuals who are “developmentally normal.” We draw upon the thought of social scientists and disability scholars, as well as the life history of a woman with intellectual disability, to address the logical, ethical, and empirical flaws of this assumption. To rectify these problems, life course theory and research should pay greater attention to how agency is interwoven with another central principle of the life course paradigm: linked lives. This principle is that an individual’s life cannot be understood in isolation of their interdependencies with other persons. Although human agency and linked lives are discussed as separate principles of the life course, they are not separate in lived experience. We demonstrate that, for all people and at all times in life, human agency is dependent upon interpersonal relationships. It is therefore imperative to examine intersections of agency and linked lives in order to more fully and accurately understand life course dynamics in diverse populations. Human agency is profoundly affected by interpersonal relationships and other social factors. Because agency and linked lives are inseparable, agency cannot be conceptualized as an individual characteristic of ‘independent’ actors. We conclude by discussing how life course research can more fully attend to the relationship between agency and linked lives.","container-title":"Advances in Life Course Research","DOI":"10.1016/j.alcr.2019.100306","ISSN":"1040-2608","journalAbbreviation":"Advances in Life Course Research","language":"en","page":"100306","source":"ScienceDirect","title":"The inseparability of human agency and linked lives","volume":"42","author":[{"family":"Landes","given":"Scott D."},{"family":"Settersten","given":"Richard A."}],"issued":{"date-parts":[["2019",12,1]]}}}],"schema":"https://github.com/citation-style-language/schema/raw/master/csl-citation.json"}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(Landes and Settersten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In a study on maternal circumstances and developmental trajectories for youth, Macmillan et al. (2004) found that maternal instability and poverty intensified antisocial behavior in children, while stability and escape from poverty improved these behaviors. These findings utilized a linked lives perspective and highlighted how youth develop within the context of their family relationships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{"citationID":"xpL8fIIH","properties":{"formattedCitation":"(Macmillan et al. 2004)","plainCitation":"(Macmillan et al. 2004)","noteIndex":0},"citationItems":[{"id":523,"uris":["http://zotero.org/users/7501598/items/LB3ISMU4"],"itemData":{"id":523,"type":"article-journal","abstract":"Drawing on the notion of linked lives, this study examined the effects of stability and change in maternal circumstance on developmental trajectories of antisocial behavior in children 4 to 7 years of age. Using data from a national sample of young mothers and growth curve analysis, the study demonstrated that early maternal circumstances influences early antisocial behavior, whereas stability and change in these circumstances both exacerbate and ameliorate behavior problems. Of particular note, meaningful escape from poverty attenuates antisocial behavior whereas persistence in poverty or long-term movement into poverty intensifies such problems. These findings highlight the importance of structural context for parenting practices and the need to consider child development in light of dynamic and changing life-course fortunes of parents.","container-title":"Child Development","DOI":"10.1111/j.1467-8624.2004.00664.x","ISSN":"1467-8624","issue":"1","language":"en","note":"_eprint: https://onlinelibrary.wiley.com/doi/pdf/10.1111/j.1467-8624.2004.00664.x","page":"205-220","source":"Wiley Online Library","title":"Linked Lives: Stability and Change in Maternal Circumstances and Trajectories of Antisocial Behavior in Children","title-short":"Linked Lives","volume":"75","author":[{"family":"Macmillan","given":"Ross"},{"family":"McMorris","given":"Barbara J."},{"family":"Kruttschnitt","given":"Candace"}],"issued":{"date-parts":[["2004"]]}}}],"schema":"https://github.com/citation-style-language/schema/raw/master/csl-citation.json"}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(Macmillan et al. 2004)</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For adolescents, both parents and peers serve as very important relationships that cultivate trajectories for these youth. Early-life influences by parents can shape later-life </w:t>
      </w:r>
      <w:r w:rsidRPr="00442034">
        <w:rPr>
          <w:rFonts w:ascii="Times New Roman" w:hAnsi="Times New Roman" w:cs="Times New Roman"/>
          <w:sz w:val="24"/>
          <w:szCs w:val="24"/>
        </w:rPr>
        <w:lastRenderedPageBreak/>
        <w:t xml:space="preserve">outcomes for youth, and major transitions within the lives of youth can impact intergenerational relationships that alter life course outcomes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{"citationID":"ZmwhCpLP","properties":{"formattedCitation":"(Bucx 2009)","plainCitation":"(Bucx 2009)","noteIndex":0},"citationItems":[{"id":524,"uris":["http://zotero.org/users/7501598/items/328CMP44"],"itemData":{"id":524,"type":"book","ISBN":"90-814533-1-9","publisher":"Utrecht University","title":"Linked lives: Young adults’ life course and relations with parents","author":[{"family":"Bucx","given":"Alfred Jacobus Elisabeth Hubertus"}],"issued":{"date-parts":[["2009"]]}}}],"schema":"https://github.com/citation-style-language/schema/raw/master/csl-citation.json"}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(Bucx 2009)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p>
    <w:p w14:paraId="082D7874" w14:textId="46C1C99B"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Similarly, adolescent friendships are deeply interconnected relationships that influence well-being and later life outcomes. Findings from research on adolescent friendships found that dependable and caring friendships provided support for these youth, though youth who could use this support most often had difficulty forming such positive relationships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{"citationID":"xKZ1h4Oo","properties":{"formattedCitation":"(Flynn, Felmlee, and Conger 2017)","plainCitation":"(Flynn, Felmlee, and Conger 2017)","noteIndex":0},"citationItems":[{"id":522,"uris":["http://zotero.org/users/7501598/items/2NPW8HQW"],"itemData":{"id":522,"type":"article-journal","container-title":"Youth &amp; Society","ISSN":"0044-118X","issue":"5","journalAbbreviation":"Youth &amp; Society","note":"publisher: Sage Publications Sage CA: Los Angeles, CA","page":"679-705","title":"The social context of adolescent friendships: Parents, peers, and romantic partners","volume":"49","author":[{"family":"Flynn","given":"Heather Kohler"},{"family":"Felmlee","given":"Diane H"},{"family":"Conger","given":"Rand D"}],"issued":{"date-parts":[["2017"]]}}}],"schema":"https://github.com/citation-style-language/schema/raw/master/csl-citation.json"}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(Flynn, Felmlee, and Conger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likely due to early trauma which impacts their ability to form healthy and trusting relationships. Alternatively, negative peer influence can lead to peer rejection and bullying and increased risk of delinquency and substance use, all of which impact youth’s mental health and well-being and future life trajectories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{"citationID":"mH2Cg7pG","properties":{"formattedCitation":"(Mitchum and Moodie-Mills 2014; Weerman, Wilcox, and Sullivan 2018)","plainCitation":"(Mitchum and Moodie-Mills 2014; Weerman, Wilcox, and Sullivan 2018)","noteIndex":0},"citationItems":[{"id":153,"uris":["http://zotero.org/users/7501598/items/WGAPFA53"],"itemData":{"id":153,"type":"article-journal","container-title":"Washington, DC: Center for American Progress","title":"Beyond bullying: How hostile school climate perpetuates the school-to-prison pipeline for LGBT youth","author":[{"family":"Mitchum","given":"Preston"},{"family":"Moodie-Mills","given":"Aisha C."}],"issued":{"date-parts":[["2014"]]}}},{"id":557,"uris":["http://zotero.org/users/7501598/items/6Y9D6YHM"],"itemData":{"id":557,"type":"article-journal","abstract":"To analyze short-term changes in peer affiliations, offending behavior and routine activities in order to evaluate three different processes: peer selection, peer socialization and situational peer influences.","container-title":"Journal of Quantitative Criminology","DOI":"10.1007/s10940-017-9340-2","ISSN":"1573-7799","issue":"2","journalAbbreviation":"J Quant Criminol","language":"en","page":"431-463","source":"Springer Link","title":"The Short-Term Dynamics of Peers and Delinquent Behavior: An Analysis of Bi-weekly Changes Within a High School Student Network","title-short":"The Short-Term Dynamics of Peers and Delinquent Behavior","volume":"34","author":[{"family":"Weerman","given":"Frank M."},{"family":"Wilcox","given":"Pamela"},{"family":"Sullivan","given":"Christopher J."}],"issued":{"date-parts":[["2018",6,1]]}}}],"schema":"https://github.com/citation-style-language/schema/raw/master/csl-citation.json"}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(Mitchum and Moodie-Mills 2014; Weerman, Wilcox, and Sullivan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Therefore, from a linked lives perspective, both parents and peers are critical in examining future expectations for youth.</w:t>
      </w:r>
    </w:p>
    <w:p w14:paraId="5372A1B4" w14:textId="293334B0" w:rsidR="0048282A"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Youth in the child welfare system report social support from </w:t>
      </w:r>
      <w:r w:rsidR="00AF11ED">
        <w:rPr>
          <w:rFonts w:ascii="Times New Roman" w:hAnsi="Times New Roman" w:cs="Times New Roman"/>
          <w:sz w:val="24"/>
          <w:szCs w:val="24"/>
        </w:rPr>
        <w:t>four</w:t>
      </w:r>
      <w:r w:rsidRPr="00442034">
        <w:rPr>
          <w:rFonts w:ascii="Times New Roman" w:hAnsi="Times New Roman" w:cs="Times New Roman"/>
          <w:sz w:val="24"/>
          <w:szCs w:val="24"/>
        </w:rPr>
        <w:t xml:space="preserve"> main sources: parents, peers, professional staff such as caseworkers, and substitute caregivers such as foster parents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{"citationID":"ns7SPifw","properties":{"formattedCitation":"(Courtney et al. 2014)","plainCitation":"(Courtney et al. 2014)","noteIndex":0},"citationItems":[{"id":530,"uris":["http://zotero.org/users/7501598/items/QFRT8U86"],"itemData":{"id":530,"type":"report","abstract":"This report presents findings from the \"Baseline Youth Survey of the California\" Youth Transitions to Adulthood Study (CalYOUTH). CalYOUTH is an evaluation of the impact of the California Fostering Connections to Success Act on outcomes during the transition to adulthood for foster youth. CalYOUTH includes collection and analysis of information from three sources: (1) transition-age youth; (2) child welfare workers; and (3) government program data. The study, directed by Dr. Mark Courtney at the University of Chicago and conducted in collaboration with the California Department of Social Services and County Welfare Directors Association of California (CWDA), is being carried out over a 5-year period from 2012-17. The study addresses three research questions: (1) Does extending foster care past age 18 influence youths' outcomes during the transition to adulthood (e.g., education, employment, health, housing, parenting, and general well-being)?; (2) What factors influence the types of support youth receive during the transition to adulthood in the context of extended foster care?; and (3) How do living arrangements and other services that result from extending foster care influence the relationship between extending care and youth outcomes? Results from the baseline survey of youth, before the youth reach the age of majority and become eligible for extended care, are summarized in this report. The report provides food for thought for policymakers and program administrators considering extending care to young adults by summarizing youths' descriptions of their assets, aspirations, and needs as they approach the transition to adulthood.","language":"en","note":"ISSN: 1097-3125\ncontainer-title: Chapin Hall at the University of Chicago\nERIC Number: ED614174","publisher":"Chapin Hall at the University of Chicago","source":"ERIC","title":"Findings from the California Youth Transitions to Adulthood Study (CalYOUTH): Conditions of Foster Youth at Age 17","title-short":"Findings from the California Youth Transitions to Adulthood Study (CalYOUTH)","author":[{"family":"Courtney","given":"Mark E."},{"family":"Charles","given":"Pajarita"},{"family":"Okpych","given":"Nathanael J."},{"family":"Napolitano","given":"Laura"},{"family":"Halsted","given":"Katherine"}],"accessed":{"date-parts":[["2023",4,18]]},"issued":{"date-parts":[["2014"]]}}}],"schema":"https://github.com/citation-style-language/schema/raw/master/csl-citation.json"}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(Courtney et al. 2014)</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Research has shown that positive support from parents or caregivers contributed to larger social networks, higher interaction with children, and the provision of stimulating home environments for children in child welfare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{"citationID":"QBk9hb6p","properties":{"formattedCitation":"(Rajendran, Smith, and Videka 2015)","plainCitation":"(Rajendran, Smith, and Videka 2015)","noteIndex":0},"citationItems":[{"id":693,"uris":["http://zotero.org/users/7501598/items/X2XH9DIS"],"itemData":{"id":693,"type":"article-journal","abstract":"Focusing on families having contact with the child welfare system, this study aims to assess whether caregiver social support is associated with the three primary child welfare goals: child safety, permanency and well-being. The study uses a national probability sample of children having contact with the child welfare system and a prospective study design. It includes both caregiver and caseworker indicators of social support. Consistent with previous research, study results suggest that different indicators of caregiver social support are associated with different child welfare outcomes. Notably, when caregivers were more satisfied with their social support and caseworkers rated caregiver social support as adequate, children were less likely to be placed out of the home. Also, caregivers who had more people to call on for support rated their children as having less severe behavior problems. Implications for practice are addressed.","container-title":"Children and Youth Services Review","DOI":"10.1016/j.childyouth.2014.12.012","ISSN":"0190-7409","journalAbbreviation":"Children and Youth Services Review","language":"en","page":"150-158","source":"ScienceDirect","title":"Association of caregiver social support with the safety, permanency, and well-being of children in child welfare","volume":"48","author":[{"family":"Rajendran","given":"Khushmand"},{"family":"Smith","given":"Brenda D."},{"family":"Videka","given":"Lynn"}],"issued":{"date-parts":[["2015",1,1]]}}}],"schema":"https://github.com/citation-style-language/schema/raw/master/csl-citation.json"}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(Rajendran, Smith, and Videka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Social support from parents or caregivers has</w:t>
      </w:r>
      <w:r w:rsidR="0087531C">
        <w:rPr>
          <w:rFonts w:ascii="Times New Roman" w:hAnsi="Times New Roman" w:cs="Times New Roman"/>
          <w:sz w:val="24"/>
          <w:szCs w:val="24"/>
        </w:rPr>
        <w:t xml:space="preserve"> also</w:t>
      </w:r>
      <w:r w:rsidRPr="00442034">
        <w:rPr>
          <w:rFonts w:ascii="Times New Roman" w:hAnsi="Times New Roman" w:cs="Times New Roman"/>
          <w:sz w:val="24"/>
          <w:szCs w:val="24"/>
        </w:rPr>
        <w:t xml:space="preserve"> been found to increase child well-being by reducing internalizing behaviors and increasing placement stability and life satisfaction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{"citationID":"rtUVJyli","properties":{"formattedCitation":"(Cusumano 2022; Evans et al. 2022)","plainCitation":"(Cusumano 2022; Evans et al. 2022)","noteIndex":0},"citationItems":[{"id":539,"uris":["http://zotero.org/users/7501598/items/GWULPRGF"],"itemData":{"id":539,"type":"thesis","abstract":"High rates of youth in the child welfare system (CWS) experience placement instability, or frequent moves between household, institution, or placement (Fisher et al., 2013). Placement instability has been shown to predict subsequent internalizing symptoms regardless of the maltreatment type, severity, or frequency experienced by the child in foster care (McGuire et al., 2018). Frequent moves between biological parents, foster or kinship caregivers, or group homes may detrimentally affect youth’s social support networks, which are known to serve as a protective factor for maltreated children and adolescents (Folger &amp; Wright, 2013). The current study aims to examine longitudinally whether perceived support from current primary caregivers and/or peers mediate the link between number of home placement moves and internalizing symptoms in youth referred to the child welfare system. It was hypothesized that there would be significant indirect effects from placement instability to internalizing symptoms via both perceived current caregiver support and perceived peer support. Secondary data analysis was performed using data collected from 1,333 adolescents as part of the National Survey of Child and Adolescent Wellbeing (NSCAW). Perceived current caregiver support was assessed using project-developed questions and perceived peer support was measured using an adapted version of the Children’s Loneliness and Dissatisfaction Scale (Asher et al., 1984). A structural equation model (SEM) was utilized to test whether there were indirect effects of placement instability (reported by the child’s caseworker) between baseline and Wave 3 (18 months after initial CWS investigation) and internalizing symptoms at Wave 4 (36 months after initial CWS investigation) via perceived current caregiver support and perceived peer support (both measured at Wave 3). Results showed a significant indirect effect from placement instability to internalizing symptoms via current caregiver support only. Training and intervention implications for biological parents and substitute caregivers involved with the child welfare system are discussed.","event-place":"United States -- New York","genre":"M.A.","language":"English","license":"Database copyright ProQuest LLC; ProQuest does not claim copyright in the individual underlying works.","note":"ISBN: 9798209886693","number-of-pages":"45","publisher":"St. John's University (New York)","publisher-place":"United States -- New York","source":"ProQuest","title":"Placement Instability, Perceived Social Support, and Internalizing Symptoms in Youth in the Child Welfare System","URL":"https://www.proquest.com/docview/2640384196/abstract/8538F62C82FA46E9PQ/1","author":[{"family":"Cusumano","given":"Michelle"}],"accessed":{"date-parts":[["2023",4,16]]},"issued":{"date-parts":[["2022"]]}}},{"id":691,"uris":["http://zotero.org/users/7501598/items/ADLRA5YG"],"itemData":{"id":691,"type":"article-journal","abstract":"Young adults with a history of out-of-home care report poorer mental health and life satisfaction compared to non-care-experienced peers. Social support is a known protective factor for mental health. There is limited evidence, however, on the relationship between sources (e.g., family members) and types (e.g., information) of social support and mental health symptoms and life satisfaction in this population. Reporting cross-sectional survey data from 215 young adults aged 18–22 years with a history of out-of-home care, the current study conducted descriptive, bivariate, and linear regression analysis to examine the different sources and types of support young adults receive and their relation to mental health symptoms and life satisfaction. Participants had high levels of support from family members, friends, and other adults. Most participants had informational support, but less than half had consistent material support. Regression analyses demonstrated that having enough informational and material support were associated with fewer mental health symptoms. Having family support and material support were associated with greater life satisfaction. Further longitudinal research is needed to understand the trajectory between social supports and mental health functioning and life satisfaction.","container-title":"Children","DOI":"10.3390/children9040520","ISSN":"2227-9067","issue":"4","language":"en","license":"http://creativecommons.org/licenses/by/3.0/","note":"number: 4\npublisher: Multidisciplinary Digital Publishing Institute","page":"520","source":"www.mdpi.com","title":"Sources and Types of Social Supports and Their Association with Mental Health Symptoms and Life Satisfaction among Young Adults with a History of Out-of-Home Care","volume":"9","author":[{"family":"Evans","given":"Rhiannon"},{"family":"Katz","given":"Colleen C."},{"family":"Fulginiti","given":"Anthony"},{"family":"Taussig","given":"Heather"}],"issued":{"date-parts":[["2022",4]]}}}],"schema":"https://github.com/citation-style-language/schema/raw/master/csl-citation.json"}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(Cusumano 2022; Evans et al. 2022)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p>
    <w:p w14:paraId="6FB24CA1" w14:textId="5A217EEC"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In general, social support from parents buffers against stress and may influence future expectations by setting standards, influencing the youth’s interests and goals, and serving as role models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{"citationID":"69eTG3RF","properties":{"formattedCitation":"(Nurmi 2005)","plainCitation":"(Nurmi 2005)","noteIndex":0},"citationItems":[{"id":529,"uris":["http://zotero.org/users/7501598/items/M3NNPTMZ"],"itemData":{"id":529,"type":"paper-conference","title":"Thinking About and Acting Upon the Future: Development of Future Orientation Across the Life Span.","author":[{"family":"Nurmi","given":"Jari-Erik"}],"issued":{"date-parts":[["2005"]]}}}],"schema":"https://github.com/citation-style-language/schema/raw/master/csl-citation.json"}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(Nurmi 2005)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Social support from other caregivers for youth in the child welfare system </w:t>
      </w:r>
      <w:r w:rsidRPr="00442034">
        <w:rPr>
          <w:rFonts w:ascii="Times New Roman" w:hAnsi="Times New Roman" w:cs="Times New Roman"/>
          <w:sz w:val="24"/>
          <w:szCs w:val="24"/>
        </w:rPr>
        <w:lastRenderedPageBreak/>
        <w:t xml:space="preserve">is important, as well, as they may be less likely to receive support from their biological parents. Having positive relationships with foster parents can promote higher levels of life satisfaction, particularly if these caregivers model emotional regulation and learning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{"citationID":"0oHJgDvj","properties":{"formattedCitation":"(Evans et al. 2022; Healey and Fisher 2011; Salazar et al. 2020)","plainCitation":"(Evans et al. 2022; Healey and Fisher 2011; Salazar et al. 2020)","noteIndex":0},"citationItems":[{"id":691,"uris":["http://zotero.org/users/7501598/items/ADLRA5YG"],"itemData":{"id":691,"type":"article-journal","abstract":"Young adults with a history of out-of-home care report poorer mental health and life satisfaction compared to non-care-experienced peers. Social support is a known protective factor for mental health. There is limited evidence, however, on the relationship between sources (e.g., family members) and types (e.g., information) of social support and mental health symptoms and life satisfaction in this population. Reporting cross-sectional survey data from 215 young adults aged 18–22 years with a history of out-of-home care, the current study conducted descriptive, bivariate, and linear regression analysis to examine the different sources and types of support young adults receive and their relation to mental health symptoms and life satisfaction. Participants had high levels of support from family members, friends, and other adults. Most participants had informational support, but less than half had consistent material support. Regression analyses demonstrated that having enough informational and material support were associated with fewer mental health symptoms. Having family support and material support were associated with greater life satisfaction. Further longitudinal research is needed to understand the trajectory between social supports and mental health functioning and life satisfaction.","container-title":"Children","DOI":"10.3390/children9040520","ISSN":"2227-9067","issue":"4","language":"en","license":"http://creativecommons.org/licenses/by/3.0/","note":"number: 4\npublisher: Multidisciplinary Digital Publishing Institute","page":"520","source":"www.mdpi.com","title":"Sources and Types of Social Supports and Their Association with Mental Health Symptoms and Life Satisfaction among Young Adults with a History of Out-of-Home Care","volume":"9","author":[{"family":"Evans","given":"Rhiannon"},{"family":"Katz","given":"Colleen C."},{"family":"Fulginiti","given":"Anthony"},{"family":"Taussig","given":"Heather"}],"issued":{"date-parts":[["2022",4]]}}},{"id":1969,"uris":["http://zotero.org/users/7501598/items/QS7IBH5E"],"itemData":{"id":1969,"type":"article-journal","abstract":"Young foster children have invariably faced a variety of risks that are strongly linked to long-term deficits in functioning across multiple developmental domains. Despite these risks, however, some children demonstrate more favorable outcomes and exhibit adaptation and the development of assets. In the present study, the relationship of early childhood factors (e.g., maltreatment history, placement history, parenting practices, environmental stress, developmental status, and attachment behavior) to the development of favorable outcomes in middle childhood were examined in a sample of foster children who had been in foster care in preschool (N = 35). Favorable outcomes were defined as demonstrations of emotion regulation and school adjustment in during middle childhood. Developmental status (particularly attention and executive functioning) and a lack of environmental stress during early childhood foster care experiences had a significant positive relationship with the development of emotion regulation and school adjustment in middle childhood.","container-title":"Children and youth services review","DOI":"10.1016/j.childyouth.2011.05.007","ISSN":"0190-7409","issue":"10","journalAbbreviation":"Child Youth Serv Rev","note":"PMID: 21987598\nPMCID: PMC3188952","page":"1822-1830","source":"PubMed Central","title":"Children in Foster Care and the Development of Favorable Outcomes","volume":"33","author":[{"family":"Healey","given":"Cynthia V."},{"family":"Fisher","given":"Philip A."}],"issued":{"date-parts":[["2011",10]]}}},{"id":348,"uris":["http://zotero.org/users/7501598/items/3G6IPJPV"],"itemData":{"id":348,"type":"article-journal","abstract":"LGBTQ+ youth are over-represented in the foster care system. Child welfare systems across the country have been struggling with how to make their systems work better for the LGBTQ+ youth they serve. One strategy is developing foster caregiver trainings that bolster caregivers’ knowledge and support of LGBTQ+ youth in their care. This study has three aims: (1) to provide an overview of a module designed to support relationship building between LGBTQ+ youth in foster care and their caregivers, (2) to describe the theater testing procedure used to assess usability of the developed module with foster caregivers and adults, and (3) to share the results of the theater test. Overall, participants provided positive usability feedback about the module activities, as well as a wide variety of recommendations for strengthening the content for widespread use. Participants felt the module should be directed specifically toward caregiver skill development rather than toward both caregiver and youth support. This module represents one example of how materials focused on building foster caregivers’ knowledge and support have the potential to help LGBTQ+ teens who are overrepresented in the foster care system.","container-title":"Sexuality research &amp; social policy : journal of NSRC : SR &amp; SP","DOI":"10.1007/s13178-019-00387-z","ISSN":"1868-9884","issue":"2","journalAbbreviation":"Sex Res Social Policy","note":"PMID: 32431761\nPMCID: PMC7236553","page":"239-251","source":"PubMed Central","title":"Supporting LGBTQ+ Foster Teens: Development of a Relationship-Focused, Self-Guided Curriculum for Foster Families","title-short":"Supporting LGBTQ+ Foster Teens","volume":"17","author":[{"family":"Salazar","given":"Amy M."},{"family":"Haggerty","given":"Kevin P."},{"family":"Barkan","given":"Susan E."},{"family":"Peterson","given":"Rachel"},{"family":"Furlong","given":"Madeline E."},{"family":"Kim","given":"Eunsaem"},{"family":"Cole","given":"Janice J."},{"family":"Colito","given":"Jessica M."}],"issued":{"date-parts":[["2020",6]]}}}],"schema":"https://github.com/citation-style-language/schema/raw/master/csl-citation.json"}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(Evans et al. 2022; Healey and Fisher 2011; Salazar et al. 2020)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In a study using NSCAW II data, better relationships with caregivers predicted higher future expectations for youth in child welfare across three domains, though this was not the primary focus on the study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{"citationID":"4xeiH223","properties":{"formattedCitation":"(Rajendran 2008)","plainCitation":"(Rajendran 2008)","noteIndex":0},"citationItems":[{"id":526,"uris":["http://zotero.org/users/7501598/items/QNCZZVEM"],"itemData":{"id":526,"type":"thesis","abstract":"A more optimal relationship with the caregiver and positive expectations of the future have consistently been identified as having a protective effect on at-risk adolescents. But there is little research investigating these two factors in the context of the US child welfare system. Adolescents who are part of the child welfare system face multiple stressors such as a history of maltreatment, poverty, parental mental health problems, parental incarceration and so on.\nThis study hypothesized that a more optimal relationship with the caregiver and higher expectations of the future would not only be associated with behavioral and emotional resilience but also with positive behavioral and emotional adaptations over a period of time (36 months after the close of investigation).\nData from the National Survey of Child and Adolescent Well-being (NSCAW)—the first nationally representative study of child welfare to collect data from children and families (N=1178) was analyzed. Multiple linear regression within a complex samples framework was used to test the hypotheses in this study.\nThere are three core findings of this study. Firstly, more optimal relationships with the caregiver, including those responsible for abuse, were significantly associated with behavioral and emotional resilience as well as a change in behavioral and emotional resilience. Secondly, more optimal relationships with the caregiver also contributed to higher expectations of the future in adolescents. Thirdly, positive expectations of the future were independently and significantly associated with behavioral and emotional resilience and a change in behavioral and emotional resilience.\nThis study has policy and practice implications for social workers, especially those involved in the child welfare system. It highlights the importance of evaluating the caregiver-adolescent relationship from the point of view of the adolescent, providing resilience-focused interventions to ameliorate non-optimal interactions between caregivers and adolescents, and developing higher expectations of the future amongst adolescents.\nKey words: Resilience, maltreatment, child welfare, relationship with caregiver, future expectations.","event-place":"United States -- New York","genre":"Ph.D.","language":"English","license":"Database copyright ProQuest LLC; ProQuest does not claim copyright in the individual underlying works.","note":"ISBN: 9780549664291","number-of-pages":"116","publisher":"State University of New York at Albany","publisher-place":"United States -- New York","source":"ProQuest","title":"Impact of relationship with the caregiver and positive future expectations on behavioral and emotional resilience in adolescents in child welfare","URL":"https://www.proquest.com/docview/304370955/abstract/DA94D7A0E398487CPQ/1","author":[{"family":"Rajendran","given":"Khushmand"}],"accessed":{"date-parts":[["2022",8,31]]},"issued":{"date-parts":[["2008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(Rajendran 2008)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For LGBQ youth, the relationship with caregivers may be especially fragile as they may not have stable placements with a single set of caregivers (placement instability) and their caregivers may not be accepting of their sexual orientation or gender identity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{"citationID":"lxhMp6Oh","properties":{"formattedCitation":"(Mallon 1998; Wilson et al. 2017)","plainCitation":"(Mallon 1998; Wilson et al. 2017)","noteIndex":0},"citationItems":[{"id":244,"uris":["http://zotero.org/users/7501598/items/JCSP75VP"],"itemData":{"id":244,"type":"paper-conference","title":"We Don't Exactly Get the Welcome Wagon: The Experiences of Gay and Lesbian Adolescents in Child Welfare Systems","author":[{"family":"Mallon","given":"Gerald P."}],"issued":{"date-parts":[["1998"]]}}},{"id":743,"uris":["http://zotero.org/users/7501598/items/VJ9UXKID"],"itemData":{"id":743,"type":"article-journal","abstract":"Research indicates that sexual minority youth are disproportionately criminalized in the U.S. and subjected to abusive treatment while in correctional facilities. However, the scope and extent of disparities based on sexual orientation remains largely overlooked in the juvenile justice literature. This study, based on a nationally representative federal agency survey conducted in 2012 (N= 8,785; 9.9% girls), reveals that 39.4% of girls and 3.2% of boys in juvenile correctional facilities identified as lesbian, gay, or bisexual. These youth, particularly gay and bisexual boys, report higher rates of sexual victimization compared to their heterosexual peers. Sexual minority youth, defined as both lesbian, gay, and bisexual identified youth as well as youth who identified as straight and reported some same-sex attraction, were also 2-3 times more likely than heterosexual youth to report prior episodes of detention lasting a year or more. Implications for future research and public policy are discussed.","container-title":"Journal of youth and adolescence","DOI":"10.1007/s10964-017-0632-5","ISSN":"0047-2891","issue":"7","journalAbbreviation":"J Youth Adolesc","note":"PMID: 28093665\nPMCID: PMC5844288","page":"1547-1561","source":"PubMed Central","title":"Disproportionality and Disparities among Sexual Minority Youth in Custody","volume":"46","author":[{"family":"Wilson","given":"Bianca D.M."},{"family":"Jordan","given":"Sid P."},{"family":"Meyer","given":"Ilan H."},{"family":"Flores","given":"Andrew"},{"family":"Stemple","given":"Lara"},{"family":"Herman","given":"Jody"}],"issued":{"date-parts":[["2017",7]]}}}],"schema":"https://github.com/citation-style-language/schema/raw/master/csl-citation.json"}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(Mallon 1998; Wilson et al.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No study to date has examined caregiver support for LGBQ youth in care and compared the pattern of results to the general population of youth in care.</w:t>
      </w:r>
    </w:p>
    <w:p w14:paraId="2632BF51" w14:textId="64707AB7" w:rsidR="0048282A"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Social support from peers is another important mechanism that can promote positive outcomes for youth in care. Support from peers, in general, has been shown to increase educational expectations and achievement as well as the future outlook for youth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{"citationID":"LejI5Cjo","properties":{"formattedCitation":"(Hershberger and Jones 2018; Kiuru et al. 2007; Merritt 2015)","plainCitation":"(Hershberger and Jones 2018; Kiuru et al. 2007; Merritt 2015)","noteIndex":0},"citationItems":[{"id":535,"uris":["http://zotero.org/users/7501598/items/QUHCVWEX"],"itemData":{"id":535,"type":"article-journal","abstract":"Adolescents who have experienced maltreatment face many developmental and educational challenges compared with their non-maltreated peers. Research demonstrates the importance of social relationships in academic achievement among non-maltreated youth, and suggests the influence of parent and peer relationships for academic success in maltreated youth as well, including the potential benefit of school engagement. Data for the study comes from the first wave of the second National Survey of Child and Adolescent Well-Being (NSCAW II), a nationally-representative sample of children involved in Child Protective Services in the United States. The study finds that maltreated adolescents' perceptions of relationship quality with both parents and peers significantly predict academic achievement. In addition, results demonstrate a mediating effect of school engagement between parent and peer variables and some academic achievement outcomes.","container-title":"Journal of Adolescence","DOI":"10.1016/j.adolescence.2018.06.003","ISSN":"0140-1971","journalAbbreviation":"Journal of Adolescence","language":"en","page":"98-108","source":"ScienceDirect","title":"The influence of social relationships and school engagement on academic achievement in maltreated adolescents","volume":"67","author":[{"family":"Hershberger","given":"Mary A."},{"family":"Jones","given":"Martin H."}],"issued":{"date-parts":[["2018",8,1]]}}},{"id":548,"uris":["http://zotero.org/users/7501598/items/LFYJ2CT6"],"itemData":{"id":548,"type":"article-journal","abstract":"The present study investigated to what extent the members of adolescents’ peer groups share similar educational expectations, and to what extent overall and school-related adjustment are associated with these expectations. Three hundred and ninety-four ninth-graders facing the transition to secondary education filled in questionnaires measuring their short-term and long-term educational expectations, and their academic achievement, learning difficulties, negative attitudes towards school, problem behavior, and self-esteem. Multilevel modeling showed that peer group members shared similar educational expectations. Among girls, adjustment typical of the peer group was associated with the group members’ educational expectations. By contrast, among boys, only problem behavior typical of the peer group was associated with the group members’ educational expectations.","container-title":"Journal of Youth and Adolescence","DOI":"10.1007/s10964-006-9118-6","ISSN":"1573-6601","issue":"8","journalAbbreviation":"J Youth Adolescence","language":"en","page":"995-1009","source":"Springer Link","title":"The Role of Peer Groups in Adolescents’ Educational Expectations and Adjustment","volume":"36","author":[{"family":"Kiuru","given":"Noona"},{"family":"Aunola","given":"Kaisa"},{"family":"Vuori","given":"Jukka"},{"family":"Nurmi","given":"Jari-Erik"}],"issued":{"date-parts":[["2007",11,1]]}}},{"id":553,"uris":["http://zotero.org/users/7501598/items/W3VHWYKK"],"itemData":{"id":553,"type":"paper-conference","event-title":"Society for Social Work and Research 19th Annual Conference: The Social and Behavioral Importance of Increased Longevity","language":"English","publisher":"Society for Social Work and Research","source":"sswr.confex.com","title":"The Impact of Positive Peer Relationships, School Experiences, and Future Outlook on Behavior Scores for Abused and Neglected Youth","URL":"https://sswr.confex.com/sswr/2015/webprogram/Paper24337.html","author":[{"family":"Merritt","given":"Darcey H."}],"accessed":{"date-parts":[["2021",8,18]]},"issued":{"date-parts":[["2015",1,15]]}}}],"schema":"https://github.com/citation-style-language/schema/raw/master/csl-citation.json"}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(Hershberger and Jones 2018; Kiuru et al. 2007; Merritt 2015)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Studies that have looked at peer support among maltreated youth or youth in the child welfare system have found that positive peer relations can improve school experiences and improve educational outcomes, reduce problem behaviors, and reduce loneliness and depression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{"citationID":"9nOtYejf","properties":{"formattedCitation":"(Cassidy and Asher 1992; Merritt 2015)","plainCitation":"(Cassidy and Asher 1992; Merritt 2015)","dontUpdate":true,"noteIndex":0},"citationItems":[{"id":532,"uris":["http://zotero.org/users/7501598/items/2SP8CLIS"],"itemData":{"id":532,"type":"article-journal","abstract":"440 kindergarten and 1st-grade children responded to a questionnaire about feelings of loneliness and social dissatisfaction in school. A subset of 46 children were individually interviewed to assess their understanding of loneliness. To assess sociometric status and behavior, peers were asked to respond to various sociometric measures and behavioral assessment items. Teachers also provided behavioral information about children using a newly developed instrument. Results indicate that nearly all the children understood loneliness, that loneliness was reliably assessed in these Ss, and that poorly accepted children were more lonely than other children. In addition, children who reported the most loneliness were found to differ from others on several behavioral dimensions. (PsycINFO Database Record (c) 2016 APA, all rights reserved)","container-title":"Child Development","DOI":"10.2307/1131484","ISSN":"1467-8624","note":"publisher-place: United Kingdom\npublisher: Blackwell Publishing","page":"350-365","source":"APA PsycNet","title":"Loneliness and peer relations in young children","volume":"63","author":[{"family":"Cassidy","given":"Jude"},{"family":"Asher","given":"Steven R."}],"issued":{"date-parts":[["1992"]]}}},{"id":553,"uris":["http://zotero.org/users/7501598/items/W3VHWYKK"],"itemData":{"id":553,"type":"paper-conference","event-title":"Society for Social Work and Research 19th Annual Conference: The Social and Behavioral Importance of Increased Longevity","language":"English","publisher":"Society for Social Work and Research","source":"sswr.confex.com","title":"The Impact of Positive Peer Relationships, School Experiences, and Future Outlook on Behavior Scores for Abused and Neglected Youth","URL":"https://sswr.confex.com/sswr/2015/webprogram/Paper24337.html","author":[{"family":"Merritt","given":"Darcey H."}],"accessed":{"date-parts":[["2021",8,18]]},"issued":{"date-parts":[["2015",1,15]]}}}],"schema":"https://github.com/citation-style-language/schema/raw/master/csl-citation.json"}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(Cassidy and Asher 1992; Merritt 2015)</w:t>
      </w:r>
      <w:r w:rsidRPr="00442034">
        <w:rPr>
          <w:rFonts w:ascii="Times New Roman" w:hAnsi="Times New Roman" w:cs="Times New Roman"/>
          <w:sz w:val="24"/>
          <w:szCs w:val="24"/>
        </w:rPr>
        <w:fldChar w:fldCharType="end"/>
      </w:r>
      <w:r w:rsidR="001D0E7E">
        <w:rPr>
          <w:rFonts w:ascii="Times New Roman" w:hAnsi="Times New Roman" w:cs="Times New Roman"/>
          <w:sz w:val="24"/>
          <w:szCs w:val="24"/>
        </w:rPr>
        <w:t>,</w:t>
      </w:r>
      <w:r w:rsidRPr="00442034">
        <w:rPr>
          <w:rFonts w:ascii="Times New Roman" w:hAnsi="Times New Roman" w:cs="Times New Roman"/>
          <w:sz w:val="24"/>
          <w:szCs w:val="24"/>
        </w:rPr>
        <w:t xml:space="preserve"> all of which can influence expectations. </w:t>
      </w:r>
      <w:r w:rsidR="0000619E" w:rsidRPr="00442034">
        <w:rPr>
          <w:rFonts w:ascii="Times New Roman" w:hAnsi="Times New Roman" w:cs="Times New Roman"/>
          <w:sz w:val="24"/>
          <w:szCs w:val="24"/>
        </w:rPr>
        <w:t xml:space="preserve">However, youth in foster care report lower quality peer relations than children who remain in the home and are raised by their biological families </w:t>
      </w:r>
      <w:r w:rsidR="0000619E" w:rsidRPr="00442034">
        <w:rPr>
          <w:rFonts w:ascii="Times New Roman" w:hAnsi="Times New Roman" w:cs="Times New Roman"/>
          <w:sz w:val="24"/>
          <w:szCs w:val="24"/>
        </w:rPr>
        <w:fldChar w:fldCharType="begin"/>
      </w:r>
      <w:r w:rsidR="0000619E">
        <w:rPr>
          <w:rFonts w:ascii="Times New Roman" w:hAnsi="Times New Roman" w:cs="Times New Roman"/>
          <w:sz w:val="24"/>
          <w:szCs w:val="24"/>
        </w:rPr>
        <w:instrText xml:space="preserve"> ADDIN ZOTERO_ITEM CSL_CITATION {"citationID":"67TCiV7s","properties":{"formattedCitation":"(Cusumano 2022)","plainCitation":"(Cusumano 2022)","noteIndex":0},"citationItems":[{"id":539,"uris":["http://zotero.org/users/7501598/items/GWULPRGF"],"itemData":{"id":539,"type":"thesis","abstract":"High rates of youth in the child welfare system (CWS) experience placement instability, or frequent moves between household, institution, or placement (Fisher et al., 2013). Placement instability has been shown to predict subsequent internalizing symptoms regardless of the maltreatment type, severity, or frequency experienced by the child in foster care (McGuire et al., 2018). Frequent moves between biological parents, foster or kinship caregivers, or group homes may detrimentally affect youth’s social support networks, which are known to serve as a protective factor for maltreated children and adolescents (Folger &amp; Wright, 2013). The current study aims to examine longitudinally whether perceived support from current primary caregivers and/or peers mediate the link between number of home placement moves and internalizing symptoms in youth referred to the child welfare system. It was hypothesized that there would be significant indirect effects from placement instability to internalizing symptoms via both perceived current caregiver support and perceived peer support. Secondary data analysis was performed using data collected from 1,333 adolescents as part of the National Survey of Child and Adolescent Wellbeing (NSCAW). Perceived current caregiver support was assessed using project-developed questions and perceived peer support was measured using an adapted version of the Children’s Loneliness and Dissatisfaction Scale (Asher et al., 1984). A structural equation model (SEM) was utilized to test whether there were indirect effects of placement instability (reported by the child’s caseworker) between baseline and Wave 3 (18 months after initial CWS investigation) and internalizing symptoms at Wave 4 (36 months after initial CWS investigation) via perceived current caregiver support and perceived peer support (both measured at Wave 3). Results showed a significant indirect effect from placement instability to internalizing symptoms via current caregiver support only. Training and intervention implications for biological parents and substitute caregivers involved with the child welfare system are discussed.","event-place":"United States -- New York","genre":"M.A.","language":"English","license":"Database copyright ProQuest LLC; ProQuest does not claim copyright in the individual underlying works.","note":"ISBN: 9798209886693","number-of-pages":"45","publisher":"St. John's University (New York)","publisher-place":"United States -- New York","source":"ProQuest","title":"Placement Instability, Perceived Social Support, and Internalizing Symptoms in Youth in the Child Welfare System","URL":"https://www.proquest.com/docview/2640384196/abstract/8538F62C82FA46E9PQ/1","author":[{"family":"Cusumano","given":"Michelle"}],"accessed":{"date-parts":[["2023",4,16]]},"issued":{"date-parts":[["2022"]]}}}],"schema":"https://github.com/citation-style-language/schema/raw/master/csl-citation.json"} </w:instrText>
      </w:r>
      <w:r w:rsidR="0000619E" w:rsidRPr="00442034">
        <w:rPr>
          <w:rFonts w:ascii="Times New Roman" w:hAnsi="Times New Roman" w:cs="Times New Roman"/>
          <w:sz w:val="24"/>
          <w:szCs w:val="24"/>
        </w:rPr>
        <w:fldChar w:fldCharType="separate"/>
      </w:r>
      <w:r w:rsidR="0000619E" w:rsidRPr="00442034">
        <w:rPr>
          <w:rFonts w:ascii="Times New Roman" w:hAnsi="Times New Roman" w:cs="Times New Roman"/>
          <w:sz w:val="24"/>
        </w:rPr>
        <w:t>(Cusumano 2022)</w:t>
      </w:r>
      <w:r w:rsidR="0000619E" w:rsidRPr="00442034">
        <w:rPr>
          <w:rFonts w:ascii="Times New Roman" w:hAnsi="Times New Roman" w:cs="Times New Roman"/>
          <w:sz w:val="24"/>
          <w:szCs w:val="24"/>
        </w:rPr>
        <w:fldChar w:fldCharType="end"/>
      </w:r>
      <w:r w:rsidR="0000619E" w:rsidRPr="00442034">
        <w:rPr>
          <w:rFonts w:ascii="Times New Roman" w:hAnsi="Times New Roman" w:cs="Times New Roman"/>
          <w:sz w:val="24"/>
          <w:szCs w:val="24"/>
        </w:rPr>
        <w:t xml:space="preserve">. </w:t>
      </w:r>
      <w:r w:rsidR="00BC64A6">
        <w:rPr>
          <w:rFonts w:ascii="Times New Roman" w:hAnsi="Times New Roman" w:cs="Times New Roman"/>
          <w:sz w:val="24"/>
          <w:szCs w:val="24"/>
        </w:rPr>
        <w:t xml:space="preserve">For LGBQ youth, peers may be even more crucial as </w:t>
      </w:r>
      <w:r w:rsidR="00132259">
        <w:rPr>
          <w:rFonts w:ascii="Times New Roman" w:hAnsi="Times New Roman" w:cs="Times New Roman"/>
          <w:sz w:val="24"/>
          <w:szCs w:val="24"/>
        </w:rPr>
        <w:t>peer support is often sought out by youth who lack support from their families of origin</w:t>
      </w:r>
      <w:r w:rsidR="00956104">
        <w:rPr>
          <w:rFonts w:ascii="Times New Roman" w:hAnsi="Times New Roman" w:cs="Times New Roman"/>
          <w:sz w:val="24"/>
          <w:szCs w:val="24"/>
        </w:rPr>
        <w:t xml:space="preserve">. According to Parra et al. (2017), </w:t>
      </w:r>
      <w:r w:rsidR="00802A79">
        <w:rPr>
          <w:rFonts w:ascii="Times New Roman" w:hAnsi="Times New Roman" w:cs="Times New Roman"/>
          <w:sz w:val="24"/>
          <w:szCs w:val="24"/>
        </w:rPr>
        <w:t xml:space="preserve">positive peer relationships can provide a buffer between familial rejection and emerging </w:t>
      </w:r>
      <w:r w:rsidR="00110E17">
        <w:rPr>
          <w:rFonts w:ascii="Times New Roman" w:hAnsi="Times New Roman" w:cs="Times New Roman"/>
          <w:sz w:val="24"/>
          <w:szCs w:val="24"/>
        </w:rPr>
        <w:t xml:space="preserve">symptoms of anxiety </w:t>
      </w:r>
      <w:r w:rsidR="00110E17">
        <w:rPr>
          <w:rFonts w:ascii="Times New Roman" w:hAnsi="Times New Roman" w:cs="Times New Roman"/>
          <w:sz w:val="24"/>
          <w:szCs w:val="24"/>
        </w:rPr>
        <w:lastRenderedPageBreak/>
        <w:t>and depression. However,</w:t>
      </w:r>
      <w:r w:rsidR="00132259">
        <w:rPr>
          <w:rFonts w:ascii="Times New Roman" w:hAnsi="Times New Roman" w:cs="Times New Roman"/>
          <w:sz w:val="24"/>
          <w:szCs w:val="24"/>
        </w:rPr>
        <w:t xml:space="preserve"> </w:t>
      </w:r>
      <w:r w:rsidR="00110E17">
        <w:rPr>
          <w:rFonts w:ascii="Times New Roman" w:hAnsi="Times New Roman" w:cs="Times New Roman"/>
          <w:sz w:val="24"/>
          <w:szCs w:val="24"/>
        </w:rPr>
        <w:t>p</w:t>
      </w:r>
      <w:r w:rsidRPr="00442034">
        <w:rPr>
          <w:rFonts w:ascii="Times New Roman" w:hAnsi="Times New Roman" w:cs="Times New Roman"/>
          <w:sz w:val="24"/>
          <w:szCs w:val="24"/>
        </w:rPr>
        <w:t xml:space="preserve">eer relations among LGBQ youth can be particularly strained given the increased harassment, discrimination, and bullying they face in the school setting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{"citationID":"KS7sjTgZ","properties":{"formattedCitation":"(Hong and Garbarino 2012; Murdock and Bolch 2005)","plainCitation":"(Hong and Garbarino 2012; Murdock and Bolch 2005)","noteIndex":0},"citationItems":[{"id":554,"uris":["http://zotero.org/users/7501598/items/EIBD5K8X"],"itemData":{"id":554,"type":"article-journal","abstract":"Homophobic bullying is a serious concern for students, parents, teachers, and school officials. This article reviews evidence on the status of this problem and how it may be addressed in a multilevel and multidisciplinary manner growing out of a social–ecological perspective on homophobic bullying as a social phenomenon. The ecological framework developed by Urie Bronfenbrenner (1977, 1979) is applied to organize this effort, which includes micro-, exo-, and macro-systems in which behavior and development are embedded. The inherent fluidity of experience postulated by Bronfenbrenner’s ecological approach offers hope that as practices and policy to promote diversity move forward, they will reshape the social ecology of sexual minority youth.","container-title":"Educational Psychology Review","DOI":"10.1007/s10648-012-9194-y","ISSN":"1573-336X","issue":"2","journalAbbreviation":"Educ Psychol Rev","language":"en","page":"271-285","source":"Springer Link","title":"Risk and Protective Factors for Homophobic Bullying in Schools: An Application of the Social–Ecological Framework","title-short":"Risk and Protective Factors for Homophobic Bullying in Schools","volume":"24","author":[{"family":"Hong","given":"Jun Sung"},{"family":"Garbarino","given":"James"}],"issued":{"date-parts":[["2012",6,1]]}}},{"id":148,"uris":["http://zotero.org/users/7501598/items/NYYGHD44"],"itemData":{"id":148,"type":"article-journal","abstract":"This study examined the relations between school climate and school adjustment among 101 lesbian, gay, and bisexual (LGB) high school students and the moderating influence of social support on those relations. Students completed surveys to assess three aspects of the school climate (the school's exclusion/inclusion of LGB people, personal victimization in school for being LGB, and social support from teachers) as well as social support from family and close friends. Criterion variables were GPA, school belonging, and discipline problems. School climate variables explained significant amounts of variance in all criterion variables, after controlling for prior GPA, and there were no moderating effects of parent or friend support. Cluster analyses revealed one small group (n = 14) of highly vulnerable youth who were the least adjusted, most victimized, and least supported. Implications for teachers, counselors, and future research are discussed. © 2005 Wiley Periodicals, Inc. Psychol Schs 42: 159–172, 2005.","container-title":"Psychology in the Schools","DOI":"10.1002/pits.20054","ISSN":"00333085","issue":"2","journalAbbreviation":"Psychology in the Schools","note":"publisher: John Wiley &amp; Sons, Inc.","page":"159-172","source":"EBSCOhost","title":"Risk and protective factors for poor school adjustment in lesbian, gay, and bisexual (LGB) high school youth: Variable and person-centered analyses","title-short":"Risk and protective factors for poor school adjustment in lesbian, gay, and bisexual (LGB) high school youth","volume":"42","author":[{"family":"Murdock","given":"Tamera B."},{"family":"Bolch","given":"Megan B."}],"issued":{"date-parts":[["2005",2]]}}}],"schema":"https://github.com/citation-style-language/schema/raw/master/csl-citation.json"}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(Hong and Garbarino 2012; Murdock and Bolch 2005)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r w:rsidR="0078424E">
        <w:rPr>
          <w:rFonts w:ascii="Times New Roman" w:hAnsi="Times New Roman" w:cs="Times New Roman"/>
          <w:sz w:val="24"/>
          <w:szCs w:val="24"/>
        </w:rPr>
        <w:t xml:space="preserve">Similarly, peers may not always provide positive support, as </w:t>
      </w:r>
      <w:r w:rsidR="0000619E">
        <w:rPr>
          <w:rFonts w:ascii="Times New Roman" w:hAnsi="Times New Roman" w:cs="Times New Roman"/>
          <w:sz w:val="24"/>
          <w:szCs w:val="24"/>
        </w:rPr>
        <w:t xml:space="preserve">Sanders et al. (2017) found that peers may promote </w:t>
      </w:r>
      <w:r w:rsidR="009300E0">
        <w:rPr>
          <w:rFonts w:ascii="Times New Roman" w:hAnsi="Times New Roman" w:cs="Times New Roman"/>
          <w:sz w:val="24"/>
          <w:szCs w:val="24"/>
        </w:rPr>
        <w:t xml:space="preserve">risky or antisocial behavioral problems that </w:t>
      </w:r>
      <w:proofErr w:type="gramStart"/>
      <w:r w:rsidR="009300E0">
        <w:rPr>
          <w:rFonts w:ascii="Times New Roman" w:hAnsi="Times New Roman" w:cs="Times New Roman"/>
          <w:sz w:val="24"/>
          <w:szCs w:val="24"/>
        </w:rPr>
        <w:t>compounds</w:t>
      </w:r>
      <w:proofErr w:type="gramEnd"/>
      <w:r w:rsidR="009300E0">
        <w:rPr>
          <w:rFonts w:ascii="Times New Roman" w:hAnsi="Times New Roman" w:cs="Times New Roman"/>
          <w:sz w:val="24"/>
          <w:szCs w:val="24"/>
        </w:rPr>
        <w:t xml:space="preserve"> negative well-being outcomes.</w:t>
      </w:r>
      <w:r w:rsidR="00564669">
        <w:rPr>
          <w:rFonts w:ascii="Times New Roman" w:hAnsi="Times New Roman" w:cs="Times New Roman"/>
          <w:sz w:val="24"/>
          <w:szCs w:val="24"/>
        </w:rPr>
        <w:t xml:space="preserve"> </w:t>
      </w:r>
      <w:r w:rsidR="00110E17">
        <w:rPr>
          <w:rFonts w:ascii="Times New Roman" w:hAnsi="Times New Roman" w:cs="Times New Roman"/>
          <w:sz w:val="24"/>
          <w:szCs w:val="24"/>
        </w:rPr>
        <w:t>To</w:t>
      </w:r>
      <w:r w:rsidRPr="00442034">
        <w:rPr>
          <w:rFonts w:ascii="Times New Roman" w:hAnsi="Times New Roman" w:cs="Times New Roman"/>
          <w:sz w:val="24"/>
          <w:szCs w:val="24"/>
        </w:rPr>
        <w:t xml:space="preserve"> our knowledge, no one has evaluated peer support among </w:t>
      </w:r>
      <w:r w:rsidR="00110E17">
        <w:rPr>
          <w:rFonts w:ascii="Times New Roman" w:hAnsi="Times New Roman" w:cs="Times New Roman"/>
          <w:sz w:val="24"/>
          <w:szCs w:val="24"/>
        </w:rPr>
        <w:t>LGBQ</w:t>
      </w:r>
      <w:r w:rsidRPr="00442034">
        <w:rPr>
          <w:rFonts w:ascii="Times New Roman" w:hAnsi="Times New Roman" w:cs="Times New Roman"/>
          <w:sz w:val="24"/>
          <w:szCs w:val="24"/>
        </w:rPr>
        <w:t xml:space="preserve"> youth involved with child welfare and its association with positive outcomes, such as expectations or aspirations.</w:t>
      </w:r>
    </w:p>
    <w:p w14:paraId="03E23F73" w14:textId="661C713F"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Research on social support highlights its potential as a protective factor for youth in promoting child well-being and even positive future expectations. Using a protective factors framework, Strengthening Families has identified social connections as one characteristic that can lead to healthy child development and reduced likelihood of child abuse and neglect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{"citationID":"9WKCzawO","properties":{"formattedCitation":"(Center for the Study of Social Policy 2024)","plainCitation":"(Center for the Study of Social Policy 2024)","noteIndex":0},"citationItems":[{"id":2033,"uris":["http://zotero.org/users/7501598/items/9B4HSPTI"],"itemData":{"id":2033,"type":"webpage","abstract":"Strengthening Families is a research-informed approach to increase family strengths, enhance child development, and reduce the likelihood of child abuse and neglect. It is based on engaging families, programs, and communities in building five key protective factors.","container-title":"Center for the Study of Social Policy","language":"en-US","title":"Strengthening Families","URL":"https://cssp.org/our-work/project/strengthening-families/","author":[{"family":"Center for the Study of Social Policy","given":""}],"accessed":{"date-parts":[["2024",2,6]]},"issued":{"date-parts":[["2024"]]}}}],"schema":"https://github.com/citation-style-language/schema/raw/master/csl-citation.json"}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(Center for the Study of Social Policy 2024)</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However, given the relative lack of social support for many </w:t>
      </w:r>
      <w:proofErr w:type="gramStart"/>
      <w:r w:rsidRPr="00442034">
        <w:rPr>
          <w:rFonts w:ascii="Times New Roman" w:hAnsi="Times New Roman" w:cs="Times New Roman"/>
          <w:sz w:val="24"/>
          <w:szCs w:val="24"/>
        </w:rPr>
        <w:t>youth</w:t>
      </w:r>
      <w:proofErr w:type="gramEnd"/>
      <w:r w:rsidRPr="00442034">
        <w:rPr>
          <w:rFonts w:ascii="Times New Roman" w:hAnsi="Times New Roman" w:cs="Times New Roman"/>
          <w:sz w:val="24"/>
          <w:szCs w:val="24"/>
        </w:rPr>
        <w:t xml:space="preserve"> in foster care or involved with child welfare due to placement instability and/or fractured family relationships, research on social support for these youth is especially important to determine how it may shape future trajectories. Importantly, social support is especially critical to research among LGBQ youth in child welfare, who are more likely than their peers to face family rejection, peer rejection and isolation, and greater placement instability with multiple foster parent caregivers if placed into foster care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{"citationID":"rmqIyhbU","properties":{"formattedCitation":"(Wilson et al. 2017)","plainCitation":"(Wilson et al. 2017)","noteIndex":0},"citationItems":[{"id":743,"uris":["http://zotero.org/users/7501598/items/VJ9UXKID"],"itemData":{"id":743,"type":"article-journal","abstract":"Research indicates that sexual minority youth are disproportionately criminalized in the U.S. and subjected to abusive treatment while in correctional facilities. However, the scope and extent of disparities based on sexual orientation remains largely overlooked in the juvenile justice literature. This study, based on a nationally representative federal agency survey conducted in 2012 (N= 8,785; 9.9% girls), reveals that 39.4% of girls and 3.2% of boys in juvenile correctional facilities identified as lesbian, gay, or bisexual. These youth, particularly gay and bisexual boys, report higher rates of sexual victimization compared to their heterosexual peers. Sexual minority youth, defined as both lesbian, gay, and bisexual identified youth as well as youth who identified as straight and reported some same-sex attraction, were also 2-3 times more likely than heterosexual youth to report prior episodes of detention lasting a year or more. Implications for future research and public policy are discussed.","container-title":"Journal of youth and adolescence","DOI":"10.1007/s10964-017-0632-5","ISSN":"0047-2891","issue":"7","journalAbbreviation":"J Youth Adolesc","note":"PMID: 28093665\nPMCID: PMC5844288","page":"1547-1561","source":"PubMed Central","title":"Disproportionality and Disparities among Sexual Minority Youth in Custody","volume":"46","author":[{"family":"Wilson","given":"Bianca D.M."},{"family":"Jordan","given":"Sid P."},{"family":"Meyer","given":"Ilan H."},{"family":"Flores","given":"Andrew"},{"family":"Stemple","given":"Lara"},{"family":"Herman","given":"Jody"}],"issued":{"date-parts":[["2017",7]]}}}],"schema":"https://github.com/citation-style-language/schema/raw/master/csl-citation.json"}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(Wilson et al. 2017)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r w:rsidRPr="00442034">
        <w:rPr>
          <w:rFonts w:ascii="Times New Roman" w:hAnsi="Times New Roman" w:cs="Times New Roman"/>
          <w:i/>
          <w:iCs/>
          <w:sz w:val="24"/>
          <w:szCs w:val="24"/>
        </w:rPr>
        <w:tab/>
      </w:r>
    </w:p>
    <w:p w14:paraId="19A8DB06" w14:textId="77777777" w:rsidR="0048282A" w:rsidRPr="00442034" w:rsidRDefault="0048282A" w:rsidP="00C37F60">
      <w:pPr>
        <w:spacing w:line="480" w:lineRule="auto"/>
        <w:contextualSpacing/>
        <w:rPr>
          <w:rFonts w:ascii="Times New Roman" w:hAnsi="Times New Roman" w:cs="Times New Roman"/>
          <w:b/>
          <w:bCs/>
          <w:i/>
          <w:iCs/>
          <w:sz w:val="24"/>
          <w:szCs w:val="24"/>
        </w:rPr>
      </w:pPr>
      <w:r w:rsidRPr="00442034">
        <w:rPr>
          <w:rFonts w:ascii="Times New Roman" w:hAnsi="Times New Roman" w:cs="Times New Roman"/>
          <w:b/>
          <w:bCs/>
          <w:i/>
          <w:iCs/>
          <w:sz w:val="24"/>
          <w:szCs w:val="24"/>
        </w:rPr>
        <w:t>Minority Stress Theory</w:t>
      </w:r>
    </w:p>
    <w:p w14:paraId="7DE72A27" w14:textId="2A88B95D" w:rsidR="0048282A"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When examining LGBQ individuals and youth, a major theory in recognizing differences in health and well-being is minority stress theory, specifically sexual minority stress theory. Developed by Winn Kelly Brooks in 1981, sexual minority stress theory is conceptualized as a systems theory approach to understanding how cultural and social factors such as prejudicial </w:t>
      </w:r>
      <w:r w:rsidRPr="00442034">
        <w:rPr>
          <w:rFonts w:ascii="Times New Roman" w:hAnsi="Times New Roman" w:cs="Times New Roman"/>
          <w:sz w:val="24"/>
          <w:szCs w:val="24"/>
        </w:rPr>
        <w:lastRenderedPageBreak/>
        <w:t xml:space="preserve">attitudes, discrimination, and restricted access to economic opportunities can lead to a state of stress for LGBQ individuals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{"citationID":"rEU26SQ4","properties":{"formattedCitation":"(Rich et al. 2020)","plainCitation":"(Rich et al. 2020)","noteIndex":0},"citationItems":[{"id":269,"uris":["http://zotero.org/users/7501598/items/38DZGCWM"],"itemData":{"id":269,"type":"article-journal","container-title":"LGBT Health","DOI":"10.1089/lgbt.2019.0223","ISSN":"2325-8292, 2325-8306","issue":"3","journalAbbreviation":"LGBT Health","language":"en","page":"124-127","source":"DOI.org (Crossref)","title":"Sexual Minority Stress Theory: Remembering and Honoring the Work of Virginia Brooks","title-short":"Sexual Minority Stress Theory","volume":"7","author":[{"family":"Rich","given":"Ashleigh J."},{"family":"Salway","given":"Travis"},{"family":"Scheim","given":"Ayden"},{"family":"Poteat","given":"Tonia"}],"issued":{"date-parts":[["2020",4,1]]}}}],"schema":"https://github.com/citation-style-language/schema/raw/master/csl-citation.json"}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(Rich et al. 2020)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Such stressors for LGBQ youth include heterosexist discrimination, anticipated homophobia, internalized sexism, and concealment or low outness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{"citationID":"aMXCa3jF","properties":{"formattedCitation":"(Meyer and Frost 2013)","plainCitation":"(Meyer and Frost 2013)","noteIndex":0},"citationItems":[{"id":413,"uris":["http://zotero.org/users/7501598/items/JMZSNLTH"],"itemData":{"id":413,"type":"chapter","abstract":"Minority stress refers to a conceptual model that describes stressors embedded in the social position of sexual minority individuals as causes of health-related conditions, such as mental disorders, psychological distress, physical disorders, health behaviors (e.g., smoking, condom use), and, more generally, a sense of well-being (Meyer, 2003a). The minority stress model suggests that because of stigma, prejudice, and discrimination, lesbian, gay, and bisexual people experience more stress than do heterosexuals and that this stress can lead to mental and physical disorders. We begin with a brief overview of the minority stress model and discuss the domains of health and well-being that are affected by minority stressors, including mental health, physical health, health behaviors, and well-being. (PsycInfo Database Record (c) 2020 APA, all rights reserved)","container-title":"Handbook of psychology and sexual orientation","event-place":"New York, NY, US","ISBN":"978-0-19-976521-8","page":"252-266","publisher":"Oxford University Press","publisher-place":"New York, NY, US","source":"APA PsycNet","title":"Minority stress and the health of sexual minorities","author":[{"family":"Meyer","given":"Ilan H."},{"family":"Frost","given":"David M."}],"issued":{"date-parts":[["2013"]]}}}],"schema":"https://github.com/citation-style-language/schema/raw/master/csl-citation.json"}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(Meyer and Frost 2013)</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These experiences of stress and stigmatization during adolescence disrupt youth development and contribute to negative outcomes later in adulthood, impacting their life trajectories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{"citationID":"HAc5xcCf","properties":{"formattedCitation":"(Radkowsky and Siegel 1997)","plainCitation":"(Radkowsky and Siegel 1997)","noteIndex":0},"citationItems":[{"id":392,"uris":["http://zotero.org/users/7501598/items/675WEP58"],"itemData":{"id":392,"type":"article-journal","abstract":"Examines literature and research studies on the effects of social stigmatization which may hinder gay adolescents' ability to achieve a sense of identity and self-esteem, and peer and familial relationships. Due to these factors, gay adolescents are susceptible to loneliness, isolation, depression, AIDS, and suicide. The authors suggest intervention strategies for clinicians working with gay youth including examining one's own biases about homosexuality, validation of affectional and erotic feelings to normalize their adolescence, providing education, and providing clients and their families with peer groups of other gay youth and parents of gay youth. (PsycInfo Database Record (c) 2020 APA, all rights reserved)","container-title":"Clinical Psychology Review","DOI":"10.1016/S0272-7358(97)00007-X","ISSN":"1873-7811","issue":"2","note":"publisher-place: Netherlands\npublisher: Elsevier Science","page":"191-216","source":"APA PsycNet","title":"The gay adolescent: Stressors, adaptations, and psychosocial interventions","title-short":"The gay adolescent","volume":"17","author":[{"family":"Radkowsky","given":"Michael"},{"family":"Siegel","given":"Lawrence J."}],"issued":{"date-parts":[["1997"]]}}}],"schema":"https://github.com/citation-style-language/schema/raw/master/csl-citation.json"}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(Radkowsky and Siegel 1997)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For LGBQ youth in child welfare, stress and stigmatization are exacerbated and higher stakes due to experiences of family rejection due to sexual orientation, increased rates of physical and sexual abuse, and less placement stability due to unwelcoming foster care placements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{"citationID":"ydJEL8RQ","properties":{"formattedCitation":"(Mallon 1998; Saewyc et al. 2006; Toomey et al. 2018)","plainCitation":"(Mallon 1998; Saewyc et al. 2006; Toomey et al. 2018)","noteIndex":0},"citationItems":[{"id":244,"uris":["http://zotero.org/users/7501598/items/JCSP75VP"],"itemData":{"id":244,"type":"paper-conference","title":"We Don't Exactly Get the Welcome Wagon: The Experiences of Gay and Lesbian Adolescents in Child Welfare Systems","author":[{"family":"Mallon","given":"Gerald P."}],"issued":{"date-parts":[["1998"]]}}},{"id":149,"uris":["http://zotero.org/users/7501598/items/YRQLUBTX"],"itemData":{"id":149,"type":"article-journal","container-title":"Child welfare","issue":"2","note":"ISBN: 0009-4021","title":"Hazards of stigma: the sexual and physical abuse of gay, lesbian, and bisexual adolescents in the United States and Canada.","volume":"85","author":[{"family":"Saewyc","given":"Elizabeth M."},{"family":"Skay","given":"Carol L."},{"family":"Pettingell","given":"Sandra L."},{"family":"Reis","given":"Elizabeth A."},{"family":"Bearinger","given":"Linda"},{"family":"Resnick","given":"Michael"},{"family":"Murphy","given":"Aileen"},{"family":"Combs","given":"Leigh"}],"issued":{"date-parts":[["2006"]]}}},{"id":111,"uris":["http://zotero.org/users/7501598/items/5B99Q2UD"],"itemData":{"id":111,"type":"article-journal","abstract":"Little is known about how adolescents cope with minority stressors related to sexual orientation. This study examined 245 lesbian, gay, and bisexual (LGB) young adult's (ages 21-25) retrospective reports of coping in response to LGB minority stress during adolescence (ages 13-19) to test the reliability and validity of a measure of minority stress coping. Further, the study examined associations between LGB minority stress coping and young adult psychosocial adjustment and high school attainment. Validation and reliability was found for three minority stress coping strategies: LGB-specific strategies (e.g., involvement with LGBT organizations), alternative-seeking strategies (e.g., finding new friends), and cognitive strategies (e.g., imagining a better future). LGB-specific strategies were associated with better psychosocial adjustment and greater likelihood of high school attainment in young adulthood, whereas alternative-seeking and cognitive-based strategies were associated with poorer adjustment and less likelihood of high school attainment.","container-title":"Journal of Homosexuality","DOI":"10.1080/00918369.2017.1321888","ISSN":"1540-3602","issue":"4","journalAbbreviation":"J Homosex","language":"eng","note":"PMID: 28441107\nPMCID: PMC5656566","page":"484-500","source":"PubMed","title":"Coping With Sexual Orientation-Related Minority Stress","volume":"65","author":[{"family":"Toomey","given":"Russell B."},{"family":"Ryan","given":"Caitlin"},{"family":"Diaz","given":"Rafael M."},{"family":"Russell","given":"Stephen T."}],"issued":{"date-parts":[["2018"]]}}}],"schema":"https://github.com/citation-style-language/schema/raw/master/csl-citation.json"}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(Mallon 1998; Saewyc et al. 2006; Toomey et al.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Sexual minority stress theory helps explain how negative events in childhood such as child maltreatment may be compounded by minority stress. These circumstance</w:t>
      </w:r>
      <w:r w:rsidR="0007049C">
        <w:rPr>
          <w:rFonts w:ascii="Times New Roman" w:hAnsi="Times New Roman" w:cs="Times New Roman"/>
          <w:sz w:val="24"/>
          <w:szCs w:val="24"/>
        </w:rPr>
        <w:t>s</w:t>
      </w:r>
      <w:r w:rsidRPr="00442034">
        <w:rPr>
          <w:rFonts w:ascii="Times New Roman" w:hAnsi="Times New Roman" w:cs="Times New Roman"/>
          <w:sz w:val="24"/>
          <w:szCs w:val="24"/>
        </w:rPr>
        <w:t xml:space="preserve"> further the need to examine protective factors such as social support by family and peers that could reduce this stress and improve health and well-being. What all these theories and associated studies highlight is the importance of the youth’s environment and relationships in influencing their expectations for their future and their overall well-being.</w:t>
      </w:r>
    </w:p>
    <w:p w14:paraId="2849041E" w14:textId="77777777" w:rsidR="0048282A" w:rsidRPr="00442034" w:rsidRDefault="0048282A" w:rsidP="00C37F60">
      <w:pPr>
        <w:spacing w:line="480" w:lineRule="auto"/>
        <w:contextualSpacing/>
        <w:rPr>
          <w:rFonts w:ascii="Times New Roman" w:hAnsi="Times New Roman" w:cs="Times New Roman"/>
          <w:b/>
          <w:bCs/>
          <w:sz w:val="24"/>
          <w:szCs w:val="24"/>
        </w:rPr>
      </w:pPr>
      <w:r w:rsidRPr="00442034">
        <w:rPr>
          <w:rFonts w:ascii="Times New Roman" w:hAnsi="Times New Roman" w:cs="Times New Roman"/>
          <w:b/>
          <w:bCs/>
          <w:i/>
          <w:iCs/>
          <w:sz w:val="24"/>
          <w:szCs w:val="24"/>
        </w:rPr>
        <w:t>The Current Study</w:t>
      </w:r>
    </w:p>
    <w:p w14:paraId="142FC699" w14:textId="72AFD7A6" w:rsidR="0048282A"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Building on the theoretical frameworks described above, we ask the following research questions: First, how do the future expectations of LGBQ youth involved in the child welfare system </w:t>
      </w:r>
      <w:proofErr w:type="gramStart"/>
      <w:r w:rsidRPr="00442034">
        <w:rPr>
          <w:rFonts w:ascii="Times New Roman" w:hAnsi="Times New Roman" w:cs="Times New Roman"/>
          <w:sz w:val="24"/>
          <w:szCs w:val="24"/>
        </w:rPr>
        <w:t>compare</w:t>
      </w:r>
      <w:proofErr w:type="gramEnd"/>
      <w:r w:rsidRPr="00442034">
        <w:rPr>
          <w:rFonts w:ascii="Times New Roman" w:hAnsi="Times New Roman" w:cs="Times New Roman"/>
          <w:sz w:val="24"/>
          <w:szCs w:val="24"/>
        </w:rPr>
        <w:t xml:space="preserve"> to their heterosexual peers? Second, how does social support from caregivers and peers moderate the </w:t>
      </w:r>
      <w:r w:rsidR="00502A09">
        <w:rPr>
          <w:rFonts w:ascii="Times New Roman" w:hAnsi="Times New Roman" w:cs="Times New Roman"/>
          <w:sz w:val="24"/>
          <w:szCs w:val="24"/>
        </w:rPr>
        <w:t xml:space="preserve">effects of LGBQ status on </w:t>
      </w:r>
      <w:r w:rsidRPr="00442034">
        <w:rPr>
          <w:rFonts w:ascii="Times New Roman" w:hAnsi="Times New Roman" w:cs="Times New Roman"/>
          <w:sz w:val="24"/>
          <w:szCs w:val="24"/>
        </w:rPr>
        <w:t xml:space="preserve">future expectations? We hypothesize that LGBQ youth will have significantly lower future expectations compared to their peers. This hypothesis is based on the higher adversity and challenges experienced by this group during childhood and while in the child welfare system. For both groups, we expect social support from </w:t>
      </w:r>
      <w:r w:rsidRPr="00442034">
        <w:rPr>
          <w:rFonts w:ascii="Times New Roman" w:hAnsi="Times New Roman" w:cs="Times New Roman"/>
          <w:sz w:val="24"/>
          <w:szCs w:val="24"/>
        </w:rPr>
        <w:lastRenderedPageBreak/>
        <w:t>caregivers and peers to be significantly and positively related, such that higher social support will predict higher expectations. This study is one of the first to look at future expectations for LGBQ youth in the child welfare system specifically. The results of this study add to the literature on the disparities faced by these youth and point to policy changes to address them.</w:t>
      </w:r>
    </w:p>
    <w:p w14:paraId="31EB07FA" w14:textId="77777777" w:rsidR="00461507" w:rsidRPr="00442034" w:rsidRDefault="00461507" w:rsidP="00C37F60">
      <w:pPr>
        <w:spacing w:line="480" w:lineRule="auto"/>
        <w:ind w:firstLine="720"/>
        <w:contextualSpacing/>
        <w:rPr>
          <w:rFonts w:ascii="Times New Roman" w:hAnsi="Times New Roman" w:cs="Times New Roman"/>
          <w:sz w:val="24"/>
          <w:szCs w:val="24"/>
        </w:rPr>
      </w:pPr>
    </w:p>
    <w:p w14:paraId="07E28AF1" w14:textId="77777777" w:rsidR="0048282A" w:rsidRPr="00442034" w:rsidRDefault="0048282A" w:rsidP="00C37F60">
      <w:pPr>
        <w:spacing w:line="480" w:lineRule="auto"/>
        <w:contextualSpacing/>
        <w:jc w:val="center"/>
        <w:rPr>
          <w:rFonts w:ascii="Times New Roman" w:hAnsi="Times New Roman" w:cs="Times New Roman"/>
        </w:rPr>
      </w:pPr>
      <w:r w:rsidRPr="00442034">
        <w:rPr>
          <w:rFonts w:ascii="Times New Roman" w:hAnsi="Times New Roman" w:cs="Times New Roman"/>
          <w:b/>
          <w:bCs/>
          <w:sz w:val="24"/>
          <w:szCs w:val="24"/>
        </w:rPr>
        <w:t>Methods</w:t>
      </w:r>
    </w:p>
    <w:p w14:paraId="18F8EB3D" w14:textId="77777777" w:rsidR="0048282A" w:rsidRPr="00442034" w:rsidRDefault="0048282A" w:rsidP="00C37F60">
      <w:pPr>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t>Data and Sample</w:t>
      </w:r>
    </w:p>
    <w:p w14:paraId="206532AB" w14:textId="20448763"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Data for this study will come from the second cohort of the National Survey of Child and Adolescent Well-Being, referred to as NSCAW II. NSCAW II is a longitudinal study designed to assess the functioning, service needs, service use, and well-being of 5,782 youth ages 0 to 17 years old involved in the child welfare system (CWS</w:t>
      </w:r>
      <w:r w:rsidR="00BF6B22">
        <w:rPr>
          <w:rFonts w:ascii="Times New Roman" w:hAnsi="Times New Roman" w:cs="Times New Roman"/>
          <w:sz w:val="24"/>
          <w:szCs w:val="24"/>
        </w:rPr>
        <w:t xml:space="preserve">). This sample includes youth who were the subject of a child maltreatment investigation, regardless of whether the investigation resulted in a substantiation of child maltreatment or </w:t>
      </w:r>
      <w:proofErr w:type="gramStart"/>
      <w:r w:rsidR="00BF6B22">
        <w:rPr>
          <w:rFonts w:ascii="Times New Roman" w:hAnsi="Times New Roman" w:cs="Times New Roman"/>
          <w:sz w:val="24"/>
          <w:szCs w:val="24"/>
        </w:rPr>
        <w:t>not,</w:t>
      </w:r>
      <w:r w:rsidR="00BF6B22" w:rsidRPr="00F853E6">
        <w:rPr>
          <w:rFonts w:ascii="Times New Roman" w:hAnsi="Times New Roman" w:cs="Times New Roman"/>
          <w:sz w:val="24"/>
          <w:szCs w:val="24"/>
        </w:rPr>
        <w:t xml:space="preserve"> and</w:t>
      </w:r>
      <w:proofErr w:type="gramEnd"/>
      <w:r w:rsidR="00BF6B22" w:rsidRPr="00F853E6">
        <w:rPr>
          <w:rFonts w:ascii="Times New Roman" w:hAnsi="Times New Roman" w:cs="Times New Roman"/>
          <w:sz w:val="24"/>
          <w:szCs w:val="24"/>
        </w:rPr>
        <w:t xml:space="preserve"> is stratified by service type to include cases that received no services, received in-home services, and received out-of-home services</w:t>
      </w:r>
      <w:r w:rsidR="00396A85" w:rsidRPr="008139DB">
        <w:rPr>
          <w:rFonts w:ascii="Times New Roman" w:hAnsi="Times New Roman" w:cs="Times New Roman"/>
          <w:sz w:val="24"/>
          <w:szCs w:val="24"/>
        </w:rPr>
        <w:t>.</w:t>
      </w:r>
      <w:r w:rsidRPr="008139DB">
        <w:rPr>
          <w:rFonts w:ascii="Times New Roman" w:hAnsi="Times New Roman" w:cs="Times New Roman"/>
          <w:sz w:val="28"/>
          <w:szCs w:val="28"/>
        </w:rPr>
        <w:t xml:space="preserve"> </w:t>
      </w:r>
      <w:r w:rsidRPr="00442034">
        <w:rPr>
          <w:rFonts w:ascii="Times New Roman" w:hAnsi="Times New Roman" w:cs="Times New Roman"/>
          <w:sz w:val="24"/>
          <w:szCs w:val="24"/>
        </w:rPr>
        <w:t xml:space="preserve">NSCAW II data contains three waves: a baseline Wave One (April 2008-December 2009), an 18-month follow-up Wave Two (October 2009-January 2011), and a 36-month follow-up Wave Three (June 2011-December 2012). NSCAW II uses a two-stage stratified sampling design. Stage one sampled nine strata, eight of which represent states with the largest population of CWS-involved youth, and one stratum for the remaining states. From these, 86 primary sampling units (PSUs) were randomly selected. For stage two, CWS cases within the PSUs were sampled, with infants, youth receiving services, or youth in out-of-home placement oversampled. Due to this oversampling, NSCAW II includes survey weights to correct for the unequal probability of being </w:t>
      </w:r>
      <w:r w:rsidRPr="00442034">
        <w:rPr>
          <w:rFonts w:ascii="Times New Roman" w:hAnsi="Times New Roman" w:cs="Times New Roman"/>
          <w:sz w:val="24"/>
          <w:szCs w:val="24"/>
        </w:rPr>
        <w:lastRenderedPageBreak/>
        <w:t xml:space="preserve">sampled and to allow for a nationally representative comparison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{"citationID":"tbbnKQiJ","properties":{"formattedCitation":"(Dolan et al. 2011)","plainCitation":"(Dolan et al. 2011)","noteIndex":0},"citationItems":[{"id":205,"uris":["http://zotero.org/users/7501598/items/2NAMUBV7"],"itemData":{"id":205,"type":"article-journal","container-title":"Washington, DC: Office of Planning, Research and Evaluation, Administration for Children and Families, US Department of Health and Human Services","journalAbbreviation":"Washington, DC: Office of Planning, Research and Evaluation, Administration for Children and Families, US Department of Health and Human Services","title":"NSCAW II baseline report: Introduction to NSCAW II final report","author":[{"family":"Dolan","given":"Melissa"},{"family":"Smith","given":"Keith"},{"family":"Casanueva","given":"Cecilia"},{"family":"Ringeisen","given":"Heather"},{"family":"P2320062930YC","given":"HHS"},{"family":"Dolan","given":"M"},{"family":"Smith","given":"K"},{"family":"Casanueva","given":"C"},{"family":"Ringeisen","given":"H"}],"issued":{"date-parts":[["2011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(Dolan et al. 2011)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We include these weights to account for oversampling and present our results using these weights.</w:t>
      </w:r>
    </w:p>
    <w:p w14:paraId="655583BD" w14:textId="7E923639"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For the current study, we limit our sample to youth aged 11-17 at Wave Three with complete responses for our outcome variables, future expectations for marriage, family, and mortality (</w:t>
      </w:r>
      <w:r w:rsidRPr="00442034">
        <w:rPr>
          <w:rFonts w:ascii="Times New Roman" w:hAnsi="Times New Roman" w:cs="Times New Roman"/>
          <w:i/>
          <w:iCs/>
          <w:sz w:val="24"/>
          <w:szCs w:val="24"/>
        </w:rPr>
        <w:t xml:space="preserve">n </w:t>
      </w:r>
      <w:r w:rsidRPr="00442034">
        <w:rPr>
          <w:rFonts w:ascii="Times New Roman" w:hAnsi="Times New Roman" w:cs="Times New Roman"/>
          <w:sz w:val="24"/>
          <w:szCs w:val="24"/>
        </w:rPr>
        <w:t>= 858).</w:t>
      </w:r>
      <w:r w:rsidRPr="00442034">
        <w:rPr>
          <w:rFonts w:ascii="Times New Roman" w:hAnsi="Times New Roman" w:cs="Times New Roman"/>
          <w:color w:val="FF0000"/>
          <w:sz w:val="24"/>
          <w:szCs w:val="24"/>
        </w:rPr>
        <w:t xml:space="preserve"> </w:t>
      </w:r>
      <w:r w:rsidRPr="00442034">
        <w:rPr>
          <w:rFonts w:ascii="Times New Roman" w:hAnsi="Times New Roman" w:cs="Times New Roman"/>
          <w:sz w:val="24"/>
          <w:szCs w:val="24"/>
        </w:rPr>
        <w:t>These inclusion criteria are necessary based on data availability of the variables needed for this analysis. Next, we drop 360 cases using listwise deletion for missing data on our independent and control variables. Therefore, our final analytical sample is 498</w:t>
      </w:r>
      <w:r w:rsidR="00B56C5F">
        <w:rPr>
          <w:rFonts w:ascii="Times New Roman" w:hAnsi="Times New Roman" w:cs="Times New Roman"/>
          <w:sz w:val="24"/>
          <w:szCs w:val="24"/>
        </w:rPr>
        <w:t>.</w:t>
      </w:r>
    </w:p>
    <w:p w14:paraId="1CABDDA7" w14:textId="77777777" w:rsidR="0048282A" w:rsidRPr="00442034" w:rsidRDefault="0048282A" w:rsidP="00C37F60">
      <w:pPr>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t>Measures</w:t>
      </w:r>
    </w:p>
    <w:p w14:paraId="08630A0A" w14:textId="77777777" w:rsidR="0048282A" w:rsidRPr="00442034" w:rsidRDefault="0048282A" w:rsidP="00C37F60">
      <w:pPr>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t xml:space="preserve">Dependent Variable: </w:t>
      </w:r>
    </w:p>
    <w:p w14:paraId="5A84E837" w14:textId="77777777" w:rsidR="0048282A" w:rsidRPr="00442034" w:rsidRDefault="0048282A" w:rsidP="00C37F60">
      <w:pPr>
        <w:spacing w:line="480" w:lineRule="auto"/>
        <w:contextualSpacing/>
        <w:rPr>
          <w:rFonts w:ascii="Times New Roman" w:hAnsi="Times New Roman" w:cs="Times New Roman"/>
          <w:color w:val="000000" w:themeColor="text1"/>
          <w:sz w:val="24"/>
          <w:szCs w:val="24"/>
        </w:rPr>
      </w:pPr>
      <w:r w:rsidRPr="00442034">
        <w:rPr>
          <w:rFonts w:ascii="Times New Roman" w:hAnsi="Times New Roman" w:cs="Times New Roman"/>
          <w:sz w:val="24"/>
          <w:szCs w:val="24"/>
        </w:rPr>
        <w:tab/>
      </w:r>
      <w:r w:rsidRPr="00442034">
        <w:rPr>
          <w:rFonts w:ascii="Times New Roman" w:hAnsi="Times New Roman" w:cs="Times New Roman"/>
          <w:i/>
          <w:iCs/>
          <w:sz w:val="24"/>
          <w:szCs w:val="24"/>
        </w:rPr>
        <w:t>Future Expectations.</w:t>
      </w:r>
      <w:r w:rsidRPr="00442034">
        <w:rPr>
          <w:rFonts w:ascii="Times New Roman" w:hAnsi="Times New Roman" w:cs="Times New Roman"/>
          <w:sz w:val="24"/>
          <w:szCs w:val="24"/>
        </w:rPr>
        <w:t xml:space="preserve"> To measure future expectations, we use three items from Resnick et al.’s (1997) Expectations about Employment, Education, and Lifespan Inventory at Wave Three. </w:t>
      </w:r>
      <w:r w:rsidRPr="00442034">
        <w:rPr>
          <w:rFonts w:ascii="Times New Roman" w:hAnsi="Times New Roman" w:cs="Times New Roman"/>
          <w:color w:val="000000" w:themeColor="text1"/>
          <w:sz w:val="24"/>
          <w:szCs w:val="24"/>
        </w:rPr>
        <w:t xml:space="preserve">These items capture expectations about getting married by twenty-five, having a child or family, and living to thirty-five. Each item is scored on a scale from “1” (No Chance) to “6” (It Already Happened). Living to thirty-five was measured on a 5-point scale (1 = No Chance, 2 = Some Chance, 3 = About 50-50, 4 = </w:t>
      </w:r>
      <w:proofErr w:type="gramStart"/>
      <w:r w:rsidRPr="00442034">
        <w:rPr>
          <w:rFonts w:ascii="Times New Roman" w:hAnsi="Times New Roman" w:cs="Times New Roman"/>
          <w:color w:val="000000" w:themeColor="text1"/>
          <w:sz w:val="24"/>
          <w:szCs w:val="24"/>
        </w:rPr>
        <w:t>Pretty Likely</w:t>
      </w:r>
      <w:proofErr w:type="gramEnd"/>
      <w:r w:rsidRPr="00442034">
        <w:rPr>
          <w:rFonts w:ascii="Times New Roman" w:hAnsi="Times New Roman" w:cs="Times New Roman"/>
          <w:color w:val="000000" w:themeColor="text1"/>
          <w:sz w:val="24"/>
          <w:szCs w:val="24"/>
        </w:rPr>
        <w:t>, 5 = It Will Happen). Given that these variables were a Likert scale, they were treated as ordinal for the analysis.</w:t>
      </w:r>
    </w:p>
    <w:p w14:paraId="37CD63DE" w14:textId="77777777" w:rsidR="0048282A" w:rsidRPr="00442034" w:rsidRDefault="0048282A" w:rsidP="00C37F60">
      <w:pPr>
        <w:spacing w:line="480" w:lineRule="auto"/>
        <w:contextualSpacing/>
        <w:rPr>
          <w:rFonts w:ascii="Times New Roman" w:hAnsi="Times New Roman" w:cs="Times New Roman"/>
          <w:i/>
          <w:iCs/>
          <w:color w:val="000000" w:themeColor="text1"/>
          <w:sz w:val="24"/>
          <w:szCs w:val="24"/>
        </w:rPr>
      </w:pPr>
      <w:r w:rsidRPr="00442034">
        <w:rPr>
          <w:rFonts w:ascii="Times New Roman" w:hAnsi="Times New Roman" w:cs="Times New Roman"/>
          <w:i/>
          <w:iCs/>
          <w:color w:val="000000" w:themeColor="text1"/>
          <w:sz w:val="24"/>
          <w:szCs w:val="24"/>
        </w:rPr>
        <w:t>Independent Variables:</w:t>
      </w:r>
    </w:p>
    <w:p w14:paraId="5D7D05FA" w14:textId="188F4180"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i/>
          <w:iCs/>
          <w:sz w:val="24"/>
          <w:szCs w:val="24"/>
        </w:rPr>
        <w:t>LGBQ Status.</w:t>
      </w:r>
      <w:r w:rsidRPr="00442034">
        <w:rPr>
          <w:rFonts w:ascii="Times New Roman" w:hAnsi="Times New Roman" w:cs="Times New Roman"/>
          <w:sz w:val="24"/>
          <w:szCs w:val="24"/>
        </w:rPr>
        <w:t xml:space="preserve"> In Wave Three of NSCAW-II, youth self-reported how they thought of themselves: “totally straight, mostly straight, bisexual, mostly gay, totally gay, or not sexually attracted to either sex.” We created an indicator variable with those answering as totally straight considered heterosexual (coded 0) and any other response coded as LGBQ (coded 1)</w:t>
      </w:r>
      <w:r w:rsidR="00102F84">
        <w:rPr>
          <w:rStyle w:val="FootnoteReference"/>
          <w:rFonts w:ascii="Times New Roman" w:hAnsi="Times New Roman" w:cs="Times New Roman"/>
          <w:sz w:val="24"/>
          <w:szCs w:val="24"/>
        </w:rPr>
        <w:footnoteReference w:id="2"/>
      </w:r>
      <w:r w:rsidRPr="00442034">
        <w:rPr>
          <w:rFonts w:ascii="Times New Roman" w:hAnsi="Times New Roman" w:cs="Times New Roman"/>
          <w:sz w:val="24"/>
          <w:szCs w:val="24"/>
        </w:rPr>
        <w:t xml:space="preserve">. </w:t>
      </w:r>
      <w:r w:rsidRPr="00442034">
        <w:rPr>
          <w:rFonts w:ascii="Times New Roman" w:hAnsi="Times New Roman" w:cs="Times New Roman"/>
          <w:sz w:val="24"/>
          <w:szCs w:val="24"/>
        </w:rPr>
        <w:lastRenderedPageBreak/>
        <w:t>Respondents who answered that they were not attracted to either sex (</w:t>
      </w:r>
      <w:r w:rsidRPr="00442034">
        <w:rPr>
          <w:rFonts w:ascii="Times New Roman" w:hAnsi="Times New Roman" w:cs="Times New Roman"/>
          <w:i/>
          <w:iCs/>
          <w:sz w:val="24"/>
          <w:szCs w:val="24"/>
        </w:rPr>
        <w:t xml:space="preserve">n = </w:t>
      </w:r>
      <w:r w:rsidRPr="00442034">
        <w:rPr>
          <w:rFonts w:ascii="Times New Roman" w:hAnsi="Times New Roman" w:cs="Times New Roman"/>
          <w:sz w:val="24"/>
          <w:szCs w:val="24"/>
        </w:rPr>
        <w:t xml:space="preserve">93) were excluded from this analysis. </w:t>
      </w:r>
    </w:p>
    <w:p w14:paraId="205B28DB" w14:textId="3F7D529A" w:rsidR="0048282A"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r>
      <w:r w:rsidRPr="00442034">
        <w:rPr>
          <w:rFonts w:ascii="Times New Roman" w:hAnsi="Times New Roman" w:cs="Times New Roman"/>
          <w:i/>
          <w:iCs/>
          <w:sz w:val="24"/>
          <w:szCs w:val="24"/>
        </w:rPr>
        <w:t>Social Support.</w:t>
      </w:r>
      <w:r w:rsidRPr="00442034">
        <w:rPr>
          <w:rFonts w:ascii="Times New Roman" w:hAnsi="Times New Roman" w:cs="Times New Roman"/>
          <w:sz w:val="24"/>
          <w:szCs w:val="24"/>
        </w:rPr>
        <w:t xml:space="preserve"> Social support is measured as social support from caregivers and peers. To measure social support from adults, we used the shortened 12-item version of the relatedness scale of the Research Assessment Package for Schools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{"citationID":"kncLaUPr","properties":{"formattedCitation":"(Lynch and Cicchetti 1997)","plainCitation":"(Lynch and Cicchetti 1997)","noteIndex":0},"citationItems":[{"id":224,"uris":["http://zotero.org/users/7501598/items/FJVQ8C2N",["http://zotero.org/users/7501598/items/FJVQ8C2N"]],"itemData":{"id":224,"type":"article-journal","abstract":"Social and affective processes connected to children's relationships inside and outside the school setting are important factors in children's successful adaptation to school. This study examines the relationships of 1,226 low-risk elementary and middle school children across a variety of relationship partners. Descriptive data on the profile of these school-aged children's patterns of relatedness with others are presented. Developmental trends are explored as well. There is a shift in the self-reported quality of children's relationships with adults (mothers and teachers) and peers (best friends and classmates) from elementary school to middle school. In middle school, children report more positive perceptions of their relationships with peers and less positive perceptions of their relationships with adults than do elementary school children. These findings are discussed in terms of the implications that children's interpersonal relationships have for facilitating readiness to learn and active engagement in school. Limitations of the present study and methodological issues connected to the assessment of relationships are discussed as well.","container-title":"Journal of School Psychology","DOI":"10.1016/S0022-4405(96)00031-3","ISSN":"0022-4405","issue":"1","journalAbbreviation":"Journal of School Psychology","language":"en","page":"81-99","source":"ScienceDirect","title":"Children's relationships with adults and peers: An examination of elementary and junior high school students","title-short":"Children's relationships with adults and peers","volume":"35","author":[{"family":"Lynch","given":"Michael"},{"family":"Cicchetti","given":"Dante"}],"issued":{"date-parts":[["1997",3,1]]}}}],"schema":"https://github.com/citation-style-language/schema/raw/master/csl-citation.json"}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(Lynch and Cicchetti 1997)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This scale measures youth’s perceptions of the</w:t>
      </w:r>
      <w:r w:rsidR="007E76BD">
        <w:rPr>
          <w:rFonts w:ascii="Times New Roman" w:hAnsi="Times New Roman" w:cs="Times New Roman"/>
          <w:sz w:val="24"/>
          <w:szCs w:val="24"/>
        </w:rPr>
        <w:t xml:space="preserve"> quality of their</w:t>
      </w:r>
      <w:r w:rsidR="004E0BFC">
        <w:rPr>
          <w:rFonts w:ascii="Times New Roman" w:hAnsi="Times New Roman" w:cs="Times New Roman"/>
          <w:sz w:val="24"/>
          <w:szCs w:val="24"/>
        </w:rPr>
        <w:t xml:space="preserve"> relationship with their</w:t>
      </w:r>
      <w:r w:rsidRPr="00442034">
        <w:rPr>
          <w:rFonts w:ascii="Times New Roman" w:hAnsi="Times New Roman" w:cs="Times New Roman"/>
          <w:sz w:val="24"/>
          <w:szCs w:val="24"/>
        </w:rPr>
        <w:t xml:space="preserve"> primary caregivers in areas including parental involvement, autonomy support, and emotional security and structure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{"citationID":"QkRhQ1DQ","properties":{"formattedCitation":"(Yoon et al. 2021)","plainCitation":"(Yoon et al. 2021)","noteIndex":0},"citationItems":[{"id":171,"uris":["http://zotero.org/users/7501598/items/9TYQZCVY",["http://zotero.org/users/7501598/items/9TYQZCVY"]],"itemData":{"id":171,"type":"article-journal","abstract":"The primary aim of the study was to investigate the development of psychobehavioral symptoms (internalizing, externalizing, and posttraumatic stress [PTS]) of child welfare?involved adolescents over a 3-year period and to identify predictors of the trajectories. Using three waves of data from the National Survey of Child and Adolescent Well-Being (NSCAW-II), latent growth curve modeling was conducted on a sample of 350 adolescents who were between 11 and 13 years of age at baseline. Findings indicated that adolescents? internalizing symptoms decreased over time, whereas externalizing symptoms remained stable over time. PTS symptoms decreased over time in girls, but not boys. Physical abuse predicted higher levels of externalizing behaviors and sexual abuse predicted a slower decrease in PTS symptoms. Greater child prosocial skills and higher quality of caregiver?child relationship were associated with lower initial levels of externalizing symptoms. In addition, a higher quality caregiver?child relationship and greater satisfaction with peer relationships were associated with lower initial levels of internalizing and PTS symptoms. Findings suggest that intervention strategies should consider gender, maltreatment type, and interpersonal and social skills to effectively prevent the development of psychobehavioral symptoms among child welfare?involved youth.","container-title":"Journal of Interpersonal Violence","DOI":"10.1177/0886260518799485","ISSN":"0886-2605","issue":"9-10","journalAbbreviation":"J Interpers Violence","note":"publisher: SAGE Publications Inc","page":"NP5281-NP5303","source":"SAGE Journals","title":"Risk and Resilience Factors for Psychobehavioral Symptom Trajectories Among Child Welfare–Involved Youth","volume":"36","author":[{"family":"Yoon","given":"Susan"},{"family":"Cage","given":"Jamie"},{"family":"Pei","given":"Fei"},{"family":"Barnhart","given":"Sheila"}],"issued":{"date-parts":[["2021",5,1]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szCs w:val="24"/>
        </w:rPr>
        <w:t>(Yoon et al. 2021)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Items such as “when I’m with my caregiver, I feel happy” or “my caregiver does a lot for me” were answered using a 4-point Likert scale (1= “not at all true,” 2= “not very true,” 3= “sort of true,” 4= “very true”). Negatively worded questions were reverse-coded. We summed these responses to create a total score ranging from 17-48, with higher scores indicating better relationships with caregivers. To measure social support from peers, we used the 16-item self-reported Loneliness and Dissatisfaction Scale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{"citationID":"Y7pWR3h1","properties":{"formattedCitation":"(Asher and Wheeler 1985)","plainCitation":"(Asher and Wheeler 1985)","noteIndex":0},"citationItems":[{"id":536,"uris":["http://zotero.org/users/7501598/items/QS2D3N8B"],"itemData":{"id":536,"type":"article-journal","container-title":"Journal of consulting and clinical psychology","ISSN":"1939-2117","issue":"4","journalAbbreviation":"Journal of consulting and clinical psychology","note":"publisher: American Psychological Association","page":"500","title":"Children's loneliness: a comparison of rejected and neglected peer status.","volume":"53","author":[{"family":"Asher","given":"Steven R"},{"family":"Wheeler","given":"Valerie A"}],"issued":{"date-parts":[["1985"]]}}}],"schema":"https://github.com/citation-style-language/schema/raw/master/csl-citation.json"}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(Asher and Wheeler 1985)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Prior research has shown that this scale can similarly measure social support from peers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{"citationID":"fi7VB9x9","properties":{"formattedCitation":"(Rotenberg and Hymel 1999)","plainCitation":"(Rotenberg and Hymel 1999)","noteIndex":0},"citationItems":[{"id":1626,"uris":["http://zotero.org/users/7501598/items/6AN963NX"],"itemData":{"id":1626,"type":"book","event-place":"Cambridge","publisher":"Cambridge","publisher-place":"Cambridge","title":"Loneliness in childhood and adolescence / edited by Ken J. Rotenberg, Shelley Hymel.","author":[{"family":"Rotenberg","given":"Ken J"},{"family":"Hymel","given":"Shelley"}],"issued":{"date-parts":[["1999"]]}}}],"schema":"https://github.com/citation-style-language/schema/raw/master/csl-citation.json"}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(Rotenberg and Hymel 1999)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r w:rsidRPr="00442034">
        <w:rPr>
          <w:rFonts w:ascii="Times New Roman" w:hAnsi="Times New Roman" w:cs="Times New Roman"/>
        </w:rPr>
        <w:t xml:space="preserve"> </w:t>
      </w:r>
      <w:r w:rsidRPr="00442034">
        <w:rPr>
          <w:rFonts w:ascii="Times New Roman" w:hAnsi="Times New Roman" w:cs="Times New Roman"/>
          <w:sz w:val="24"/>
          <w:szCs w:val="24"/>
        </w:rPr>
        <w:t>Sample items include questions such as: “It is easy to make new friends,” or “I have nobody to talk to at school.” Responses were captured using a 5-point Likert scale ranging from Never to Always, with appropriate items being reverse coded. All items were summed to create a total peer support score ranging from 24-80, with higher values indicating greater peer satisfaction and support. The scale showed good internal reliability (</w:t>
      </w:r>
      <w:r w:rsidRPr="00442034">
        <w:rPr>
          <w:rFonts w:ascii="Times New Roman" w:hAnsi="Times New Roman" w:cs="Times New Roman"/>
          <w:sz w:val="24"/>
          <w:szCs w:val="24"/>
        </w:rPr>
        <w:sym w:font="Symbol" w:char="F061"/>
      </w:r>
      <w:r w:rsidRPr="00442034">
        <w:rPr>
          <w:rFonts w:ascii="Times New Roman" w:hAnsi="Times New Roman" w:cs="Times New Roman"/>
          <w:sz w:val="24"/>
          <w:szCs w:val="24"/>
        </w:rPr>
        <w:t xml:space="preserve"> =.89) and has been validated in previous studies for use as a social support measure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{"citationID":"3yZqfow6","properties":{"formattedCitation":"(Cassidy and Asher 1992)","plainCitation":"(Cassidy and Asher 1992)","noteIndex":0},"citationItems":[{"id":532,"uris":["http://zotero.org/users/7501598/items/2SP8CLIS"],"itemData":{"id":532,"type":"article-journal","abstract":"440 kindergarten and 1st-grade children responded to a questionnaire about feelings of loneliness and social dissatisfaction in school. A subset of 46 children were individually interviewed to assess their understanding of loneliness. To assess sociometric status and behavior, peers were asked to respond to various sociometric measures and behavioral assessment items. Teachers also provided behavioral information about children using a newly developed instrument. Results indicate that nearly all the children understood loneliness, that loneliness was reliably assessed in these Ss, and that poorly accepted children were more lonely than other children. In addition, children who reported the most loneliness were found to differ from others on several behavioral dimensions. (PsycINFO Database Record (c) 2016 APA, all rights reserved)","container-title":"Child Development","DOI":"10.2307/1131484","ISSN":"1467-8624","note":"publisher-place: United Kingdom\npublisher: Blackwell Publishing","page":"350-365","source":"APA PsycNet","title":"Loneliness and peer relations in young children","volume":"63","author":[{"family":"Cassidy","given":"Jude"},{"family":"Asher","given":"Steven R."}],"issued":{"date-parts":[["1992"]]}}}],"schema":"https://github.com/citation-style-language/schema/raw/master/csl-citation.json"}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(Cassidy and Asher 1992)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643B15A6" w14:textId="77777777" w:rsidR="0048282A" w:rsidRPr="00442034" w:rsidRDefault="0048282A" w:rsidP="00C37F60">
      <w:pPr>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t>Control Variables:</w:t>
      </w:r>
    </w:p>
    <w:p w14:paraId="49BA7512" w14:textId="6BB1844A" w:rsidR="0048282A" w:rsidRPr="00442034" w:rsidRDefault="0048282A" w:rsidP="00C37F60">
      <w:pPr>
        <w:spacing w:line="480" w:lineRule="auto"/>
        <w:ind w:firstLine="720"/>
        <w:contextualSpacing/>
        <w:rPr>
          <w:rFonts w:ascii="Times New Roman" w:hAnsi="Times New Roman" w:cs="Times New Roman"/>
          <w:i/>
          <w:iCs/>
          <w:sz w:val="24"/>
          <w:szCs w:val="24"/>
        </w:rPr>
      </w:pPr>
      <w:r w:rsidRPr="00442034">
        <w:rPr>
          <w:rFonts w:ascii="Times New Roman" w:hAnsi="Times New Roman" w:cs="Times New Roman"/>
          <w:sz w:val="24"/>
          <w:szCs w:val="24"/>
        </w:rPr>
        <w:t xml:space="preserve">We control for age, sex, race, type of maltreatment prompting a CPS report, whether the child was ever placed in out-of-home care between Waves 1 and 3, and who their current </w:t>
      </w:r>
      <w:r w:rsidRPr="00442034">
        <w:rPr>
          <w:rFonts w:ascii="Times New Roman" w:hAnsi="Times New Roman" w:cs="Times New Roman"/>
          <w:sz w:val="24"/>
          <w:szCs w:val="24"/>
        </w:rPr>
        <w:lastRenderedPageBreak/>
        <w:t xml:space="preserve">caregiver is. Other controls include whether the sampling unit is urban, and the percentage of those living at or below the poverty federal poverty level. Age is a continuous variable ranging from 11-17. Sex is a dichotomous variable with females coded 1. Race is a categorical variable coded as White </w:t>
      </w:r>
      <w:r w:rsidR="003054F4">
        <w:rPr>
          <w:rFonts w:ascii="Times New Roman" w:hAnsi="Times New Roman" w:cs="Times New Roman"/>
          <w:sz w:val="24"/>
          <w:szCs w:val="24"/>
        </w:rPr>
        <w:t>n</w:t>
      </w:r>
      <w:r w:rsidRPr="00442034">
        <w:rPr>
          <w:rFonts w:ascii="Times New Roman" w:hAnsi="Times New Roman" w:cs="Times New Roman"/>
          <w:sz w:val="24"/>
          <w:szCs w:val="24"/>
        </w:rPr>
        <w:t xml:space="preserve">on-Hispanic, Black </w:t>
      </w:r>
      <w:r w:rsidR="003054F4">
        <w:rPr>
          <w:rFonts w:ascii="Times New Roman" w:hAnsi="Times New Roman" w:cs="Times New Roman"/>
          <w:sz w:val="24"/>
          <w:szCs w:val="24"/>
        </w:rPr>
        <w:t>n</w:t>
      </w:r>
      <w:r w:rsidRPr="00442034">
        <w:rPr>
          <w:rFonts w:ascii="Times New Roman" w:hAnsi="Times New Roman" w:cs="Times New Roman"/>
          <w:sz w:val="24"/>
          <w:szCs w:val="24"/>
        </w:rPr>
        <w:t xml:space="preserve">on-Hispanic, Hispanic, and Other Race as a constructed race variable in NSCAW-II. Type of maltreatment is a categorical variable coded to capture the six most common types of maltreatment including Abuse, Neglect, Substance Use, Domestic Violence, Sexual Abuse, or Other. This variable was derived </w:t>
      </w:r>
      <w:proofErr w:type="gramStart"/>
      <w:r w:rsidRPr="00442034">
        <w:rPr>
          <w:rFonts w:ascii="Times New Roman" w:hAnsi="Times New Roman" w:cs="Times New Roman"/>
          <w:sz w:val="24"/>
          <w:szCs w:val="24"/>
        </w:rPr>
        <w:t>by</w:t>
      </w:r>
      <w:proofErr w:type="gramEnd"/>
      <w:r w:rsidRPr="00442034">
        <w:rPr>
          <w:rFonts w:ascii="Times New Roman" w:hAnsi="Times New Roman" w:cs="Times New Roman"/>
          <w:sz w:val="24"/>
          <w:szCs w:val="24"/>
        </w:rPr>
        <w:t xml:space="preserve"> the index report for the youth encountering the child welfare system and captures the most severe maltreatment reported. Whether the youth were ever placed in out-of-home care between Waves One and Three is a dichotomous variable measured at Wave Three using retrospective administrative records. Caregiver relationship is coded as Parents, Foster Parents, or Kinship Caregiver based on their current placement at Wave Three.</w:t>
      </w:r>
    </w:p>
    <w:p w14:paraId="1129FF5F" w14:textId="77777777" w:rsidR="0048282A"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i/>
          <w:iCs/>
          <w:sz w:val="24"/>
          <w:szCs w:val="24"/>
        </w:rPr>
        <w:t>Analytical Strategy</w:t>
      </w:r>
    </w:p>
    <w:p w14:paraId="13368C19" w14:textId="096B2D5E"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First, we present </w:t>
      </w:r>
      <w:r w:rsidR="00CC0BB4">
        <w:rPr>
          <w:rFonts w:ascii="Times New Roman" w:hAnsi="Times New Roman" w:cs="Times New Roman"/>
          <w:sz w:val="24"/>
          <w:szCs w:val="24"/>
        </w:rPr>
        <w:t xml:space="preserve">weighted </w:t>
      </w:r>
      <w:r w:rsidRPr="00442034">
        <w:rPr>
          <w:rFonts w:ascii="Times New Roman" w:hAnsi="Times New Roman" w:cs="Times New Roman"/>
          <w:sz w:val="24"/>
          <w:szCs w:val="24"/>
        </w:rPr>
        <w:t xml:space="preserve">descriptive statistics on our sample. Next, we examine the bivariate comparisons </w:t>
      </w:r>
      <w:r w:rsidR="005E787B">
        <w:rPr>
          <w:rFonts w:ascii="Times New Roman" w:hAnsi="Times New Roman" w:cs="Times New Roman"/>
          <w:sz w:val="24"/>
          <w:szCs w:val="24"/>
        </w:rPr>
        <w:t xml:space="preserve">between </w:t>
      </w:r>
      <w:r w:rsidR="00B219ED">
        <w:rPr>
          <w:rFonts w:ascii="Times New Roman" w:hAnsi="Times New Roman" w:cs="Times New Roman"/>
          <w:sz w:val="24"/>
          <w:szCs w:val="24"/>
        </w:rPr>
        <w:t xml:space="preserve">LGBQ youth and non-LGBQ youth </w:t>
      </w:r>
      <w:r w:rsidRPr="00442034">
        <w:rPr>
          <w:rFonts w:ascii="Times New Roman" w:hAnsi="Times New Roman" w:cs="Times New Roman"/>
          <w:sz w:val="24"/>
          <w:szCs w:val="24"/>
        </w:rPr>
        <w:t xml:space="preserve">for future expectations, sexual orientation, peer support, and youth’s relationship with their caregiver. Then, we use multinomial logistic regression analyses to run three models to measure whether sexual orientation predicts differences in future expectations for having a family, getting married by twenty-five, and living to thirty-five. Rather than ordered logistic regression analyses, which often violate the parallel line assumption, multinomial logistic regression is most often used for dependent variables that have no inherent ordered structure but can also be used for ordered variables. These models fit multiple binary logistic regression models simultaneously for comparisons among each alternative of the dependent variable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{"citationID":"w0p8Ub6J","properties":{"formattedCitation":"(Long and Freese 2001)","plainCitation":"(Long and Freese 2001)","noteIndex":0},"citationItems":[{"id":1967,"uris":["http://zotero.org/users/7501598/items/E4HHKGLT"],"itemData":{"id":1967,"type":"book","abstract":"Regression Models for Categorical Dependent Variables Using Stata, 2nd Edition, by J. Scott Long and Jeremy Freese, shows how to fit and interpret regression models for categorical data with Stata. Nearly 50% longer than the previous edition, the book covers new topics for fitting and interpretating models included in Stata 9, such as multinomial probit models, the stereotype logistic model, and zero-truncated count models. Many of the interpretation techniques have been updated to include interval as well as point estimates.","source":"ResearchGate","title":"Regression Models for Categorical and Dependent Variables Using STATA","author":[{"family":"Long","given":"J Scott"},{"family":"Freese","given":"Jeremy"}],"issued":{"date-parts":[["2001",1,1]]}}}],"schema":"https://github.com/citation-style-language/schema/raw/master/csl-citation.json"}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sz w:val="24"/>
        </w:rPr>
        <w:t>(Long and Freese 2001)</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As </w:t>
      </w:r>
      <w:r w:rsidRPr="00442034">
        <w:rPr>
          <w:rFonts w:ascii="Times New Roman" w:hAnsi="Times New Roman" w:cs="Times New Roman"/>
          <w:sz w:val="24"/>
          <w:szCs w:val="24"/>
        </w:rPr>
        <w:lastRenderedPageBreak/>
        <w:t>multinomial logistic regression models compare alternatives to a base outcome, we chose the expectation category “No Chance” as the comparison, as it was the least likely option. Therefore, all stacked logistic regression analyses will compare alternatives to “No Chance” of occurring. The equation below represents this model:</w:t>
      </w:r>
    </w:p>
    <w:p w14:paraId="2EA9517B" w14:textId="77777777" w:rsidR="0048282A" w:rsidRPr="00442034" w:rsidRDefault="00000000" w:rsidP="00C37F60">
      <w:pPr>
        <w:spacing w:after="0" w:line="480" w:lineRule="auto"/>
        <w:rPr>
          <w:rFonts w:ascii="Times New Roman" w:eastAsiaTheme="minorEastAsia" w:hAnsi="Times New Roman" w:cs="Times New Roman"/>
        </w:rPr>
      </w:pPr>
      <m:oMathPara>
        <m:oMath>
          <m:func>
            <m:funcPr>
              <m:ctrlPr>
                <w:rPr>
                  <w:rFonts w:ascii="Cambria Math" w:hAnsi="Cambria Math" w:cs="Times New Roman"/>
                  <w:i/>
                </w:rPr>
              </m:ctrlPr>
            </m:funcPr>
            <m:fName>
              <m:r>
                <m:rPr>
                  <m:sty m:val="p"/>
                </m:rPr>
                <w:rPr>
                  <w:rFonts w:ascii="Cambria Math" w:hAnsi="Cambria Math" w:cs="Times New Roman"/>
                </w:rPr>
                <m:t>ln</m:t>
              </m:r>
            </m:fName>
            <m:e>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m|No Chance</m:t>
                  </m:r>
                </m:sub>
              </m:sSub>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x</m:t>
                  </m:r>
                </m:e>
              </m:d>
            </m:e>
          </m:func>
          <m:r>
            <w:rPr>
              <w:rFonts w:ascii="Cambria Math" w:hAnsi="Cambria Math" w:cs="Times New Roman"/>
            </w:rPr>
            <m:t xml:space="preserve">= </m:t>
          </m:r>
          <m:func>
            <m:funcPr>
              <m:ctrlPr>
                <w:rPr>
                  <w:rFonts w:ascii="Cambria Math" w:hAnsi="Cambria Math" w:cs="Times New Roman"/>
                  <w:i/>
                </w:rPr>
              </m:ctrlPr>
            </m:funcPr>
            <m:fName>
              <m:r>
                <m:rPr>
                  <m:sty m:val="p"/>
                </m:rPr>
                <w:rPr>
                  <w:rFonts w:ascii="Cambria Math" w:hAnsi="Cambria Math" w:cs="Times New Roman"/>
                </w:rPr>
                <m:t>ln</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Pr</m:t>
                      </m:r>
                      <m:d>
                        <m:dPr>
                          <m:ctrlPr>
                            <w:rPr>
                              <w:rFonts w:ascii="Cambria Math" w:hAnsi="Cambria Math" w:cs="Times New Roman"/>
                              <w:i/>
                            </w:rPr>
                          </m:ctrlPr>
                        </m:dPr>
                        <m:e>
                          <m:r>
                            <w:rPr>
                              <w:rFonts w:ascii="Cambria Math" w:hAnsi="Cambria Math" w:cs="Times New Roman"/>
                            </w:rPr>
                            <m:t>y=m |x</m:t>
                          </m:r>
                        </m:e>
                      </m:d>
                    </m:num>
                    <m:den>
                      <m:r>
                        <w:rPr>
                          <w:rFonts w:ascii="Cambria Math" w:hAnsi="Cambria Math" w:cs="Times New Roman"/>
                        </w:rPr>
                        <m:t>Pr</m:t>
                      </m:r>
                      <m:d>
                        <m:dPr>
                          <m:ctrlPr>
                            <w:rPr>
                              <w:rFonts w:ascii="Cambria Math" w:hAnsi="Cambria Math" w:cs="Times New Roman"/>
                              <w:i/>
                            </w:rPr>
                          </m:ctrlPr>
                        </m:dPr>
                        <m:e>
                          <m:r>
                            <w:rPr>
                              <w:rFonts w:ascii="Cambria Math" w:hAnsi="Cambria Math" w:cs="Times New Roman"/>
                            </w:rPr>
                            <m:t>y=No Chance |x</m:t>
                          </m:r>
                        </m:e>
                      </m:d>
                    </m:den>
                  </m:f>
                </m:e>
              </m:d>
            </m:e>
          </m:func>
          <m:r>
            <w:rPr>
              <w:rFonts w:ascii="Cambria Math" w:hAnsi="Cambria Math" w:cs="Times New Roman"/>
            </w:rPr>
            <m:t xml:space="preserve"> =x</m:t>
          </m:r>
          <m:sSub>
            <m:sSubPr>
              <m:ctrlPr>
                <w:rPr>
                  <w:rFonts w:ascii="Cambria Math" w:hAnsi="Cambria Math" w:cs="Times New Roman"/>
                  <w:i/>
                </w:rPr>
              </m:ctrlPr>
            </m:sSubPr>
            <m:e>
              <m:r>
                <w:rPr>
                  <w:rFonts w:ascii="Cambria Math" w:hAnsi="Cambria Math" w:cs="Times New Roman"/>
                </w:rPr>
                <m:t xml:space="preserve"> β</m:t>
              </m:r>
            </m:e>
            <m:sub>
              <m:r>
                <w:rPr>
                  <w:rFonts w:ascii="Cambria Math" w:hAnsi="Cambria Math" w:cs="Times New Roman"/>
                </w:rPr>
                <m:t>m | No Chance</m:t>
              </m:r>
            </m:sub>
          </m:sSub>
          <m:r>
            <w:rPr>
              <w:rFonts w:ascii="Cambria Math" w:hAnsi="Cambria Math" w:cs="Times New Roman"/>
            </w:rPr>
            <m:t xml:space="preserve"> </m:t>
          </m:r>
          <m:r>
            <w:rPr>
              <w:rFonts w:ascii="Cambria Math" w:eastAsiaTheme="minorEastAsia" w:hAnsi="Cambria Math" w:cs="Times New Roman"/>
            </w:rPr>
            <m:t xml:space="preserve"> for m=2 to 6</m:t>
          </m:r>
        </m:oMath>
      </m:oMathPara>
    </w:p>
    <w:p w14:paraId="30A7B094" w14:textId="77777777" w:rsidR="0048282A"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For the expectation of living to thirty-five, there were too few respondents in the “No Chance” or “Some Chance” categories, so we changed the base outcome to “About 50-50 Chance”. The equation for this model is as follows:</w:t>
      </w:r>
    </w:p>
    <w:p w14:paraId="2C2DEFE3" w14:textId="77777777" w:rsidR="0048282A" w:rsidRPr="00442034" w:rsidRDefault="00000000" w:rsidP="00C37F60">
      <w:pPr>
        <w:spacing w:after="0" w:line="480" w:lineRule="auto"/>
        <w:rPr>
          <w:rFonts w:ascii="Times New Roman" w:eastAsiaTheme="minorEastAsia" w:hAnsi="Times New Roman" w:cs="Times New Roman"/>
        </w:rPr>
      </w:pPr>
      <m:oMathPara>
        <m:oMath>
          <m:func>
            <m:funcPr>
              <m:ctrlPr>
                <w:rPr>
                  <w:rFonts w:ascii="Cambria Math" w:hAnsi="Cambria Math" w:cs="Times New Roman"/>
                  <w:i/>
                </w:rPr>
              </m:ctrlPr>
            </m:funcPr>
            <m:fName>
              <m:r>
                <m:rPr>
                  <m:sty m:val="p"/>
                </m:rPr>
                <w:rPr>
                  <w:rFonts w:ascii="Cambria Math" w:hAnsi="Cambria Math" w:cs="Times New Roman"/>
                </w:rPr>
                <m:t>ln</m:t>
              </m:r>
            </m:fName>
            <m:e>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m|About 50-50</m:t>
                  </m:r>
                </m:sub>
              </m:sSub>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x</m:t>
                  </m:r>
                </m:e>
              </m:d>
            </m:e>
          </m:func>
          <m:r>
            <w:rPr>
              <w:rFonts w:ascii="Cambria Math" w:hAnsi="Cambria Math" w:cs="Times New Roman"/>
            </w:rPr>
            <m:t xml:space="preserve">= </m:t>
          </m:r>
          <m:func>
            <m:funcPr>
              <m:ctrlPr>
                <w:rPr>
                  <w:rFonts w:ascii="Cambria Math" w:hAnsi="Cambria Math" w:cs="Times New Roman"/>
                  <w:i/>
                </w:rPr>
              </m:ctrlPr>
            </m:funcPr>
            <m:fName>
              <m:r>
                <m:rPr>
                  <m:sty m:val="p"/>
                </m:rPr>
                <w:rPr>
                  <w:rFonts w:ascii="Cambria Math" w:hAnsi="Cambria Math" w:cs="Times New Roman"/>
                </w:rPr>
                <m:t>ln</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Pr</m:t>
                      </m:r>
                      <m:d>
                        <m:dPr>
                          <m:ctrlPr>
                            <w:rPr>
                              <w:rFonts w:ascii="Cambria Math" w:hAnsi="Cambria Math" w:cs="Times New Roman"/>
                              <w:i/>
                            </w:rPr>
                          </m:ctrlPr>
                        </m:dPr>
                        <m:e>
                          <m:r>
                            <w:rPr>
                              <w:rFonts w:ascii="Cambria Math" w:hAnsi="Cambria Math" w:cs="Times New Roman"/>
                            </w:rPr>
                            <m:t>y=m |x</m:t>
                          </m:r>
                        </m:e>
                      </m:d>
                    </m:num>
                    <m:den>
                      <m:r>
                        <w:rPr>
                          <w:rFonts w:ascii="Cambria Math" w:hAnsi="Cambria Math" w:cs="Times New Roman"/>
                        </w:rPr>
                        <m:t>Pr</m:t>
                      </m:r>
                      <m:d>
                        <m:dPr>
                          <m:ctrlPr>
                            <w:rPr>
                              <w:rFonts w:ascii="Cambria Math" w:hAnsi="Cambria Math" w:cs="Times New Roman"/>
                              <w:i/>
                            </w:rPr>
                          </m:ctrlPr>
                        </m:dPr>
                        <m:e>
                          <m:r>
                            <w:rPr>
                              <w:rFonts w:ascii="Cambria Math" w:hAnsi="Cambria Math" w:cs="Times New Roman"/>
                            </w:rPr>
                            <m:t>y=About 50-50 |x</m:t>
                          </m:r>
                        </m:e>
                      </m:d>
                    </m:den>
                  </m:f>
                </m:e>
              </m:d>
            </m:e>
          </m:func>
          <m:r>
            <w:rPr>
              <w:rFonts w:ascii="Cambria Math" w:hAnsi="Cambria Math" w:cs="Times New Roman"/>
            </w:rPr>
            <m:t xml:space="preserve"> =x</m:t>
          </m:r>
          <m:sSub>
            <m:sSubPr>
              <m:ctrlPr>
                <w:rPr>
                  <w:rFonts w:ascii="Cambria Math" w:hAnsi="Cambria Math" w:cs="Times New Roman"/>
                  <w:i/>
                </w:rPr>
              </m:ctrlPr>
            </m:sSubPr>
            <m:e>
              <m:r>
                <w:rPr>
                  <w:rFonts w:ascii="Cambria Math" w:hAnsi="Cambria Math" w:cs="Times New Roman"/>
                </w:rPr>
                <m:t xml:space="preserve"> β</m:t>
              </m:r>
            </m:e>
            <m:sub>
              <m:r>
                <w:rPr>
                  <w:rFonts w:ascii="Cambria Math" w:hAnsi="Cambria Math" w:cs="Times New Roman"/>
                </w:rPr>
                <m:t>m | About 50-50</m:t>
              </m:r>
            </m:sub>
          </m:sSub>
          <m:r>
            <w:rPr>
              <w:rFonts w:ascii="Cambria Math" w:hAnsi="Cambria Math" w:cs="Times New Roman"/>
            </w:rPr>
            <m:t xml:space="preserve"> </m:t>
          </m:r>
          <m:r>
            <w:rPr>
              <w:rFonts w:ascii="Cambria Math" w:eastAsiaTheme="minorEastAsia" w:hAnsi="Cambria Math" w:cs="Times New Roman"/>
            </w:rPr>
            <m:t xml:space="preserve"> for m=3 to 5</m:t>
          </m:r>
        </m:oMath>
      </m:oMathPara>
    </w:p>
    <w:p w14:paraId="7958B44C" w14:textId="77777777" w:rsidR="0048282A"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After running these models for each of the three future expectations, we run subsequent models to examine whether peer support and youth’s relationship with their caregiver moderates these expectations. We use interaction terms to analyze how social supports impact future expectations differently for LGBQ youth and examine the differences by gender and race. All analyses were conducted in Stata 18.</w:t>
      </w:r>
    </w:p>
    <w:p w14:paraId="5B09C9D5" w14:textId="77777777" w:rsidR="0048282A" w:rsidRPr="00442034" w:rsidRDefault="0048282A" w:rsidP="00C37F60">
      <w:pPr>
        <w:spacing w:line="480" w:lineRule="auto"/>
        <w:contextualSpacing/>
        <w:jc w:val="center"/>
        <w:rPr>
          <w:rFonts w:ascii="Times New Roman" w:hAnsi="Times New Roman" w:cs="Times New Roman"/>
          <w:b/>
          <w:bCs/>
          <w:sz w:val="24"/>
          <w:szCs w:val="24"/>
        </w:rPr>
      </w:pPr>
      <w:r w:rsidRPr="00442034">
        <w:rPr>
          <w:rFonts w:ascii="Times New Roman" w:hAnsi="Times New Roman" w:cs="Times New Roman"/>
          <w:b/>
          <w:bCs/>
          <w:sz w:val="24"/>
          <w:szCs w:val="24"/>
        </w:rPr>
        <w:t>Results</w:t>
      </w:r>
    </w:p>
    <w:p w14:paraId="2190E4BF" w14:textId="77777777" w:rsidR="0048282A" w:rsidRPr="00442034" w:rsidRDefault="0048282A" w:rsidP="00C37F60">
      <w:pPr>
        <w:spacing w:line="480" w:lineRule="auto"/>
        <w:ind w:left="360"/>
        <w:contextualSpacing/>
        <w:rPr>
          <w:rFonts w:ascii="Times New Roman" w:hAnsi="Times New Roman" w:cs="Times New Roman"/>
          <w:i/>
          <w:iCs/>
          <w:sz w:val="24"/>
          <w:szCs w:val="24"/>
        </w:rPr>
      </w:pPr>
      <w:r w:rsidRPr="00442034">
        <w:rPr>
          <w:rFonts w:ascii="Times New Roman" w:hAnsi="Times New Roman" w:cs="Times New Roman"/>
          <w:i/>
          <w:iCs/>
          <w:sz w:val="24"/>
          <w:szCs w:val="24"/>
        </w:rPr>
        <w:t>Descriptive Analyses</w:t>
      </w:r>
    </w:p>
    <w:p w14:paraId="4EA42A3C" w14:textId="54625493" w:rsidR="0048282A" w:rsidRPr="00442034" w:rsidRDefault="0048282A" w:rsidP="00C37F60">
      <w:pPr>
        <w:spacing w:line="480" w:lineRule="auto"/>
        <w:ind w:left="360" w:firstLine="360"/>
        <w:contextualSpacing/>
        <w:rPr>
          <w:rFonts w:ascii="Times New Roman" w:hAnsi="Times New Roman" w:cs="Times New Roman"/>
          <w:sz w:val="24"/>
          <w:szCs w:val="24"/>
        </w:rPr>
      </w:pPr>
      <w:r w:rsidRPr="00442034">
        <w:rPr>
          <w:rFonts w:ascii="Times New Roman" w:hAnsi="Times New Roman" w:cs="Times New Roman"/>
          <w:sz w:val="24"/>
          <w:szCs w:val="24"/>
        </w:rPr>
        <w:t xml:space="preserve">Table 1 displays the </w:t>
      </w:r>
      <w:r w:rsidR="00CC0BB4">
        <w:rPr>
          <w:rFonts w:ascii="Times New Roman" w:hAnsi="Times New Roman" w:cs="Times New Roman"/>
          <w:sz w:val="24"/>
          <w:szCs w:val="24"/>
        </w:rPr>
        <w:t xml:space="preserve">weighted </w:t>
      </w:r>
      <w:r w:rsidRPr="00442034">
        <w:rPr>
          <w:rFonts w:ascii="Times New Roman" w:hAnsi="Times New Roman" w:cs="Times New Roman"/>
          <w:sz w:val="24"/>
          <w:szCs w:val="24"/>
        </w:rPr>
        <w:t xml:space="preserve">descriptive statistics and population estimates for the full sample, as well as a comparison between LGBQ youth and heterosexual youth. Among future expectations for the full sample, living to thirty-five had the highest average expectation among youth in child welfare (4.39), while getting married by twenty-five had the lowest average expectation for these youth (2.92). In the full sample, the average level of peer support was 69.28 and the average score for </w:t>
      </w:r>
      <w:r w:rsidR="000239E9">
        <w:rPr>
          <w:rFonts w:ascii="Times New Roman" w:hAnsi="Times New Roman" w:cs="Times New Roman"/>
          <w:sz w:val="24"/>
          <w:szCs w:val="24"/>
        </w:rPr>
        <w:t xml:space="preserve">the perceived quality of </w:t>
      </w:r>
      <w:r w:rsidRPr="00442034">
        <w:rPr>
          <w:rFonts w:ascii="Times New Roman" w:hAnsi="Times New Roman" w:cs="Times New Roman"/>
          <w:sz w:val="24"/>
          <w:szCs w:val="24"/>
        </w:rPr>
        <w:t xml:space="preserve">youth’s relationship </w:t>
      </w:r>
      <w:r w:rsidRPr="00442034">
        <w:rPr>
          <w:rFonts w:ascii="Times New Roman" w:hAnsi="Times New Roman" w:cs="Times New Roman"/>
          <w:sz w:val="24"/>
          <w:szCs w:val="24"/>
        </w:rPr>
        <w:lastRenderedPageBreak/>
        <w:t xml:space="preserve">with their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was 41.91. The average age in the full sample was 14, and more than half of the sample was female (55.72%). Over one-third of the sample identified as White </w:t>
      </w:r>
      <w:r w:rsidR="0014444E">
        <w:rPr>
          <w:rFonts w:ascii="Times New Roman" w:hAnsi="Times New Roman" w:cs="Times New Roman"/>
          <w:sz w:val="24"/>
          <w:szCs w:val="24"/>
        </w:rPr>
        <w:t>n</w:t>
      </w:r>
      <w:r w:rsidRPr="00442034">
        <w:rPr>
          <w:rFonts w:ascii="Times New Roman" w:hAnsi="Times New Roman" w:cs="Times New Roman"/>
          <w:sz w:val="24"/>
          <w:szCs w:val="24"/>
        </w:rPr>
        <w:t xml:space="preserve">on-Hispanic (35.32%), followed by Hispanic (32.79%), Black </w:t>
      </w:r>
      <w:r w:rsidR="0014444E">
        <w:rPr>
          <w:rFonts w:ascii="Times New Roman" w:hAnsi="Times New Roman" w:cs="Times New Roman"/>
          <w:sz w:val="24"/>
          <w:szCs w:val="24"/>
        </w:rPr>
        <w:t>n</w:t>
      </w:r>
      <w:r w:rsidRPr="00442034">
        <w:rPr>
          <w:rFonts w:ascii="Times New Roman" w:hAnsi="Times New Roman" w:cs="Times New Roman"/>
          <w:sz w:val="24"/>
          <w:szCs w:val="24"/>
        </w:rPr>
        <w:t xml:space="preserve">on-Hispanic (25.05%), and Other Race (6.84%). The most common type of abuse identified was Neglect (27.85%) and over half the sample fell below the poverty line (58.02%). Most of the sample was urban (84.59%) and resided with their biological parent (87.50%).  </w:t>
      </w:r>
    </w:p>
    <w:p w14:paraId="0AF51824" w14:textId="24192687" w:rsidR="0048282A" w:rsidRPr="00442034" w:rsidRDefault="0048282A" w:rsidP="00C37F60">
      <w:pPr>
        <w:spacing w:line="480" w:lineRule="auto"/>
        <w:ind w:left="360" w:firstLine="360"/>
        <w:contextualSpacing/>
        <w:rPr>
          <w:rFonts w:ascii="Times New Roman" w:hAnsi="Times New Roman" w:cs="Times New Roman"/>
          <w:sz w:val="24"/>
          <w:szCs w:val="24"/>
        </w:rPr>
      </w:pPr>
      <w:r w:rsidRPr="00442034">
        <w:rPr>
          <w:rFonts w:ascii="Times New Roman" w:hAnsi="Times New Roman" w:cs="Times New Roman"/>
          <w:sz w:val="24"/>
          <w:szCs w:val="24"/>
        </w:rPr>
        <w:t xml:space="preserve"> Of the youth in this sample, LGBQ youth were disproportionately represented (14.41%) compared to the 8% in the general population, consistent with the literature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{"citationID":"kLZgMyWs","properties":{"formattedCitation":"(Dettlaff and Washburn 2018)","plainCitation":"(Dettlaff and Washburn 2018)","noteIndex":0},"citationItems":[{"id":152,"uris":["http://zotero.org/users/7501598/items/ICVZWQ4R"],"itemData":{"id":152,"type":"article-journal","container-title":"Child abuse &amp; neglect","note":"ISBN: 0145-2134\npublisher: Elsevier","page":"183-193","title":"Lesbian, gay, and bisexual (LGB) youth within in welfare: Prevalence, risk and outcomes","volume":"80","author":[{"family":"Dettlaff","given":"Alan J."},{"family":"Washburn","given":"Micki"}],"issued":{"date-parts":[["2018"]]}}}],"schema":"https://github.com/citation-style-language/schema/raw/master/csl-citation.json"}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(Dettlaff and Washburn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Youth who identified as LGBQ had lower future expectations for having a family (3.32), getting married by twenty-five (2.50), and living to thirty-five (4.19) compared to heterosexual youth (</w:t>
      </w:r>
      <w:r w:rsidR="00164028" w:rsidRPr="00442034">
        <w:rPr>
          <w:rFonts w:ascii="Times New Roman" w:hAnsi="Times New Roman" w:cs="Times New Roman"/>
          <w:sz w:val="24"/>
          <w:szCs w:val="24"/>
        </w:rPr>
        <w:t>3.</w:t>
      </w:r>
      <w:r w:rsidR="00562510" w:rsidRPr="00442034">
        <w:rPr>
          <w:rFonts w:ascii="Times New Roman" w:hAnsi="Times New Roman" w:cs="Times New Roman"/>
          <w:sz w:val="24"/>
          <w:szCs w:val="24"/>
        </w:rPr>
        <w:t>94</w:t>
      </w:r>
      <w:r w:rsidRPr="00442034">
        <w:rPr>
          <w:rFonts w:ascii="Times New Roman" w:hAnsi="Times New Roman" w:cs="Times New Roman"/>
          <w:sz w:val="24"/>
          <w:szCs w:val="24"/>
        </w:rPr>
        <w:t xml:space="preserve">, </w:t>
      </w:r>
      <w:r w:rsidR="00562510" w:rsidRPr="00442034">
        <w:rPr>
          <w:rFonts w:ascii="Times New Roman" w:hAnsi="Times New Roman" w:cs="Times New Roman"/>
          <w:sz w:val="24"/>
          <w:szCs w:val="24"/>
        </w:rPr>
        <w:t>2.99</w:t>
      </w:r>
      <w:r w:rsidRPr="00442034">
        <w:rPr>
          <w:rFonts w:ascii="Times New Roman" w:hAnsi="Times New Roman" w:cs="Times New Roman"/>
          <w:sz w:val="24"/>
          <w:szCs w:val="24"/>
        </w:rPr>
        <w:t>,</w:t>
      </w:r>
      <w:r w:rsidR="00562510" w:rsidRPr="00442034">
        <w:rPr>
          <w:rFonts w:ascii="Times New Roman" w:hAnsi="Times New Roman" w:cs="Times New Roman"/>
          <w:sz w:val="24"/>
          <w:szCs w:val="24"/>
        </w:rPr>
        <w:t xml:space="preserve"> and</w:t>
      </w:r>
      <w:r w:rsidRPr="00442034">
        <w:rPr>
          <w:rFonts w:ascii="Times New Roman" w:hAnsi="Times New Roman" w:cs="Times New Roman"/>
          <w:sz w:val="24"/>
          <w:szCs w:val="24"/>
        </w:rPr>
        <w:t xml:space="preserve"> </w:t>
      </w:r>
      <w:r w:rsidR="00562510" w:rsidRPr="00442034">
        <w:rPr>
          <w:rFonts w:ascii="Times New Roman" w:hAnsi="Times New Roman" w:cs="Times New Roman"/>
          <w:sz w:val="24"/>
          <w:szCs w:val="24"/>
        </w:rPr>
        <w:t>4.43</w:t>
      </w:r>
      <w:r w:rsidRPr="00442034">
        <w:rPr>
          <w:rFonts w:ascii="Times New Roman" w:hAnsi="Times New Roman" w:cs="Times New Roman"/>
          <w:sz w:val="24"/>
          <w:szCs w:val="24"/>
        </w:rPr>
        <w:t xml:space="preserve"> respectively). However, only getting married by twenty-five was significantly different. Additionally, LGBQ youth had significantly lower levels of peer support (</w:t>
      </w:r>
      <w:r w:rsidR="00D32DC9" w:rsidRPr="00442034">
        <w:rPr>
          <w:rFonts w:ascii="Times New Roman" w:hAnsi="Times New Roman" w:cs="Times New Roman"/>
          <w:sz w:val="24"/>
          <w:szCs w:val="24"/>
        </w:rPr>
        <w:t>63.34</w:t>
      </w:r>
      <w:r w:rsidRPr="00442034">
        <w:rPr>
          <w:rFonts w:ascii="Times New Roman" w:hAnsi="Times New Roman" w:cs="Times New Roman"/>
          <w:sz w:val="24"/>
          <w:szCs w:val="24"/>
        </w:rPr>
        <w:t>) and caregiver support (</w:t>
      </w:r>
      <w:r w:rsidR="00D32DC9" w:rsidRPr="00442034">
        <w:rPr>
          <w:rFonts w:ascii="Times New Roman" w:hAnsi="Times New Roman" w:cs="Times New Roman"/>
          <w:sz w:val="24"/>
          <w:szCs w:val="24"/>
        </w:rPr>
        <w:t>36.18</w:t>
      </w:r>
      <w:r w:rsidRPr="00442034">
        <w:rPr>
          <w:rFonts w:ascii="Times New Roman" w:hAnsi="Times New Roman" w:cs="Times New Roman"/>
          <w:sz w:val="24"/>
          <w:szCs w:val="24"/>
        </w:rPr>
        <w:t>) compared to heterosexual youth (</w:t>
      </w:r>
      <w:r w:rsidR="00EC5CD3" w:rsidRPr="00442034">
        <w:rPr>
          <w:rFonts w:ascii="Times New Roman" w:hAnsi="Times New Roman" w:cs="Times New Roman"/>
          <w:sz w:val="24"/>
          <w:szCs w:val="24"/>
        </w:rPr>
        <w:t>70.28 and 42.87</w:t>
      </w:r>
      <w:r w:rsidRPr="00442034">
        <w:rPr>
          <w:rFonts w:ascii="Times New Roman" w:hAnsi="Times New Roman" w:cs="Times New Roman"/>
          <w:sz w:val="24"/>
          <w:szCs w:val="24"/>
        </w:rPr>
        <w:t xml:space="preserve"> respectively). LGBQ youth were also significantly older (14.72 compared to </w:t>
      </w:r>
      <w:r w:rsidR="00EC5CD3" w:rsidRPr="00442034">
        <w:rPr>
          <w:rFonts w:ascii="Times New Roman" w:hAnsi="Times New Roman" w:cs="Times New Roman"/>
          <w:sz w:val="24"/>
          <w:szCs w:val="24"/>
        </w:rPr>
        <w:t>13.88</w:t>
      </w:r>
      <w:r w:rsidRPr="00442034">
        <w:rPr>
          <w:rFonts w:ascii="Times New Roman" w:hAnsi="Times New Roman" w:cs="Times New Roman"/>
          <w:sz w:val="24"/>
          <w:szCs w:val="24"/>
        </w:rPr>
        <w:t xml:space="preserve">) and more likely to be female (87.23% compared to </w:t>
      </w:r>
      <w:r w:rsidR="00EC5CD3" w:rsidRPr="00442034">
        <w:rPr>
          <w:rFonts w:ascii="Times New Roman" w:hAnsi="Times New Roman" w:cs="Times New Roman"/>
          <w:sz w:val="24"/>
          <w:szCs w:val="24"/>
        </w:rPr>
        <w:t>50.41%</w:t>
      </w:r>
      <w:r w:rsidRPr="00442034">
        <w:rPr>
          <w:rFonts w:ascii="Times New Roman" w:hAnsi="Times New Roman" w:cs="Times New Roman"/>
          <w:sz w:val="24"/>
          <w:szCs w:val="24"/>
        </w:rPr>
        <w:t xml:space="preserve"> for heterosexual youth). Compared to heterosexual youth, LGBQ youth were significantly less likely to have experienced Domestic Violence </w:t>
      </w:r>
      <w:r w:rsidR="00831ED6" w:rsidRPr="00442034">
        <w:rPr>
          <w:rFonts w:ascii="Times New Roman" w:hAnsi="Times New Roman" w:cs="Times New Roman"/>
          <w:sz w:val="24"/>
          <w:szCs w:val="24"/>
        </w:rPr>
        <w:t>(</w:t>
      </w:r>
      <w:r w:rsidR="000302F2" w:rsidRPr="00442034">
        <w:rPr>
          <w:rFonts w:ascii="Times New Roman" w:hAnsi="Times New Roman" w:cs="Times New Roman"/>
          <w:sz w:val="24"/>
          <w:szCs w:val="24"/>
        </w:rPr>
        <w:t xml:space="preserve">.58% compared to 8.60%) </w:t>
      </w:r>
      <w:r w:rsidRPr="00442034">
        <w:rPr>
          <w:rFonts w:ascii="Times New Roman" w:hAnsi="Times New Roman" w:cs="Times New Roman"/>
          <w:sz w:val="24"/>
          <w:szCs w:val="24"/>
        </w:rPr>
        <w:t>or Substance Abuse</w:t>
      </w:r>
      <w:r w:rsidR="000302F2" w:rsidRPr="00442034">
        <w:rPr>
          <w:rFonts w:ascii="Times New Roman" w:hAnsi="Times New Roman" w:cs="Times New Roman"/>
          <w:sz w:val="24"/>
          <w:szCs w:val="24"/>
        </w:rPr>
        <w:t xml:space="preserve"> (3.13% vs. </w:t>
      </w:r>
      <w:r w:rsidR="00835C04" w:rsidRPr="00442034">
        <w:rPr>
          <w:rFonts w:ascii="Times New Roman" w:hAnsi="Times New Roman" w:cs="Times New Roman"/>
          <w:sz w:val="24"/>
          <w:szCs w:val="24"/>
        </w:rPr>
        <w:t>9.12%)</w:t>
      </w:r>
      <w:r w:rsidRPr="00442034">
        <w:rPr>
          <w:rFonts w:ascii="Times New Roman" w:hAnsi="Times New Roman" w:cs="Times New Roman"/>
          <w:sz w:val="24"/>
          <w:szCs w:val="24"/>
        </w:rPr>
        <w:t xml:space="preserve"> based on their index </w:t>
      </w:r>
      <w:r w:rsidR="00634D03" w:rsidRPr="00442034">
        <w:rPr>
          <w:rFonts w:ascii="Times New Roman" w:hAnsi="Times New Roman" w:cs="Times New Roman"/>
          <w:sz w:val="24"/>
          <w:szCs w:val="24"/>
        </w:rPr>
        <w:t>report and</w:t>
      </w:r>
      <w:r w:rsidRPr="00442034">
        <w:rPr>
          <w:rFonts w:ascii="Times New Roman" w:hAnsi="Times New Roman" w:cs="Times New Roman"/>
          <w:sz w:val="24"/>
          <w:szCs w:val="24"/>
        </w:rPr>
        <w:t xml:space="preserve"> were less likely to be residing with a foster parent during this wave of data collection (</w:t>
      </w:r>
      <w:r w:rsidR="00220858" w:rsidRPr="00442034">
        <w:rPr>
          <w:rFonts w:ascii="Times New Roman" w:hAnsi="Times New Roman" w:cs="Times New Roman"/>
          <w:sz w:val="24"/>
          <w:szCs w:val="24"/>
        </w:rPr>
        <w:t>1.06%</w:t>
      </w:r>
      <w:r w:rsidRPr="00442034">
        <w:rPr>
          <w:rFonts w:ascii="Times New Roman" w:hAnsi="Times New Roman" w:cs="Times New Roman"/>
          <w:sz w:val="24"/>
          <w:szCs w:val="24"/>
        </w:rPr>
        <w:t xml:space="preserve"> vs </w:t>
      </w:r>
      <w:r w:rsidR="00220858" w:rsidRPr="00442034">
        <w:rPr>
          <w:rFonts w:ascii="Times New Roman" w:hAnsi="Times New Roman" w:cs="Times New Roman"/>
          <w:sz w:val="24"/>
          <w:szCs w:val="24"/>
        </w:rPr>
        <w:t>3.40%</w:t>
      </w:r>
      <w:r w:rsidRPr="00442034">
        <w:rPr>
          <w:rFonts w:ascii="Times New Roman" w:hAnsi="Times New Roman" w:cs="Times New Roman"/>
          <w:sz w:val="24"/>
          <w:szCs w:val="24"/>
        </w:rPr>
        <w:t>). Finally, LGBQ youth were more likely to be living in an urban area (96.56%) compared to heterosexual youth (82.57%). No other significant differences were found between the two groups (see Table 1).</w:t>
      </w:r>
    </w:p>
    <w:tbl>
      <w:tblPr>
        <w:tblStyle w:val="TableGrid"/>
        <w:tblpPr w:leftFromText="187" w:rightFromText="187" w:vertAnchor="text" w:horzAnchor="margin" w:tblpY="-70"/>
        <w:tblW w:w="5000" w:type="pct"/>
        <w:tblLayout w:type="fixed"/>
        <w:tblLook w:val="04A0" w:firstRow="1" w:lastRow="0" w:firstColumn="1" w:lastColumn="0" w:noHBand="0" w:noVBand="1"/>
      </w:tblPr>
      <w:tblGrid>
        <w:gridCol w:w="2042"/>
        <w:gridCol w:w="987"/>
        <w:gridCol w:w="1432"/>
        <w:gridCol w:w="1389"/>
        <w:gridCol w:w="1709"/>
        <w:gridCol w:w="824"/>
        <w:gridCol w:w="977"/>
      </w:tblGrid>
      <w:tr w:rsidR="0048282A" w:rsidRPr="00442034" w14:paraId="172B94AC" w14:textId="77777777" w:rsidTr="00BE5E6D">
        <w:trPr>
          <w:trHeight w:val="273"/>
        </w:trPr>
        <w:tc>
          <w:tcPr>
            <w:tcW w:w="3125" w:type="pct"/>
            <w:gridSpan w:val="4"/>
            <w:tcBorders>
              <w:top w:val="nil"/>
              <w:left w:val="nil"/>
              <w:bottom w:val="single" w:sz="4" w:space="0" w:color="auto"/>
              <w:right w:val="nil"/>
            </w:tcBorders>
          </w:tcPr>
          <w:p w14:paraId="77ABD678" w14:textId="77777777" w:rsidR="0048282A" w:rsidRPr="00442034" w:rsidRDefault="0048282A" w:rsidP="00BE5E6D">
            <w:pPr>
              <w:rPr>
                <w:rFonts w:ascii="Times New Roman" w:hAnsi="Times New Roman" w:cs="Times New Roman"/>
                <w:b/>
                <w:bCs/>
                <w:sz w:val="22"/>
                <w:szCs w:val="22"/>
              </w:rPr>
            </w:pPr>
            <w:r w:rsidRPr="00442034">
              <w:rPr>
                <w:rFonts w:ascii="Times New Roman" w:hAnsi="Times New Roman" w:cs="Times New Roman"/>
                <w:b/>
                <w:bCs/>
              </w:rPr>
              <w:lastRenderedPageBreak/>
              <w:t>Table 1. Descriptive Statistics for Sample</w:t>
            </w:r>
          </w:p>
        </w:tc>
        <w:tc>
          <w:tcPr>
            <w:tcW w:w="913" w:type="pct"/>
            <w:tcBorders>
              <w:top w:val="nil"/>
              <w:left w:val="nil"/>
              <w:bottom w:val="single" w:sz="4" w:space="0" w:color="auto"/>
              <w:right w:val="nil"/>
            </w:tcBorders>
          </w:tcPr>
          <w:p w14:paraId="164FBF0B" w14:textId="77777777" w:rsidR="0048282A" w:rsidRPr="00442034" w:rsidRDefault="0048282A" w:rsidP="00BE5E6D">
            <w:pPr>
              <w:rPr>
                <w:rFonts w:ascii="Times New Roman" w:hAnsi="Times New Roman" w:cs="Times New Roman"/>
                <w:b/>
                <w:bCs/>
              </w:rPr>
            </w:pPr>
          </w:p>
        </w:tc>
        <w:tc>
          <w:tcPr>
            <w:tcW w:w="440" w:type="pct"/>
            <w:tcBorders>
              <w:top w:val="nil"/>
              <w:left w:val="nil"/>
              <w:bottom w:val="single" w:sz="4" w:space="0" w:color="auto"/>
              <w:right w:val="nil"/>
            </w:tcBorders>
          </w:tcPr>
          <w:p w14:paraId="0C60CFCF" w14:textId="77777777" w:rsidR="0048282A" w:rsidRPr="00442034" w:rsidRDefault="0048282A" w:rsidP="00BE5E6D">
            <w:pPr>
              <w:rPr>
                <w:rFonts w:ascii="Times New Roman" w:hAnsi="Times New Roman" w:cs="Times New Roman"/>
                <w:b/>
                <w:bCs/>
              </w:rPr>
            </w:pPr>
          </w:p>
        </w:tc>
        <w:tc>
          <w:tcPr>
            <w:tcW w:w="522" w:type="pct"/>
            <w:tcBorders>
              <w:top w:val="nil"/>
              <w:left w:val="nil"/>
              <w:bottom w:val="single" w:sz="4" w:space="0" w:color="auto"/>
              <w:right w:val="nil"/>
            </w:tcBorders>
          </w:tcPr>
          <w:p w14:paraId="7910DE42" w14:textId="77777777" w:rsidR="0048282A" w:rsidRPr="00442034" w:rsidRDefault="0048282A" w:rsidP="00BE5E6D">
            <w:pPr>
              <w:rPr>
                <w:rFonts w:ascii="Times New Roman" w:hAnsi="Times New Roman" w:cs="Times New Roman"/>
                <w:b/>
                <w:bCs/>
              </w:rPr>
            </w:pPr>
          </w:p>
        </w:tc>
      </w:tr>
      <w:tr w:rsidR="0048282A" w:rsidRPr="00442034" w14:paraId="51CFAACA" w14:textId="77777777" w:rsidTr="00BE5E6D">
        <w:trPr>
          <w:trHeight w:val="983"/>
        </w:trPr>
        <w:tc>
          <w:tcPr>
            <w:tcW w:w="1091" w:type="pct"/>
            <w:tcBorders>
              <w:left w:val="nil"/>
              <w:bottom w:val="single" w:sz="4" w:space="0" w:color="auto"/>
              <w:right w:val="nil"/>
            </w:tcBorders>
          </w:tcPr>
          <w:p w14:paraId="7DF34659" w14:textId="77777777" w:rsidR="0048282A" w:rsidRPr="00442034" w:rsidRDefault="0048282A" w:rsidP="00BE5E6D">
            <w:pPr>
              <w:jc w:val="center"/>
              <w:rPr>
                <w:rFonts w:ascii="Times New Roman" w:hAnsi="Times New Roman" w:cs="Times New Roman"/>
                <w:sz w:val="20"/>
                <w:szCs w:val="20"/>
              </w:rPr>
            </w:pPr>
          </w:p>
        </w:tc>
        <w:tc>
          <w:tcPr>
            <w:tcW w:w="527" w:type="pct"/>
            <w:tcBorders>
              <w:left w:val="nil"/>
              <w:bottom w:val="single" w:sz="4" w:space="0" w:color="auto"/>
              <w:right w:val="nil"/>
            </w:tcBorders>
          </w:tcPr>
          <w:p w14:paraId="78DEC98D" w14:textId="77777777" w:rsidR="0048282A" w:rsidRPr="00442034" w:rsidRDefault="0048282A" w:rsidP="00BE5E6D">
            <w:pPr>
              <w:jc w:val="center"/>
              <w:rPr>
                <w:rFonts w:ascii="Times New Roman" w:hAnsi="Times New Roman" w:cs="Times New Roman"/>
                <w:sz w:val="20"/>
                <w:szCs w:val="20"/>
              </w:rPr>
            </w:pPr>
          </w:p>
        </w:tc>
        <w:tc>
          <w:tcPr>
            <w:tcW w:w="765" w:type="pct"/>
            <w:tcBorders>
              <w:left w:val="nil"/>
              <w:bottom w:val="single" w:sz="4" w:space="0" w:color="auto"/>
              <w:right w:val="nil"/>
            </w:tcBorders>
          </w:tcPr>
          <w:p w14:paraId="15E724C8" w14:textId="77777777" w:rsidR="0048282A" w:rsidRPr="00442034" w:rsidRDefault="0048282A" w:rsidP="00BE5E6D">
            <w:pPr>
              <w:jc w:val="center"/>
              <w:rPr>
                <w:rFonts w:ascii="Times New Roman" w:hAnsi="Times New Roman" w:cs="Times New Roman"/>
                <w:b/>
                <w:bCs/>
                <w:sz w:val="20"/>
                <w:szCs w:val="20"/>
              </w:rPr>
            </w:pPr>
            <w:r w:rsidRPr="00442034">
              <w:rPr>
                <w:rFonts w:ascii="Times New Roman" w:hAnsi="Times New Roman" w:cs="Times New Roman"/>
                <w:b/>
                <w:bCs/>
                <w:sz w:val="20"/>
                <w:szCs w:val="20"/>
              </w:rPr>
              <w:t>Full Sample</w:t>
            </w:r>
          </w:p>
          <w:p w14:paraId="5F7AB83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i/>
                <w:iCs/>
                <w:sz w:val="20"/>
                <w:szCs w:val="20"/>
              </w:rPr>
              <w:t xml:space="preserve">n </w:t>
            </w:r>
            <w:r w:rsidRPr="00442034">
              <w:rPr>
                <w:rFonts w:ascii="Times New Roman" w:hAnsi="Times New Roman" w:cs="Times New Roman"/>
                <w:sz w:val="20"/>
                <w:szCs w:val="20"/>
              </w:rPr>
              <w:t>= 498</w:t>
            </w:r>
          </w:p>
          <w:p w14:paraId="01F8F7B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i/>
                <w:iCs/>
                <w:sz w:val="20"/>
                <w:szCs w:val="20"/>
              </w:rPr>
              <w:t xml:space="preserve">N </w:t>
            </w:r>
            <w:r w:rsidRPr="00442034">
              <w:rPr>
                <w:rFonts w:ascii="Times New Roman" w:hAnsi="Times New Roman" w:cs="Times New Roman"/>
                <w:sz w:val="20"/>
                <w:szCs w:val="20"/>
              </w:rPr>
              <w:t>= 455,762</w:t>
            </w:r>
          </w:p>
        </w:tc>
        <w:tc>
          <w:tcPr>
            <w:tcW w:w="742" w:type="pct"/>
            <w:tcBorders>
              <w:left w:val="nil"/>
              <w:bottom w:val="single" w:sz="4" w:space="0" w:color="auto"/>
              <w:right w:val="nil"/>
            </w:tcBorders>
          </w:tcPr>
          <w:p w14:paraId="4744A929" w14:textId="77777777" w:rsidR="0048282A" w:rsidRPr="00442034" w:rsidRDefault="0048282A" w:rsidP="00BE5E6D">
            <w:pPr>
              <w:jc w:val="center"/>
              <w:rPr>
                <w:rFonts w:ascii="Times New Roman" w:hAnsi="Times New Roman" w:cs="Times New Roman"/>
                <w:b/>
                <w:bCs/>
                <w:sz w:val="20"/>
                <w:szCs w:val="20"/>
              </w:rPr>
            </w:pPr>
            <w:r w:rsidRPr="00442034">
              <w:rPr>
                <w:rFonts w:ascii="Times New Roman" w:hAnsi="Times New Roman" w:cs="Times New Roman"/>
                <w:b/>
                <w:bCs/>
                <w:sz w:val="20"/>
                <w:szCs w:val="20"/>
              </w:rPr>
              <w:t>LGBQ Youth</w:t>
            </w:r>
          </w:p>
          <w:p w14:paraId="301A56C6"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i/>
                <w:iCs/>
                <w:sz w:val="20"/>
                <w:szCs w:val="20"/>
              </w:rPr>
              <w:t xml:space="preserve">n </w:t>
            </w:r>
            <w:r w:rsidRPr="00442034">
              <w:rPr>
                <w:rFonts w:ascii="Times New Roman" w:hAnsi="Times New Roman" w:cs="Times New Roman"/>
                <w:sz w:val="20"/>
                <w:szCs w:val="20"/>
              </w:rPr>
              <w:t>= 65 (14.41%)</w:t>
            </w:r>
          </w:p>
          <w:p w14:paraId="7D7FC25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i/>
                <w:iCs/>
                <w:sz w:val="20"/>
                <w:szCs w:val="20"/>
              </w:rPr>
              <w:t>N</w:t>
            </w:r>
            <w:r w:rsidRPr="00442034">
              <w:rPr>
                <w:rFonts w:ascii="Times New Roman" w:hAnsi="Times New Roman" w:cs="Times New Roman"/>
                <w:sz w:val="20"/>
                <w:szCs w:val="20"/>
              </w:rPr>
              <w:t xml:space="preserve"> = 65,671</w:t>
            </w:r>
          </w:p>
        </w:tc>
        <w:tc>
          <w:tcPr>
            <w:tcW w:w="913" w:type="pct"/>
            <w:tcBorders>
              <w:left w:val="nil"/>
              <w:bottom w:val="single" w:sz="4" w:space="0" w:color="auto"/>
              <w:right w:val="nil"/>
            </w:tcBorders>
          </w:tcPr>
          <w:p w14:paraId="294F90B2" w14:textId="77777777" w:rsidR="0048282A" w:rsidRPr="00442034" w:rsidRDefault="0048282A" w:rsidP="00BE5E6D">
            <w:pPr>
              <w:jc w:val="center"/>
              <w:rPr>
                <w:rFonts w:ascii="Times New Roman" w:hAnsi="Times New Roman" w:cs="Times New Roman"/>
                <w:b/>
                <w:bCs/>
                <w:sz w:val="20"/>
                <w:szCs w:val="20"/>
              </w:rPr>
            </w:pPr>
            <w:r w:rsidRPr="00442034">
              <w:rPr>
                <w:rFonts w:ascii="Times New Roman" w:hAnsi="Times New Roman" w:cs="Times New Roman"/>
                <w:b/>
                <w:bCs/>
                <w:sz w:val="20"/>
                <w:szCs w:val="20"/>
              </w:rPr>
              <w:t>Heterosexual Youth</w:t>
            </w:r>
          </w:p>
          <w:p w14:paraId="6C6ED7B3"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i/>
                <w:iCs/>
                <w:sz w:val="20"/>
                <w:szCs w:val="20"/>
              </w:rPr>
              <w:t xml:space="preserve">n </w:t>
            </w:r>
            <w:r w:rsidRPr="00442034">
              <w:rPr>
                <w:rFonts w:ascii="Times New Roman" w:hAnsi="Times New Roman" w:cs="Times New Roman"/>
                <w:sz w:val="20"/>
                <w:szCs w:val="20"/>
              </w:rPr>
              <w:t>= 433 (85.59%)</w:t>
            </w:r>
          </w:p>
          <w:p w14:paraId="7355E27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i/>
                <w:iCs/>
                <w:sz w:val="20"/>
                <w:szCs w:val="20"/>
              </w:rPr>
              <w:t>N</w:t>
            </w:r>
            <w:r w:rsidRPr="00442034">
              <w:rPr>
                <w:rFonts w:ascii="Times New Roman" w:hAnsi="Times New Roman" w:cs="Times New Roman"/>
                <w:sz w:val="20"/>
                <w:szCs w:val="20"/>
              </w:rPr>
              <w:t xml:space="preserve"> = 390,091</w:t>
            </w:r>
          </w:p>
        </w:tc>
        <w:tc>
          <w:tcPr>
            <w:tcW w:w="962" w:type="pct"/>
            <w:gridSpan w:val="2"/>
            <w:tcBorders>
              <w:left w:val="nil"/>
              <w:bottom w:val="single" w:sz="4" w:space="0" w:color="auto"/>
              <w:right w:val="nil"/>
            </w:tcBorders>
          </w:tcPr>
          <w:p w14:paraId="40DDD369" w14:textId="77777777" w:rsidR="0048282A" w:rsidRPr="00442034" w:rsidRDefault="0048282A" w:rsidP="00BE5E6D">
            <w:pPr>
              <w:jc w:val="center"/>
              <w:rPr>
                <w:rFonts w:ascii="Times New Roman" w:hAnsi="Times New Roman" w:cs="Times New Roman"/>
                <w:b/>
                <w:bCs/>
                <w:sz w:val="20"/>
                <w:szCs w:val="20"/>
              </w:rPr>
            </w:pPr>
            <w:r w:rsidRPr="00442034">
              <w:rPr>
                <w:rFonts w:ascii="Times New Roman" w:hAnsi="Times New Roman" w:cs="Times New Roman"/>
                <w:b/>
                <w:bCs/>
                <w:sz w:val="20"/>
                <w:szCs w:val="20"/>
              </w:rPr>
              <w:t>Linear Difference</w:t>
            </w:r>
          </w:p>
          <w:p w14:paraId="19043771" w14:textId="77777777" w:rsidR="0048282A" w:rsidRPr="00442034" w:rsidDel="00614530" w:rsidRDefault="0048282A" w:rsidP="00BE5E6D">
            <w:pPr>
              <w:jc w:val="center"/>
              <w:rPr>
                <w:rFonts w:ascii="Times New Roman" w:hAnsi="Times New Roman" w:cs="Times New Roman"/>
                <w:b/>
                <w:bCs/>
                <w:sz w:val="20"/>
                <w:szCs w:val="20"/>
              </w:rPr>
            </w:pPr>
            <w:r w:rsidRPr="00442034">
              <w:rPr>
                <w:rFonts w:ascii="Times New Roman" w:hAnsi="Times New Roman" w:cs="Times New Roman"/>
                <w:b/>
                <w:bCs/>
                <w:i/>
                <w:iCs/>
                <w:sz w:val="20"/>
                <w:szCs w:val="20"/>
              </w:rPr>
              <w:t>T</w:t>
            </w:r>
            <w:r w:rsidRPr="00442034">
              <w:rPr>
                <w:rFonts w:ascii="Times New Roman" w:hAnsi="Times New Roman" w:cs="Times New Roman"/>
                <w:b/>
                <w:bCs/>
                <w:sz w:val="20"/>
                <w:szCs w:val="20"/>
              </w:rPr>
              <w:t>-test</w:t>
            </w:r>
          </w:p>
        </w:tc>
      </w:tr>
      <w:tr w:rsidR="0048282A" w:rsidRPr="00442034" w14:paraId="03B0A08C" w14:textId="77777777" w:rsidTr="00BE5E6D">
        <w:trPr>
          <w:trHeight w:val="463"/>
        </w:trPr>
        <w:tc>
          <w:tcPr>
            <w:tcW w:w="1091" w:type="pct"/>
            <w:tcBorders>
              <w:left w:val="nil"/>
              <w:bottom w:val="single" w:sz="4" w:space="0" w:color="auto"/>
              <w:right w:val="nil"/>
            </w:tcBorders>
          </w:tcPr>
          <w:p w14:paraId="26D7DED3"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Variable</w:t>
            </w:r>
          </w:p>
        </w:tc>
        <w:tc>
          <w:tcPr>
            <w:tcW w:w="527" w:type="pct"/>
            <w:tcBorders>
              <w:left w:val="nil"/>
              <w:bottom w:val="single" w:sz="4" w:space="0" w:color="auto"/>
              <w:right w:val="nil"/>
            </w:tcBorders>
          </w:tcPr>
          <w:p w14:paraId="428C1D84" w14:textId="77777777" w:rsidR="0048282A" w:rsidRPr="00442034" w:rsidRDefault="0048282A" w:rsidP="00BE5E6D">
            <w:pPr>
              <w:jc w:val="center"/>
              <w:rPr>
                <w:rFonts w:ascii="Times New Roman" w:hAnsi="Times New Roman" w:cs="Times New Roman"/>
                <w:i/>
                <w:iCs/>
                <w:sz w:val="20"/>
                <w:szCs w:val="20"/>
              </w:rPr>
            </w:pPr>
            <w:r w:rsidRPr="00442034">
              <w:rPr>
                <w:rFonts w:ascii="Times New Roman" w:hAnsi="Times New Roman" w:cs="Times New Roman"/>
                <w:i/>
                <w:iCs/>
                <w:sz w:val="20"/>
                <w:szCs w:val="20"/>
              </w:rPr>
              <w:t>Range</w:t>
            </w:r>
          </w:p>
        </w:tc>
        <w:tc>
          <w:tcPr>
            <w:tcW w:w="765" w:type="pct"/>
            <w:tcBorders>
              <w:left w:val="nil"/>
              <w:bottom w:val="single" w:sz="4" w:space="0" w:color="auto"/>
              <w:right w:val="nil"/>
            </w:tcBorders>
          </w:tcPr>
          <w:p w14:paraId="14553B21" w14:textId="77777777" w:rsidR="0048282A" w:rsidRPr="00442034" w:rsidRDefault="0048282A" w:rsidP="00BE5E6D">
            <w:pPr>
              <w:jc w:val="center"/>
              <w:rPr>
                <w:rFonts w:ascii="Times New Roman" w:hAnsi="Times New Roman" w:cs="Times New Roman"/>
                <w:i/>
                <w:iCs/>
                <w:sz w:val="20"/>
                <w:szCs w:val="20"/>
              </w:rPr>
            </w:pPr>
            <w:r w:rsidRPr="00442034">
              <w:rPr>
                <w:rFonts w:ascii="Times New Roman" w:hAnsi="Times New Roman" w:cs="Times New Roman"/>
                <w:i/>
                <w:iCs/>
                <w:sz w:val="20"/>
                <w:szCs w:val="20"/>
              </w:rPr>
              <w:t xml:space="preserve">      M (SE)</w:t>
            </w:r>
          </w:p>
        </w:tc>
        <w:tc>
          <w:tcPr>
            <w:tcW w:w="742" w:type="pct"/>
            <w:tcBorders>
              <w:left w:val="nil"/>
              <w:bottom w:val="single" w:sz="4" w:space="0" w:color="auto"/>
              <w:right w:val="nil"/>
            </w:tcBorders>
          </w:tcPr>
          <w:p w14:paraId="24CA233A" w14:textId="77777777" w:rsidR="0048282A" w:rsidRPr="00442034" w:rsidRDefault="0048282A" w:rsidP="00BE5E6D">
            <w:pPr>
              <w:jc w:val="center"/>
              <w:rPr>
                <w:rFonts w:ascii="Times New Roman" w:hAnsi="Times New Roman" w:cs="Times New Roman"/>
                <w:i/>
                <w:iCs/>
                <w:sz w:val="20"/>
                <w:szCs w:val="20"/>
              </w:rPr>
            </w:pPr>
            <w:r w:rsidRPr="00442034">
              <w:rPr>
                <w:rFonts w:ascii="Times New Roman" w:hAnsi="Times New Roman" w:cs="Times New Roman"/>
                <w:i/>
                <w:iCs/>
                <w:sz w:val="20"/>
                <w:szCs w:val="20"/>
              </w:rPr>
              <w:t xml:space="preserve">        M (SE)</w:t>
            </w:r>
          </w:p>
        </w:tc>
        <w:tc>
          <w:tcPr>
            <w:tcW w:w="913" w:type="pct"/>
            <w:tcBorders>
              <w:left w:val="nil"/>
              <w:bottom w:val="single" w:sz="4" w:space="0" w:color="auto"/>
              <w:right w:val="nil"/>
            </w:tcBorders>
          </w:tcPr>
          <w:p w14:paraId="79B6316C" w14:textId="77777777" w:rsidR="0048282A" w:rsidRPr="00442034" w:rsidRDefault="0048282A" w:rsidP="00BE5E6D">
            <w:pPr>
              <w:jc w:val="center"/>
              <w:rPr>
                <w:rFonts w:ascii="Times New Roman" w:hAnsi="Times New Roman" w:cs="Times New Roman"/>
                <w:i/>
                <w:iCs/>
                <w:sz w:val="20"/>
                <w:szCs w:val="20"/>
              </w:rPr>
            </w:pPr>
            <w:r w:rsidRPr="00442034">
              <w:rPr>
                <w:rFonts w:ascii="Times New Roman" w:hAnsi="Times New Roman" w:cs="Times New Roman"/>
                <w:i/>
                <w:iCs/>
                <w:sz w:val="20"/>
                <w:szCs w:val="20"/>
              </w:rPr>
              <w:t>M (SE)</w:t>
            </w:r>
          </w:p>
        </w:tc>
        <w:tc>
          <w:tcPr>
            <w:tcW w:w="440" w:type="pct"/>
            <w:tcBorders>
              <w:left w:val="nil"/>
              <w:bottom w:val="single" w:sz="4" w:space="0" w:color="auto"/>
              <w:right w:val="nil"/>
            </w:tcBorders>
          </w:tcPr>
          <w:p w14:paraId="5D92F5C4" w14:textId="77777777" w:rsidR="0048282A" w:rsidRPr="00442034" w:rsidRDefault="0048282A" w:rsidP="00BE5E6D">
            <w:pPr>
              <w:jc w:val="center"/>
              <w:rPr>
                <w:rFonts w:ascii="Times New Roman" w:hAnsi="Times New Roman" w:cs="Times New Roman"/>
                <w:i/>
                <w:iCs/>
                <w:sz w:val="20"/>
                <w:szCs w:val="20"/>
                <w:vertAlign w:val="superscript"/>
              </w:rPr>
            </w:pPr>
            <w:r w:rsidRPr="00442034">
              <w:rPr>
                <w:rFonts w:ascii="Times New Roman" w:hAnsi="Times New Roman" w:cs="Times New Roman"/>
                <w:i/>
                <w:iCs/>
                <w:sz w:val="20"/>
                <w:szCs w:val="20"/>
              </w:rPr>
              <w:t xml:space="preserve">LGBQ Youth </w:t>
            </w:r>
            <w:proofErr w:type="spellStart"/>
            <w:r w:rsidRPr="00442034">
              <w:rPr>
                <w:rFonts w:ascii="Times New Roman" w:hAnsi="Times New Roman" w:cs="Times New Roman"/>
                <w:i/>
                <w:iCs/>
                <w:sz w:val="20"/>
                <w:szCs w:val="20"/>
              </w:rPr>
              <w:t>Diff.</w:t>
            </w:r>
            <w:r w:rsidRPr="00442034">
              <w:rPr>
                <w:rFonts w:ascii="Times New Roman" w:hAnsi="Times New Roman" w:cs="Times New Roman"/>
                <w:i/>
                <w:iCs/>
                <w:sz w:val="20"/>
                <w:szCs w:val="20"/>
                <w:vertAlign w:val="superscript"/>
              </w:rPr>
              <w:t>a</w:t>
            </w:r>
            <w:proofErr w:type="spellEnd"/>
          </w:p>
        </w:tc>
        <w:tc>
          <w:tcPr>
            <w:tcW w:w="522" w:type="pct"/>
            <w:tcBorders>
              <w:left w:val="nil"/>
              <w:bottom w:val="single" w:sz="4" w:space="0" w:color="auto"/>
              <w:right w:val="nil"/>
            </w:tcBorders>
          </w:tcPr>
          <w:p w14:paraId="69EB51DE" w14:textId="77777777" w:rsidR="0048282A" w:rsidRPr="00442034" w:rsidRDefault="0048282A" w:rsidP="00BE5E6D">
            <w:pPr>
              <w:jc w:val="center"/>
              <w:rPr>
                <w:rFonts w:ascii="Times New Roman" w:hAnsi="Times New Roman" w:cs="Times New Roman"/>
                <w:i/>
                <w:iCs/>
                <w:sz w:val="20"/>
                <w:szCs w:val="20"/>
                <w:vertAlign w:val="superscript"/>
              </w:rPr>
            </w:pPr>
            <w:r w:rsidRPr="00442034">
              <w:rPr>
                <w:rFonts w:ascii="Times New Roman" w:hAnsi="Times New Roman" w:cs="Times New Roman"/>
                <w:i/>
                <w:iCs/>
                <w:sz w:val="20"/>
                <w:szCs w:val="20"/>
              </w:rPr>
              <w:t>p-value</w:t>
            </w:r>
          </w:p>
        </w:tc>
      </w:tr>
      <w:tr w:rsidR="0048282A" w:rsidRPr="00442034" w14:paraId="1531333B" w14:textId="77777777" w:rsidTr="00BE5E6D">
        <w:trPr>
          <w:trHeight w:val="515"/>
        </w:trPr>
        <w:tc>
          <w:tcPr>
            <w:tcW w:w="1091" w:type="pct"/>
            <w:tcBorders>
              <w:left w:val="nil"/>
              <w:bottom w:val="nil"/>
              <w:right w:val="nil"/>
            </w:tcBorders>
          </w:tcPr>
          <w:p w14:paraId="2A0BC7BE" w14:textId="77777777" w:rsidR="0048282A" w:rsidRPr="00442034" w:rsidRDefault="0048282A" w:rsidP="00BE5E6D">
            <w:pPr>
              <w:ind w:left="-30"/>
              <w:rPr>
                <w:rFonts w:ascii="Times New Roman" w:hAnsi="Times New Roman" w:cs="Times New Roman"/>
                <w:i/>
                <w:iCs/>
                <w:sz w:val="20"/>
                <w:szCs w:val="20"/>
                <w:u w:val="single"/>
              </w:rPr>
            </w:pPr>
            <w:r w:rsidRPr="00442034">
              <w:rPr>
                <w:rFonts w:ascii="Times New Roman" w:hAnsi="Times New Roman" w:cs="Times New Roman"/>
                <w:i/>
                <w:iCs/>
                <w:sz w:val="20"/>
                <w:szCs w:val="20"/>
                <w:u w:val="single"/>
              </w:rPr>
              <w:t>Outcome Variables (Wave Three)</w:t>
            </w:r>
          </w:p>
        </w:tc>
        <w:tc>
          <w:tcPr>
            <w:tcW w:w="527" w:type="pct"/>
            <w:tcBorders>
              <w:left w:val="nil"/>
              <w:bottom w:val="nil"/>
              <w:right w:val="nil"/>
            </w:tcBorders>
          </w:tcPr>
          <w:p w14:paraId="20FA964C" w14:textId="77777777" w:rsidR="0048282A" w:rsidRPr="00442034" w:rsidRDefault="0048282A" w:rsidP="00BE5E6D">
            <w:pPr>
              <w:jc w:val="center"/>
              <w:rPr>
                <w:rFonts w:ascii="Times New Roman" w:hAnsi="Times New Roman" w:cs="Times New Roman"/>
                <w:sz w:val="20"/>
                <w:szCs w:val="20"/>
              </w:rPr>
            </w:pPr>
          </w:p>
        </w:tc>
        <w:tc>
          <w:tcPr>
            <w:tcW w:w="765" w:type="pct"/>
            <w:tcBorders>
              <w:left w:val="nil"/>
              <w:bottom w:val="nil"/>
              <w:right w:val="nil"/>
            </w:tcBorders>
          </w:tcPr>
          <w:p w14:paraId="4864A605" w14:textId="77777777" w:rsidR="0048282A" w:rsidRPr="00442034" w:rsidRDefault="0048282A" w:rsidP="00BE5E6D">
            <w:pPr>
              <w:tabs>
                <w:tab w:val="decimal" w:pos="350"/>
              </w:tabs>
              <w:jc w:val="center"/>
              <w:rPr>
                <w:rFonts w:ascii="Times New Roman" w:hAnsi="Times New Roman" w:cs="Times New Roman"/>
                <w:sz w:val="20"/>
                <w:szCs w:val="20"/>
              </w:rPr>
            </w:pPr>
          </w:p>
        </w:tc>
        <w:tc>
          <w:tcPr>
            <w:tcW w:w="742" w:type="pct"/>
            <w:tcBorders>
              <w:left w:val="nil"/>
              <w:bottom w:val="nil"/>
              <w:right w:val="nil"/>
            </w:tcBorders>
          </w:tcPr>
          <w:p w14:paraId="5841E16F" w14:textId="77777777" w:rsidR="0048282A" w:rsidRPr="00442034" w:rsidRDefault="0048282A" w:rsidP="00BE5E6D">
            <w:pPr>
              <w:tabs>
                <w:tab w:val="decimal" w:pos="530"/>
              </w:tabs>
              <w:jc w:val="center"/>
              <w:rPr>
                <w:rFonts w:ascii="Times New Roman" w:hAnsi="Times New Roman" w:cs="Times New Roman"/>
                <w:sz w:val="20"/>
                <w:szCs w:val="20"/>
              </w:rPr>
            </w:pPr>
          </w:p>
        </w:tc>
        <w:tc>
          <w:tcPr>
            <w:tcW w:w="913" w:type="pct"/>
            <w:tcBorders>
              <w:left w:val="nil"/>
              <w:bottom w:val="nil"/>
              <w:right w:val="nil"/>
            </w:tcBorders>
          </w:tcPr>
          <w:p w14:paraId="7272546F" w14:textId="77777777" w:rsidR="0048282A" w:rsidRPr="00442034" w:rsidRDefault="0048282A" w:rsidP="00BE5E6D">
            <w:pPr>
              <w:tabs>
                <w:tab w:val="decimal" w:pos="530"/>
              </w:tabs>
              <w:jc w:val="center"/>
              <w:rPr>
                <w:rFonts w:ascii="Times New Roman" w:hAnsi="Times New Roman" w:cs="Times New Roman"/>
                <w:sz w:val="20"/>
                <w:szCs w:val="20"/>
              </w:rPr>
            </w:pPr>
          </w:p>
        </w:tc>
        <w:tc>
          <w:tcPr>
            <w:tcW w:w="440" w:type="pct"/>
            <w:tcBorders>
              <w:left w:val="nil"/>
              <w:bottom w:val="nil"/>
              <w:right w:val="nil"/>
            </w:tcBorders>
          </w:tcPr>
          <w:p w14:paraId="271E22DB" w14:textId="77777777" w:rsidR="0048282A" w:rsidRPr="00442034" w:rsidRDefault="0048282A" w:rsidP="00BE5E6D">
            <w:pPr>
              <w:tabs>
                <w:tab w:val="decimal" w:pos="530"/>
              </w:tabs>
              <w:jc w:val="center"/>
              <w:rPr>
                <w:rFonts w:ascii="Times New Roman" w:hAnsi="Times New Roman" w:cs="Times New Roman"/>
                <w:sz w:val="20"/>
                <w:szCs w:val="20"/>
              </w:rPr>
            </w:pPr>
          </w:p>
        </w:tc>
        <w:tc>
          <w:tcPr>
            <w:tcW w:w="522" w:type="pct"/>
            <w:tcBorders>
              <w:left w:val="nil"/>
              <w:bottom w:val="nil"/>
              <w:right w:val="nil"/>
            </w:tcBorders>
          </w:tcPr>
          <w:p w14:paraId="4A2C010D" w14:textId="77777777" w:rsidR="0048282A" w:rsidRPr="00442034" w:rsidRDefault="0048282A" w:rsidP="00BE5E6D">
            <w:pPr>
              <w:tabs>
                <w:tab w:val="decimal" w:pos="530"/>
              </w:tabs>
              <w:jc w:val="center"/>
              <w:rPr>
                <w:rFonts w:ascii="Times New Roman" w:hAnsi="Times New Roman" w:cs="Times New Roman"/>
                <w:sz w:val="20"/>
                <w:szCs w:val="20"/>
              </w:rPr>
            </w:pPr>
          </w:p>
        </w:tc>
      </w:tr>
      <w:tr w:rsidR="0048282A" w:rsidRPr="00442034" w14:paraId="66E733E8" w14:textId="77777777" w:rsidTr="00BE5E6D">
        <w:trPr>
          <w:trHeight w:val="273"/>
        </w:trPr>
        <w:tc>
          <w:tcPr>
            <w:tcW w:w="1091" w:type="pct"/>
            <w:tcBorders>
              <w:top w:val="nil"/>
              <w:left w:val="nil"/>
              <w:bottom w:val="nil"/>
              <w:right w:val="nil"/>
            </w:tcBorders>
          </w:tcPr>
          <w:p w14:paraId="1B871A4E" w14:textId="77777777" w:rsidR="0048282A" w:rsidRPr="00442034" w:rsidRDefault="0048282A" w:rsidP="00BE5E6D">
            <w:pPr>
              <w:ind w:firstLine="80"/>
              <w:rPr>
                <w:rFonts w:ascii="Times New Roman" w:hAnsi="Times New Roman" w:cs="Times New Roman"/>
                <w:i/>
                <w:iCs/>
                <w:sz w:val="20"/>
                <w:szCs w:val="20"/>
              </w:rPr>
            </w:pPr>
            <w:r w:rsidRPr="00442034">
              <w:rPr>
                <w:rFonts w:ascii="Times New Roman" w:hAnsi="Times New Roman" w:cs="Times New Roman"/>
                <w:sz w:val="20"/>
                <w:szCs w:val="20"/>
              </w:rPr>
              <w:t>Having a Family</w:t>
            </w:r>
          </w:p>
        </w:tc>
        <w:tc>
          <w:tcPr>
            <w:tcW w:w="527" w:type="pct"/>
            <w:tcBorders>
              <w:top w:val="nil"/>
              <w:left w:val="nil"/>
              <w:bottom w:val="nil"/>
              <w:right w:val="nil"/>
            </w:tcBorders>
          </w:tcPr>
          <w:p w14:paraId="2908DAD5"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1-6</w:t>
            </w:r>
          </w:p>
        </w:tc>
        <w:tc>
          <w:tcPr>
            <w:tcW w:w="765" w:type="pct"/>
            <w:tcBorders>
              <w:top w:val="nil"/>
              <w:left w:val="nil"/>
              <w:bottom w:val="nil"/>
              <w:right w:val="nil"/>
            </w:tcBorders>
          </w:tcPr>
          <w:p w14:paraId="53BFF592"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3.85 (.07)</w:t>
            </w:r>
          </w:p>
        </w:tc>
        <w:tc>
          <w:tcPr>
            <w:tcW w:w="742" w:type="pct"/>
            <w:tcBorders>
              <w:top w:val="nil"/>
              <w:left w:val="nil"/>
              <w:bottom w:val="nil"/>
              <w:right w:val="nil"/>
            </w:tcBorders>
          </w:tcPr>
          <w:p w14:paraId="063CB3DD"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3.32 (.29)</w:t>
            </w:r>
          </w:p>
        </w:tc>
        <w:tc>
          <w:tcPr>
            <w:tcW w:w="913" w:type="pct"/>
            <w:tcBorders>
              <w:top w:val="nil"/>
              <w:left w:val="nil"/>
              <w:bottom w:val="nil"/>
              <w:right w:val="nil"/>
            </w:tcBorders>
          </w:tcPr>
          <w:p w14:paraId="61CCE63F"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3.94 (.08)</w:t>
            </w:r>
          </w:p>
        </w:tc>
        <w:tc>
          <w:tcPr>
            <w:tcW w:w="440" w:type="pct"/>
            <w:tcBorders>
              <w:top w:val="nil"/>
              <w:left w:val="nil"/>
              <w:bottom w:val="nil"/>
              <w:right w:val="nil"/>
            </w:tcBorders>
          </w:tcPr>
          <w:p w14:paraId="0CA9EB3D"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1.93</w:t>
            </w:r>
          </w:p>
        </w:tc>
        <w:tc>
          <w:tcPr>
            <w:tcW w:w="522" w:type="pct"/>
            <w:tcBorders>
              <w:top w:val="nil"/>
              <w:left w:val="nil"/>
              <w:bottom w:val="nil"/>
              <w:right w:val="nil"/>
            </w:tcBorders>
          </w:tcPr>
          <w:p w14:paraId="6DB2294C"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.06</w:t>
            </w:r>
          </w:p>
        </w:tc>
      </w:tr>
      <w:tr w:rsidR="0048282A" w:rsidRPr="00442034" w14:paraId="2C470789" w14:textId="77777777" w:rsidTr="00BE5E6D">
        <w:trPr>
          <w:trHeight w:val="255"/>
        </w:trPr>
        <w:tc>
          <w:tcPr>
            <w:tcW w:w="1091" w:type="pct"/>
            <w:tcBorders>
              <w:top w:val="nil"/>
              <w:left w:val="nil"/>
              <w:bottom w:val="nil"/>
              <w:right w:val="nil"/>
            </w:tcBorders>
          </w:tcPr>
          <w:p w14:paraId="4EBF2951" w14:textId="77777777" w:rsidR="0048282A" w:rsidRPr="00442034" w:rsidRDefault="0048282A" w:rsidP="00BE5E6D">
            <w:pPr>
              <w:ind w:left="-10" w:firstLine="90"/>
              <w:rPr>
                <w:rFonts w:ascii="Times New Roman" w:hAnsi="Times New Roman" w:cs="Times New Roman"/>
                <w:sz w:val="20"/>
                <w:szCs w:val="20"/>
              </w:rPr>
            </w:pPr>
            <w:r w:rsidRPr="00442034">
              <w:rPr>
                <w:rFonts w:ascii="Times New Roman" w:hAnsi="Times New Roman" w:cs="Times New Roman"/>
                <w:sz w:val="20"/>
                <w:szCs w:val="20"/>
              </w:rPr>
              <w:t>Live to 35</w:t>
            </w:r>
          </w:p>
        </w:tc>
        <w:tc>
          <w:tcPr>
            <w:tcW w:w="527" w:type="pct"/>
            <w:tcBorders>
              <w:top w:val="nil"/>
              <w:left w:val="nil"/>
              <w:bottom w:val="nil"/>
              <w:right w:val="nil"/>
            </w:tcBorders>
          </w:tcPr>
          <w:p w14:paraId="16A0E0B2"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1-5</w:t>
            </w:r>
          </w:p>
        </w:tc>
        <w:tc>
          <w:tcPr>
            <w:tcW w:w="765" w:type="pct"/>
            <w:tcBorders>
              <w:top w:val="nil"/>
              <w:left w:val="nil"/>
              <w:bottom w:val="nil"/>
              <w:right w:val="nil"/>
            </w:tcBorders>
          </w:tcPr>
          <w:p w14:paraId="34D8BF18"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4.39 (.04)</w:t>
            </w:r>
          </w:p>
        </w:tc>
        <w:tc>
          <w:tcPr>
            <w:tcW w:w="742" w:type="pct"/>
            <w:tcBorders>
              <w:top w:val="nil"/>
              <w:left w:val="nil"/>
              <w:bottom w:val="nil"/>
              <w:right w:val="nil"/>
            </w:tcBorders>
          </w:tcPr>
          <w:p w14:paraId="7A27B88F"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4.19 (.20)</w:t>
            </w:r>
          </w:p>
        </w:tc>
        <w:tc>
          <w:tcPr>
            <w:tcW w:w="913" w:type="pct"/>
            <w:tcBorders>
              <w:top w:val="nil"/>
              <w:left w:val="nil"/>
              <w:bottom w:val="nil"/>
              <w:right w:val="nil"/>
            </w:tcBorders>
          </w:tcPr>
          <w:p w14:paraId="60E032AB"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4.43 (.04)</w:t>
            </w:r>
          </w:p>
        </w:tc>
        <w:tc>
          <w:tcPr>
            <w:tcW w:w="440" w:type="pct"/>
            <w:tcBorders>
              <w:top w:val="nil"/>
              <w:left w:val="nil"/>
              <w:bottom w:val="nil"/>
              <w:right w:val="nil"/>
            </w:tcBorders>
          </w:tcPr>
          <w:p w14:paraId="1404B98B"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1.10</w:t>
            </w:r>
          </w:p>
        </w:tc>
        <w:tc>
          <w:tcPr>
            <w:tcW w:w="522" w:type="pct"/>
            <w:tcBorders>
              <w:top w:val="nil"/>
              <w:left w:val="nil"/>
              <w:bottom w:val="nil"/>
              <w:right w:val="nil"/>
            </w:tcBorders>
          </w:tcPr>
          <w:p w14:paraId="144EC0CC"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.28</w:t>
            </w:r>
          </w:p>
        </w:tc>
      </w:tr>
      <w:tr w:rsidR="0048282A" w:rsidRPr="00442034" w14:paraId="48012E81" w14:textId="77777777" w:rsidTr="00BE5E6D">
        <w:trPr>
          <w:trHeight w:val="318"/>
        </w:trPr>
        <w:tc>
          <w:tcPr>
            <w:tcW w:w="1091" w:type="pct"/>
            <w:tcBorders>
              <w:top w:val="nil"/>
              <w:left w:val="nil"/>
              <w:bottom w:val="nil"/>
              <w:right w:val="nil"/>
            </w:tcBorders>
          </w:tcPr>
          <w:p w14:paraId="3BF8D9CD" w14:textId="77777777" w:rsidR="0048282A" w:rsidRPr="00442034" w:rsidRDefault="0048282A" w:rsidP="00BE5E6D">
            <w:pPr>
              <w:ind w:left="-10" w:firstLine="90"/>
              <w:rPr>
                <w:rFonts w:ascii="Times New Roman" w:hAnsi="Times New Roman" w:cs="Times New Roman"/>
                <w:sz w:val="20"/>
                <w:szCs w:val="20"/>
              </w:rPr>
            </w:pPr>
            <w:r w:rsidRPr="00442034">
              <w:rPr>
                <w:rFonts w:ascii="Times New Roman" w:hAnsi="Times New Roman" w:cs="Times New Roman"/>
                <w:sz w:val="20"/>
                <w:szCs w:val="20"/>
              </w:rPr>
              <w:t>Married by 25</w:t>
            </w:r>
          </w:p>
        </w:tc>
        <w:tc>
          <w:tcPr>
            <w:tcW w:w="527" w:type="pct"/>
            <w:tcBorders>
              <w:top w:val="nil"/>
              <w:left w:val="nil"/>
              <w:bottom w:val="nil"/>
              <w:right w:val="nil"/>
            </w:tcBorders>
          </w:tcPr>
          <w:p w14:paraId="54C86ECE"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1-6</w:t>
            </w:r>
          </w:p>
        </w:tc>
        <w:tc>
          <w:tcPr>
            <w:tcW w:w="765" w:type="pct"/>
            <w:tcBorders>
              <w:top w:val="nil"/>
              <w:left w:val="nil"/>
              <w:bottom w:val="nil"/>
              <w:right w:val="nil"/>
            </w:tcBorders>
          </w:tcPr>
          <w:p w14:paraId="284FACCE"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2.92 (.08)</w:t>
            </w:r>
          </w:p>
        </w:tc>
        <w:tc>
          <w:tcPr>
            <w:tcW w:w="742" w:type="pct"/>
            <w:tcBorders>
              <w:top w:val="nil"/>
              <w:left w:val="nil"/>
              <w:bottom w:val="nil"/>
              <w:right w:val="nil"/>
            </w:tcBorders>
          </w:tcPr>
          <w:p w14:paraId="13A517C1"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2.50 (.20)</w:t>
            </w:r>
          </w:p>
        </w:tc>
        <w:tc>
          <w:tcPr>
            <w:tcW w:w="913" w:type="pct"/>
            <w:tcBorders>
              <w:top w:val="nil"/>
              <w:left w:val="nil"/>
              <w:bottom w:val="nil"/>
              <w:right w:val="nil"/>
            </w:tcBorders>
          </w:tcPr>
          <w:p w14:paraId="3F8D1471"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2.99 (.09)</w:t>
            </w:r>
          </w:p>
        </w:tc>
        <w:tc>
          <w:tcPr>
            <w:tcW w:w="440" w:type="pct"/>
            <w:tcBorders>
              <w:top w:val="nil"/>
              <w:left w:val="nil"/>
              <w:bottom w:val="nil"/>
              <w:right w:val="nil"/>
            </w:tcBorders>
          </w:tcPr>
          <w:p w14:paraId="2255F7E9"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2.06</w:t>
            </w:r>
          </w:p>
        </w:tc>
        <w:tc>
          <w:tcPr>
            <w:tcW w:w="522" w:type="pct"/>
            <w:tcBorders>
              <w:top w:val="nil"/>
              <w:left w:val="nil"/>
              <w:bottom w:val="nil"/>
              <w:right w:val="nil"/>
            </w:tcBorders>
          </w:tcPr>
          <w:p w14:paraId="57147CB6"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&lt; .05</w:t>
            </w:r>
          </w:p>
        </w:tc>
      </w:tr>
      <w:tr w:rsidR="0048282A" w:rsidRPr="00442034" w14:paraId="3268C0E9" w14:textId="77777777" w:rsidTr="00BE5E6D">
        <w:trPr>
          <w:trHeight w:val="240"/>
        </w:trPr>
        <w:tc>
          <w:tcPr>
            <w:tcW w:w="1091" w:type="pct"/>
            <w:tcBorders>
              <w:top w:val="nil"/>
              <w:left w:val="nil"/>
              <w:bottom w:val="nil"/>
              <w:right w:val="nil"/>
            </w:tcBorders>
          </w:tcPr>
          <w:p w14:paraId="7061E347" w14:textId="77777777" w:rsidR="0048282A" w:rsidRPr="00442034" w:rsidRDefault="0048282A" w:rsidP="00BE5E6D">
            <w:pPr>
              <w:ind w:left="-30"/>
              <w:rPr>
                <w:rFonts w:ascii="Times New Roman" w:hAnsi="Times New Roman" w:cs="Times New Roman"/>
                <w:i/>
                <w:iCs/>
                <w:sz w:val="20"/>
                <w:szCs w:val="20"/>
                <w:u w:val="single"/>
              </w:rPr>
            </w:pPr>
            <w:r w:rsidRPr="00442034">
              <w:rPr>
                <w:rFonts w:ascii="Times New Roman" w:hAnsi="Times New Roman" w:cs="Times New Roman"/>
                <w:i/>
                <w:iCs/>
                <w:sz w:val="20"/>
                <w:szCs w:val="20"/>
                <w:u w:val="single"/>
              </w:rPr>
              <w:t>Predictor Variables</w:t>
            </w:r>
          </w:p>
        </w:tc>
        <w:tc>
          <w:tcPr>
            <w:tcW w:w="527" w:type="pct"/>
            <w:tcBorders>
              <w:top w:val="nil"/>
              <w:left w:val="nil"/>
              <w:bottom w:val="nil"/>
              <w:right w:val="nil"/>
            </w:tcBorders>
          </w:tcPr>
          <w:p w14:paraId="76590184" w14:textId="77777777" w:rsidR="0048282A" w:rsidRPr="00442034" w:rsidRDefault="0048282A" w:rsidP="00BE5E6D">
            <w:pPr>
              <w:jc w:val="center"/>
              <w:rPr>
                <w:rFonts w:ascii="Times New Roman" w:hAnsi="Times New Roman" w:cs="Times New Roman"/>
                <w:sz w:val="20"/>
                <w:szCs w:val="20"/>
              </w:rPr>
            </w:pPr>
          </w:p>
        </w:tc>
        <w:tc>
          <w:tcPr>
            <w:tcW w:w="765" w:type="pct"/>
            <w:tcBorders>
              <w:top w:val="nil"/>
              <w:left w:val="nil"/>
              <w:bottom w:val="nil"/>
              <w:right w:val="nil"/>
            </w:tcBorders>
          </w:tcPr>
          <w:p w14:paraId="4F9C265B" w14:textId="77777777" w:rsidR="0048282A" w:rsidRPr="00442034" w:rsidRDefault="0048282A" w:rsidP="00BE5E6D">
            <w:pPr>
              <w:tabs>
                <w:tab w:val="decimal" w:pos="350"/>
              </w:tabs>
              <w:jc w:val="center"/>
              <w:rPr>
                <w:rFonts w:ascii="Times New Roman" w:hAnsi="Times New Roman" w:cs="Times New Roman"/>
                <w:sz w:val="20"/>
                <w:szCs w:val="20"/>
              </w:rPr>
            </w:pPr>
          </w:p>
        </w:tc>
        <w:tc>
          <w:tcPr>
            <w:tcW w:w="742" w:type="pct"/>
            <w:tcBorders>
              <w:top w:val="nil"/>
              <w:left w:val="nil"/>
              <w:bottom w:val="nil"/>
              <w:right w:val="nil"/>
            </w:tcBorders>
          </w:tcPr>
          <w:p w14:paraId="34783F36" w14:textId="77777777" w:rsidR="0048282A" w:rsidRPr="00442034" w:rsidRDefault="0048282A" w:rsidP="00BE5E6D">
            <w:pPr>
              <w:tabs>
                <w:tab w:val="decimal" w:pos="435"/>
              </w:tabs>
              <w:jc w:val="center"/>
              <w:rPr>
                <w:rFonts w:ascii="Times New Roman" w:hAnsi="Times New Roman" w:cs="Times New Roman"/>
                <w:sz w:val="20"/>
                <w:szCs w:val="20"/>
              </w:rPr>
            </w:pPr>
          </w:p>
        </w:tc>
        <w:tc>
          <w:tcPr>
            <w:tcW w:w="913" w:type="pct"/>
            <w:tcBorders>
              <w:top w:val="nil"/>
              <w:left w:val="nil"/>
              <w:bottom w:val="nil"/>
              <w:right w:val="nil"/>
            </w:tcBorders>
          </w:tcPr>
          <w:p w14:paraId="041DBF68" w14:textId="77777777" w:rsidR="0048282A" w:rsidRPr="00442034" w:rsidRDefault="0048282A" w:rsidP="00BE5E6D">
            <w:pPr>
              <w:tabs>
                <w:tab w:val="decimal" w:pos="340"/>
              </w:tabs>
              <w:jc w:val="center"/>
              <w:rPr>
                <w:rFonts w:ascii="Times New Roman" w:hAnsi="Times New Roman" w:cs="Times New Roman"/>
                <w:sz w:val="20"/>
                <w:szCs w:val="20"/>
              </w:rPr>
            </w:pPr>
          </w:p>
        </w:tc>
        <w:tc>
          <w:tcPr>
            <w:tcW w:w="440" w:type="pct"/>
            <w:tcBorders>
              <w:top w:val="nil"/>
              <w:left w:val="nil"/>
              <w:bottom w:val="nil"/>
              <w:right w:val="nil"/>
            </w:tcBorders>
          </w:tcPr>
          <w:p w14:paraId="0444A285" w14:textId="77777777" w:rsidR="0048282A" w:rsidRPr="00442034" w:rsidRDefault="0048282A" w:rsidP="00BE5E6D">
            <w:pPr>
              <w:tabs>
                <w:tab w:val="decimal" w:pos="340"/>
              </w:tabs>
              <w:jc w:val="center"/>
              <w:rPr>
                <w:rFonts w:ascii="Times New Roman" w:hAnsi="Times New Roman" w:cs="Times New Roman"/>
                <w:sz w:val="20"/>
                <w:szCs w:val="20"/>
              </w:rPr>
            </w:pPr>
          </w:p>
        </w:tc>
        <w:tc>
          <w:tcPr>
            <w:tcW w:w="522" w:type="pct"/>
            <w:tcBorders>
              <w:top w:val="nil"/>
              <w:left w:val="nil"/>
              <w:bottom w:val="nil"/>
              <w:right w:val="nil"/>
            </w:tcBorders>
          </w:tcPr>
          <w:p w14:paraId="581B8276" w14:textId="77777777" w:rsidR="0048282A" w:rsidRPr="00442034" w:rsidRDefault="0048282A" w:rsidP="00BE5E6D">
            <w:pPr>
              <w:tabs>
                <w:tab w:val="decimal" w:pos="340"/>
              </w:tabs>
              <w:jc w:val="center"/>
              <w:rPr>
                <w:rFonts w:ascii="Times New Roman" w:hAnsi="Times New Roman" w:cs="Times New Roman"/>
                <w:sz w:val="20"/>
                <w:szCs w:val="20"/>
              </w:rPr>
            </w:pPr>
          </w:p>
        </w:tc>
      </w:tr>
      <w:tr w:rsidR="0048282A" w:rsidRPr="00442034" w14:paraId="101A11E9" w14:textId="77777777" w:rsidTr="00BE5E6D">
        <w:trPr>
          <w:trHeight w:val="255"/>
        </w:trPr>
        <w:tc>
          <w:tcPr>
            <w:tcW w:w="1091" w:type="pct"/>
            <w:tcBorders>
              <w:top w:val="nil"/>
              <w:left w:val="nil"/>
              <w:bottom w:val="nil"/>
              <w:right w:val="nil"/>
            </w:tcBorders>
          </w:tcPr>
          <w:p w14:paraId="77BD6E87" w14:textId="77777777" w:rsidR="0048282A" w:rsidRPr="00442034" w:rsidRDefault="0048282A" w:rsidP="00BE5E6D">
            <w:pPr>
              <w:ind w:left="-30" w:firstLine="110"/>
              <w:rPr>
                <w:rFonts w:ascii="Times New Roman" w:hAnsi="Times New Roman" w:cs="Times New Roman"/>
                <w:sz w:val="20"/>
                <w:szCs w:val="20"/>
              </w:rPr>
            </w:pPr>
            <w:r w:rsidRPr="00442034">
              <w:rPr>
                <w:rFonts w:ascii="Times New Roman" w:hAnsi="Times New Roman" w:cs="Times New Roman"/>
                <w:sz w:val="20"/>
                <w:szCs w:val="20"/>
              </w:rPr>
              <w:t>Peer Support</w:t>
            </w:r>
          </w:p>
        </w:tc>
        <w:tc>
          <w:tcPr>
            <w:tcW w:w="527" w:type="pct"/>
            <w:tcBorders>
              <w:top w:val="nil"/>
              <w:left w:val="nil"/>
              <w:bottom w:val="nil"/>
              <w:right w:val="nil"/>
            </w:tcBorders>
          </w:tcPr>
          <w:p w14:paraId="3946209D"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24-80</w:t>
            </w:r>
          </w:p>
        </w:tc>
        <w:tc>
          <w:tcPr>
            <w:tcW w:w="765" w:type="pct"/>
            <w:tcBorders>
              <w:top w:val="nil"/>
              <w:left w:val="nil"/>
              <w:bottom w:val="nil"/>
              <w:right w:val="nil"/>
            </w:tcBorders>
          </w:tcPr>
          <w:p w14:paraId="525DEC58"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69.28 (.68)</w:t>
            </w:r>
          </w:p>
        </w:tc>
        <w:tc>
          <w:tcPr>
            <w:tcW w:w="742" w:type="pct"/>
            <w:tcBorders>
              <w:top w:val="nil"/>
              <w:left w:val="nil"/>
              <w:bottom w:val="nil"/>
              <w:right w:val="nil"/>
            </w:tcBorders>
          </w:tcPr>
          <w:p w14:paraId="7840C67B"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63.34 (2.24)</w:t>
            </w:r>
          </w:p>
        </w:tc>
        <w:tc>
          <w:tcPr>
            <w:tcW w:w="913" w:type="pct"/>
            <w:tcBorders>
              <w:top w:val="nil"/>
              <w:left w:val="nil"/>
              <w:bottom w:val="nil"/>
              <w:right w:val="nil"/>
            </w:tcBorders>
          </w:tcPr>
          <w:p w14:paraId="680B46B4"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70.28 (.66)</w:t>
            </w:r>
          </w:p>
        </w:tc>
        <w:tc>
          <w:tcPr>
            <w:tcW w:w="440" w:type="pct"/>
            <w:tcBorders>
              <w:top w:val="nil"/>
              <w:left w:val="nil"/>
              <w:bottom w:val="nil"/>
              <w:right w:val="nil"/>
            </w:tcBorders>
          </w:tcPr>
          <w:p w14:paraId="13A4687F"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3.01</w:t>
            </w:r>
          </w:p>
        </w:tc>
        <w:tc>
          <w:tcPr>
            <w:tcW w:w="522" w:type="pct"/>
            <w:tcBorders>
              <w:top w:val="nil"/>
              <w:left w:val="nil"/>
              <w:bottom w:val="nil"/>
              <w:right w:val="nil"/>
            </w:tcBorders>
          </w:tcPr>
          <w:p w14:paraId="25498257"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&lt; .05</w:t>
            </w:r>
          </w:p>
        </w:tc>
      </w:tr>
      <w:tr w:rsidR="0048282A" w:rsidRPr="00442034" w14:paraId="7A0F3C40" w14:textId="77777777" w:rsidTr="00BE5E6D">
        <w:trPr>
          <w:trHeight w:val="588"/>
        </w:trPr>
        <w:tc>
          <w:tcPr>
            <w:tcW w:w="1091" w:type="pct"/>
            <w:tcBorders>
              <w:top w:val="nil"/>
              <w:left w:val="nil"/>
              <w:bottom w:val="nil"/>
              <w:right w:val="nil"/>
            </w:tcBorders>
          </w:tcPr>
          <w:p w14:paraId="532DC400" w14:textId="77777777" w:rsidR="0048282A" w:rsidRPr="00442034" w:rsidRDefault="0048282A" w:rsidP="00BE5E6D">
            <w:pPr>
              <w:ind w:left="165" w:hanging="85"/>
              <w:rPr>
                <w:rFonts w:ascii="Times New Roman" w:hAnsi="Times New Roman" w:cs="Times New Roman"/>
                <w:sz w:val="20"/>
                <w:szCs w:val="20"/>
              </w:rPr>
            </w:pPr>
            <w:r w:rsidRPr="00442034">
              <w:rPr>
                <w:rFonts w:ascii="Times New Roman" w:hAnsi="Times New Roman" w:cs="Times New Roman"/>
                <w:sz w:val="20"/>
                <w:szCs w:val="20"/>
              </w:rPr>
              <w:t>Relationship with Caregiver</w:t>
            </w:r>
          </w:p>
        </w:tc>
        <w:tc>
          <w:tcPr>
            <w:tcW w:w="527" w:type="pct"/>
            <w:tcBorders>
              <w:top w:val="nil"/>
              <w:left w:val="nil"/>
              <w:bottom w:val="nil"/>
              <w:right w:val="nil"/>
            </w:tcBorders>
          </w:tcPr>
          <w:p w14:paraId="1DC52239"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17-48</w:t>
            </w:r>
          </w:p>
        </w:tc>
        <w:tc>
          <w:tcPr>
            <w:tcW w:w="765" w:type="pct"/>
            <w:tcBorders>
              <w:top w:val="nil"/>
              <w:left w:val="nil"/>
              <w:bottom w:val="nil"/>
              <w:right w:val="nil"/>
            </w:tcBorders>
          </w:tcPr>
          <w:p w14:paraId="2EBE9F9A"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41.91 (.38)</w:t>
            </w:r>
          </w:p>
        </w:tc>
        <w:tc>
          <w:tcPr>
            <w:tcW w:w="742" w:type="pct"/>
            <w:tcBorders>
              <w:top w:val="nil"/>
              <w:left w:val="nil"/>
              <w:bottom w:val="nil"/>
              <w:right w:val="nil"/>
            </w:tcBorders>
          </w:tcPr>
          <w:p w14:paraId="61FDA7F1"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36.18 (1.04)</w:t>
            </w:r>
          </w:p>
        </w:tc>
        <w:tc>
          <w:tcPr>
            <w:tcW w:w="913" w:type="pct"/>
            <w:tcBorders>
              <w:top w:val="nil"/>
              <w:left w:val="nil"/>
              <w:bottom w:val="nil"/>
              <w:right w:val="nil"/>
            </w:tcBorders>
          </w:tcPr>
          <w:p w14:paraId="5B20AFF3"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42.87 (.36)</w:t>
            </w:r>
          </w:p>
        </w:tc>
        <w:tc>
          <w:tcPr>
            <w:tcW w:w="440" w:type="pct"/>
            <w:tcBorders>
              <w:top w:val="nil"/>
              <w:left w:val="nil"/>
              <w:bottom w:val="nil"/>
              <w:right w:val="nil"/>
            </w:tcBorders>
          </w:tcPr>
          <w:p w14:paraId="100AF098"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6.51</w:t>
            </w:r>
          </w:p>
        </w:tc>
        <w:tc>
          <w:tcPr>
            <w:tcW w:w="522" w:type="pct"/>
            <w:tcBorders>
              <w:top w:val="nil"/>
              <w:left w:val="nil"/>
              <w:bottom w:val="nil"/>
              <w:right w:val="nil"/>
            </w:tcBorders>
          </w:tcPr>
          <w:p w14:paraId="0EBCBF9A"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&lt; .001</w:t>
            </w:r>
          </w:p>
        </w:tc>
      </w:tr>
      <w:tr w:rsidR="0048282A" w:rsidRPr="00442034" w14:paraId="7749363A" w14:textId="77777777" w:rsidTr="00BE5E6D">
        <w:trPr>
          <w:trHeight w:val="240"/>
        </w:trPr>
        <w:tc>
          <w:tcPr>
            <w:tcW w:w="1091" w:type="pct"/>
            <w:tcBorders>
              <w:top w:val="nil"/>
              <w:left w:val="nil"/>
              <w:bottom w:val="nil"/>
              <w:right w:val="nil"/>
            </w:tcBorders>
          </w:tcPr>
          <w:p w14:paraId="35876421" w14:textId="77777777" w:rsidR="0048282A" w:rsidRPr="00442034" w:rsidRDefault="0048282A" w:rsidP="00BE5E6D">
            <w:pPr>
              <w:ind w:left="-30" w:firstLine="20"/>
              <w:rPr>
                <w:rFonts w:ascii="Times New Roman" w:hAnsi="Times New Roman" w:cs="Times New Roman"/>
                <w:i/>
                <w:iCs/>
                <w:sz w:val="20"/>
                <w:szCs w:val="20"/>
                <w:u w:val="single"/>
              </w:rPr>
            </w:pPr>
            <w:r w:rsidRPr="00442034">
              <w:rPr>
                <w:rFonts w:ascii="Times New Roman" w:hAnsi="Times New Roman" w:cs="Times New Roman"/>
                <w:i/>
                <w:iCs/>
                <w:sz w:val="20"/>
                <w:szCs w:val="20"/>
                <w:u w:val="single"/>
              </w:rPr>
              <w:t>Demographics</w:t>
            </w:r>
          </w:p>
        </w:tc>
        <w:tc>
          <w:tcPr>
            <w:tcW w:w="527" w:type="pct"/>
            <w:tcBorders>
              <w:top w:val="nil"/>
              <w:left w:val="nil"/>
              <w:bottom w:val="nil"/>
              <w:right w:val="nil"/>
            </w:tcBorders>
          </w:tcPr>
          <w:p w14:paraId="261909A7" w14:textId="77777777" w:rsidR="0048282A" w:rsidRPr="00442034" w:rsidRDefault="0048282A" w:rsidP="00BE5E6D">
            <w:pPr>
              <w:jc w:val="center"/>
              <w:rPr>
                <w:rFonts w:ascii="Times New Roman" w:hAnsi="Times New Roman" w:cs="Times New Roman"/>
                <w:sz w:val="20"/>
                <w:szCs w:val="20"/>
              </w:rPr>
            </w:pPr>
          </w:p>
        </w:tc>
        <w:tc>
          <w:tcPr>
            <w:tcW w:w="765" w:type="pct"/>
            <w:tcBorders>
              <w:top w:val="nil"/>
              <w:left w:val="nil"/>
              <w:bottom w:val="nil"/>
              <w:right w:val="nil"/>
            </w:tcBorders>
          </w:tcPr>
          <w:p w14:paraId="2993FFF8" w14:textId="77777777" w:rsidR="0048282A" w:rsidRPr="00442034" w:rsidRDefault="0048282A" w:rsidP="00BE5E6D">
            <w:pPr>
              <w:tabs>
                <w:tab w:val="decimal" w:pos="350"/>
              </w:tabs>
              <w:jc w:val="center"/>
              <w:rPr>
                <w:rFonts w:ascii="Times New Roman" w:hAnsi="Times New Roman" w:cs="Times New Roman"/>
                <w:sz w:val="20"/>
                <w:szCs w:val="20"/>
              </w:rPr>
            </w:pPr>
          </w:p>
        </w:tc>
        <w:tc>
          <w:tcPr>
            <w:tcW w:w="742" w:type="pct"/>
            <w:tcBorders>
              <w:top w:val="nil"/>
              <w:left w:val="nil"/>
              <w:bottom w:val="nil"/>
              <w:right w:val="nil"/>
            </w:tcBorders>
          </w:tcPr>
          <w:p w14:paraId="2DCF9EB1" w14:textId="77777777" w:rsidR="0048282A" w:rsidRPr="00442034" w:rsidRDefault="0048282A" w:rsidP="00BE5E6D">
            <w:pPr>
              <w:tabs>
                <w:tab w:val="decimal" w:pos="435"/>
              </w:tabs>
              <w:jc w:val="center"/>
              <w:rPr>
                <w:rFonts w:ascii="Times New Roman" w:hAnsi="Times New Roman" w:cs="Times New Roman"/>
                <w:sz w:val="20"/>
                <w:szCs w:val="20"/>
              </w:rPr>
            </w:pPr>
          </w:p>
        </w:tc>
        <w:tc>
          <w:tcPr>
            <w:tcW w:w="913" w:type="pct"/>
            <w:tcBorders>
              <w:top w:val="nil"/>
              <w:left w:val="nil"/>
              <w:bottom w:val="nil"/>
              <w:right w:val="nil"/>
            </w:tcBorders>
          </w:tcPr>
          <w:p w14:paraId="1107BEBA" w14:textId="77777777" w:rsidR="0048282A" w:rsidRPr="00442034" w:rsidRDefault="0048282A" w:rsidP="00BE5E6D">
            <w:pPr>
              <w:tabs>
                <w:tab w:val="decimal" w:pos="340"/>
              </w:tabs>
              <w:jc w:val="center"/>
              <w:rPr>
                <w:rFonts w:ascii="Times New Roman" w:hAnsi="Times New Roman" w:cs="Times New Roman"/>
                <w:sz w:val="20"/>
                <w:szCs w:val="20"/>
              </w:rPr>
            </w:pPr>
          </w:p>
        </w:tc>
        <w:tc>
          <w:tcPr>
            <w:tcW w:w="440" w:type="pct"/>
            <w:tcBorders>
              <w:top w:val="nil"/>
              <w:left w:val="nil"/>
              <w:bottom w:val="nil"/>
              <w:right w:val="nil"/>
            </w:tcBorders>
          </w:tcPr>
          <w:p w14:paraId="712C918D" w14:textId="77777777" w:rsidR="0048282A" w:rsidRPr="00442034" w:rsidRDefault="0048282A" w:rsidP="00BE5E6D">
            <w:pPr>
              <w:tabs>
                <w:tab w:val="decimal" w:pos="340"/>
              </w:tabs>
              <w:jc w:val="center"/>
              <w:rPr>
                <w:rFonts w:ascii="Times New Roman" w:hAnsi="Times New Roman" w:cs="Times New Roman"/>
                <w:sz w:val="20"/>
                <w:szCs w:val="20"/>
              </w:rPr>
            </w:pPr>
          </w:p>
        </w:tc>
        <w:tc>
          <w:tcPr>
            <w:tcW w:w="522" w:type="pct"/>
            <w:tcBorders>
              <w:top w:val="nil"/>
              <w:left w:val="nil"/>
              <w:bottom w:val="nil"/>
              <w:right w:val="nil"/>
            </w:tcBorders>
          </w:tcPr>
          <w:p w14:paraId="55D8BFF6" w14:textId="77777777" w:rsidR="0048282A" w:rsidRPr="00442034" w:rsidRDefault="0048282A" w:rsidP="00BE5E6D">
            <w:pPr>
              <w:tabs>
                <w:tab w:val="decimal" w:pos="340"/>
              </w:tabs>
              <w:jc w:val="center"/>
              <w:rPr>
                <w:rFonts w:ascii="Times New Roman" w:hAnsi="Times New Roman" w:cs="Times New Roman"/>
                <w:sz w:val="20"/>
                <w:szCs w:val="20"/>
              </w:rPr>
            </w:pPr>
          </w:p>
        </w:tc>
      </w:tr>
      <w:tr w:rsidR="0048282A" w:rsidRPr="00442034" w14:paraId="4045B025" w14:textId="77777777" w:rsidTr="00BE5E6D">
        <w:trPr>
          <w:trHeight w:val="273"/>
        </w:trPr>
        <w:tc>
          <w:tcPr>
            <w:tcW w:w="1091" w:type="pct"/>
            <w:tcBorders>
              <w:top w:val="nil"/>
              <w:left w:val="nil"/>
              <w:bottom w:val="nil"/>
              <w:right w:val="nil"/>
            </w:tcBorders>
          </w:tcPr>
          <w:p w14:paraId="4EB2448F" w14:textId="77777777" w:rsidR="0048282A" w:rsidRPr="00442034" w:rsidRDefault="0048282A" w:rsidP="00BE5E6D">
            <w:pPr>
              <w:ind w:left="-30" w:firstLine="110"/>
              <w:rPr>
                <w:rFonts w:ascii="Times New Roman" w:hAnsi="Times New Roman" w:cs="Times New Roman"/>
                <w:sz w:val="20"/>
                <w:szCs w:val="20"/>
              </w:rPr>
            </w:pPr>
            <w:r w:rsidRPr="00442034">
              <w:rPr>
                <w:rFonts w:ascii="Times New Roman" w:hAnsi="Times New Roman" w:cs="Times New Roman"/>
                <w:sz w:val="20"/>
                <w:szCs w:val="20"/>
              </w:rPr>
              <w:t>Age at Wave Three</w:t>
            </w:r>
          </w:p>
        </w:tc>
        <w:tc>
          <w:tcPr>
            <w:tcW w:w="527" w:type="pct"/>
            <w:tcBorders>
              <w:top w:val="nil"/>
              <w:left w:val="nil"/>
              <w:bottom w:val="nil"/>
              <w:right w:val="nil"/>
            </w:tcBorders>
          </w:tcPr>
          <w:p w14:paraId="27FCF499"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11-17</w:t>
            </w:r>
          </w:p>
        </w:tc>
        <w:tc>
          <w:tcPr>
            <w:tcW w:w="765" w:type="pct"/>
            <w:tcBorders>
              <w:top w:val="nil"/>
              <w:left w:val="nil"/>
              <w:bottom w:val="nil"/>
              <w:right w:val="nil"/>
            </w:tcBorders>
          </w:tcPr>
          <w:p w14:paraId="2E405279"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14.00 (.12)</w:t>
            </w:r>
          </w:p>
        </w:tc>
        <w:tc>
          <w:tcPr>
            <w:tcW w:w="742" w:type="pct"/>
            <w:tcBorders>
              <w:top w:val="nil"/>
              <w:left w:val="nil"/>
              <w:bottom w:val="nil"/>
              <w:right w:val="nil"/>
            </w:tcBorders>
          </w:tcPr>
          <w:p w14:paraId="74A8AAF8"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14.72 (.26)</w:t>
            </w:r>
          </w:p>
        </w:tc>
        <w:tc>
          <w:tcPr>
            <w:tcW w:w="913" w:type="pct"/>
            <w:tcBorders>
              <w:top w:val="nil"/>
              <w:left w:val="nil"/>
              <w:bottom w:val="nil"/>
              <w:right w:val="nil"/>
            </w:tcBorders>
          </w:tcPr>
          <w:p w14:paraId="05B3E315"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13.88 (.14)</w:t>
            </w:r>
          </w:p>
        </w:tc>
        <w:tc>
          <w:tcPr>
            <w:tcW w:w="440" w:type="pct"/>
            <w:tcBorders>
              <w:top w:val="nil"/>
              <w:left w:val="nil"/>
              <w:bottom w:val="nil"/>
              <w:right w:val="nil"/>
            </w:tcBorders>
          </w:tcPr>
          <w:p w14:paraId="611B6130"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-2.74</w:t>
            </w:r>
          </w:p>
        </w:tc>
        <w:tc>
          <w:tcPr>
            <w:tcW w:w="522" w:type="pct"/>
            <w:tcBorders>
              <w:top w:val="nil"/>
              <w:left w:val="nil"/>
              <w:bottom w:val="nil"/>
              <w:right w:val="nil"/>
            </w:tcBorders>
          </w:tcPr>
          <w:p w14:paraId="726C4FFE"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&lt; .05</w:t>
            </w:r>
          </w:p>
        </w:tc>
      </w:tr>
      <w:tr w:rsidR="0048282A" w:rsidRPr="00442034" w14:paraId="2FB3B93C" w14:textId="77777777" w:rsidTr="00BE5E6D">
        <w:trPr>
          <w:trHeight w:val="255"/>
        </w:trPr>
        <w:tc>
          <w:tcPr>
            <w:tcW w:w="1091" w:type="pct"/>
            <w:tcBorders>
              <w:top w:val="nil"/>
              <w:left w:val="nil"/>
              <w:bottom w:val="nil"/>
              <w:right w:val="nil"/>
            </w:tcBorders>
          </w:tcPr>
          <w:p w14:paraId="4C83526F" w14:textId="77777777" w:rsidR="0048282A" w:rsidRPr="00442034" w:rsidRDefault="0048282A" w:rsidP="00BE5E6D">
            <w:pPr>
              <w:ind w:left="-30" w:firstLine="110"/>
              <w:rPr>
                <w:rFonts w:ascii="Times New Roman" w:hAnsi="Times New Roman" w:cs="Times New Roman"/>
                <w:sz w:val="20"/>
                <w:szCs w:val="20"/>
              </w:rPr>
            </w:pPr>
            <w:r w:rsidRPr="00442034">
              <w:rPr>
                <w:rFonts w:ascii="Times New Roman" w:hAnsi="Times New Roman" w:cs="Times New Roman"/>
                <w:sz w:val="20"/>
                <w:szCs w:val="20"/>
              </w:rPr>
              <w:t>Female</w:t>
            </w:r>
          </w:p>
        </w:tc>
        <w:tc>
          <w:tcPr>
            <w:tcW w:w="527" w:type="pct"/>
            <w:tcBorders>
              <w:top w:val="nil"/>
              <w:left w:val="nil"/>
              <w:bottom w:val="nil"/>
              <w:right w:val="nil"/>
            </w:tcBorders>
          </w:tcPr>
          <w:p w14:paraId="64FE41BE"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092CF290"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55.72% (.03)</w:t>
            </w:r>
          </w:p>
        </w:tc>
        <w:tc>
          <w:tcPr>
            <w:tcW w:w="742" w:type="pct"/>
            <w:tcBorders>
              <w:top w:val="nil"/>
              <w:left w:val="nil"/>
              <w:bottom w:val="nil"/>
              <w:right w:val="nil"/>
            </w:tcBorders>
          </w:tcPr>
          <w:p w14:paraId="1C623E4E"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87.23% (.06)</w:t>
            </w:r>
          </w:p>
        </w:tc>
        <w:tc>
          <w:tcPr>
            <w:tcW w:w="913" w:type="pct"/>
            <w:tcBorders>
              <w:top w:val="nil"/>
              <w:left w:val="nil"/>
              <w:bottom w:val="nil"/>
              <w:right w:val="nil"/>
            </w:tcBorders>
          </w:tcPr>
          <w:p w14:paraId="7FFCEE74"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50.41% (.04)</w:t>
            </w:r>
          </w:p>
        </w:tc>
        <w:tc>
          <w:tcPr>
            <w:tcW w:w="440" w:type="pct"/>
            <w:tcBorders>
              <w:top w:val="nil"/>
              <w:left w:val="nil"/>
              <w:bottom w:val="nil"/>
              <w:right w:val="nil"/>
            </w:tcBorders>
          </w:tcPr>
          <w:p w14:paraId="2554DA38"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-5.79</w:t>
            </w:r>
          </w:p>
        </w:tc>
        <w:tc>
          <w:tcPr>
            <w:tcW w:w="522" w:type="pct"/>
            <w:tcBorders>
              <w:top w:val="nil"/>
              <w:left w:val="nil"/>
              <w:bottom w:val="nil"/>
              <w:right w:val="nil"/>
            </w:tcBorders>
          </w:tcPr>
          <w:p w14:paraId="43445668"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&lt; .001</w:t>
            </w:r>
          </w:p>
        </w:tc>
      </w:tr>
      <w:tr w:rsidR="0048282A" w:rsidRPr="00442034" w14:paraId="660F4015" w14:textId="77777777" w:rsidTr="00BE5E6D">
        <w:trPr>
          <w:trHeight w:val="255"/>
        </w:trPr>
        <w:tc>
          <w:tcPr>
            <w:tcW w:w="1091" w:type="pct"/>
            <w:tcBorders>
              <w:top w:val="nil"/>
              <w:left w:val="nil"/>
              <w:bottom w:val="nil"/>
              <w:right w:val="nil"/>
            </w:tcBorders>
          </w:tcPr>
          <w:p w14:paraId="1CD60A64" w14:textId="40ED268C" w:rsidR="0048282A" w:rsidRPr="00442034" w:rsidRDefault="0048282A" w:rsidP="00BE5E6D">
            <w:pPr>
              <w:ind w:left="-30" w:firstLine="110"/>
              <w:rPr>
                <w:rFonts w:ascii="Times New Roman" w:hAnsi="Times New Roman" w:cs="Times New Roman"/>
                <w:sz w:val="20"/>
                <w:szCs w:val="20"/>
              </w:rPr>
            </w:pPr>
            <w:r w:rsidRPr="00442034">
              <w:rPr>
                <w:rFonts w:ascii="Times New Roman" w:hAnsi="Times New Roman" w:cs="Times New Roman"/>
                <w:sz w:val="20"/>
                <w:szCs w:val="20"/>
              </w:rPr>
              <w:t xml:space="preserve">White </w:t>
            </w:r>
            <w:r w:rsidR="0014444E" w:rsidRPr="00442034">
              <w:rPr>
                <w:rFonts w:ascii="Times New Roman" w:hAnsi="Times New Roman" w:cs="Times New Roman"/>
                <w:sz w:val="20"/>
                <w:szCs w:val="20"/>
              </w:rPr>
              <w:t>non-Hispanic</w:t>
            </w:r>
          </w:p>
        </w:tc>
        <w:tc>
          <w:tcPr>
            <w:tcW w:w="527" w:type="pct"/>
            <w:tcBorders>
              <w:top w:val="nil"/>
              <w:left w:val="nil"/>
              <w:bottom w:val="nil"/>
              <w:right w:val="nil"/>
            </w:tcBorders>
          </w:tcPr>
          <w:p w14:paraId="5A595EC4"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31956723"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35.32% (.05)</w:t>
            </w:r>
          </w:p>
        </w:tc>
        <w:tc>
          <w:tcPr>
            <w:tcW w:w="742" w:type="pct"/>
            <w:tcBorders>
              <w:top w:val="nil"/>
              <w:left w:val="nil"/>
              <w:bottom w:val="nil"/>
              <w:right w:val="nil"/>
            </w:tcBorders>
          </w:tcPr>
          <w:p w14:paraId="4BA26CB3"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27.34% (.10)</w:t>
            </w:r>
          </w:p>
        </w:tc>
        <w:tc>
          <w:tcPr>
            <w:tcW w:w="913" w:type="pct"/>
            <w:tcBorders>
              <w:top w:val="nil"/>
              <w:left w:val="nil"/>
              <w:bottom w:val="nil"/>
              <w:right w:val="nil"/>
            </w:tcBorders>
          </w:tcPr>
          <w:p w14:paraId="3130F7B4"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36.66% (.05)</w:t>
            </w:r>
          </w:p>
        </w:tc>
        <w:tc>
          <w:tcPr>
            <w:tcW w:w="440" w:type="pct"/>
            <w:tcBorders>
              <w:top w:val="nil"/>
              <w:left w:val="nil"/>
              <w:bottom w:val="nil"/>
              <w:right w:val="nil"/>
            </w:tcBorders>
          </w:tcPr>
          <w:p w14:paraId="3E9B84B7"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1.01</w:t>
            </w:r>
          </w:p>
        </w:tc>
        <w:tc>
          <w:tcPr>
            <w:tcW w:w="522" w:type="pct"/>
            <w:tcBorders>
              <w:top w:val="nil"/>
              <w:left w:val="nil"/>
              <w:bottom w:val="nil"/>
              <w:right w:val="nil"/>
            </w:tcBorders>
          </w:tcPr>
          <w:p w14:paraId="6F3F2F87"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.32</w:t>
            </w:r>
          </w:p>
        </w:tc>
      </w:tr>
      <w:tr w:rsidR="0048282A" w:rsidRPr="00442034" w14:paraId="66A2519F" w14:textId="77777777" w:rsidTr="00BE5E6D">
        <w:trPr>
          <w:trHeight w:val="237"/>
        </w:trPr>
        <w:tc>
          <w:tcPr>
            <w:tcW w:w="1091" w:type="pct"/>
            <w:tcBorders>
              <w:top w:val="nil"/>
              <w:left w:val="nil"/>
              <w:bottom w:val="nil"/>
              <w:right w:val="nil"/>
            </w:tcBorders>
          </w:tcPr>
          <w:p w14:paraId="721A5100" w14:textId="33CDE6BD" w:rsidR="0048282A" w:rsidRPr="00442034" w:rsidRDefault="0048282A" w:rsidP="00BE5E6D">
            <w:pPr>
              <w:ind w:left="-30" w:firstLine="110"/>
              <w:rPr>
                <w:rFonts w:ascii="Times New Roman" w:hAnsi="Times New Roman" w:cs="Times New Roman"/>
                <w:sz w:val="20"/>
                <w:szCs w:val="20"/>
              </w:rPr>
            </w:pPr>
            <w:r w:rsidRPr="00442034">
              <w:rPr>
                <w:rFonts w:ascii="Times New Roman" w:hAnsi="Times New Roman" w:cs="Times New Roman"/>
                <w:sz w:val="20"/>
                <w:szCs w:val="20"/>
              </w:rPr>
              <w:t xml:space="preserve">Black </w:t>
            </w:r>
            <w:r w:rsidR="0014444E" w:rsidRPr="00442034">
              <w:rPr>
                <w:rFonts w:ascii="Times New Roman" w:hAnsi="Times New Roman" w:cs="Times New Roman"/>
                <w:sz w:val="20"/>
                <w:szCs w:val="20"/>
              </w:rPr>
              <w:t>non-Hispanic</w:t>
            </w:r>
          </w:p>
        </w:tc>
        <w:tc>
          <w:tcPr>
            <w:tcW w:w="527" w:type="pct"/>
            <w:tcBorders>
              <w:top w:val="nil"/>
              <w:left w:val="nil"/>
              <w:bottom w:val="nil"/>
              <w:right w:val="nil"/>
            </w:tcBorders>
          </w:tcPr>
          <w:p w14:paraId="76A2520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4C30C482"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25.05% (.05)</w:t>
            </w:r>
          </w:p>
        </w:tc>
        <w:tc>
          <w:tcPr>
            <w:tcW w:w="742" w:type="pct"/>
            <w:tcBorders>
              <w:top w:val="nil"/>
              <w:left w:val="nil"/>
              <w:bottom w:val="nil"/>
              <w:right w:val="nil"/>
            </w:tcBorders>
          </w:tcPr>
          <w:p w14:paraId="05EF8878"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28.38% (.12)</w:t>
            </w:r>
          </w:p>
        </w:tc>
        <w:tc>
          <w:tcPr>
            <w:tcW w:w="913" w:type="pct"/>
            <w:tcBorders>
              <w:top w:val="nil"/>
              <w:left w:val="nil"/>
              <w:bottom w:val="nil"/>
              <w:right w:val="nil"/>
            </w:tcBorders>
          </w:tcPr>
          <w:p w14:paraId="515323E2"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24.49% (.05)</w:t>
            </w:r>
          </w:p>
        </w:tc>
        <w:tc>
          <w:tcPr>
            <w:tcW w:w="440" w:type="pct"/>
            <w:tcBorders>
              <w:top w:val="nil"/>
              <w:left w:val="nil"/>
              <w:bottom w:val="nil"/>
              <w:right w:val="nil"/>
            </w:tcBorders>
          </w:tcPr>
          <w:p w14:paraId="7D946918"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-0.34</w:t>
            </w:r>
          </w:p>
        </w:tc>
        <w:tc>
          <w:tcPr>
            <w:tcW w:w="522" w:type="pct"/>
            <w:tcBorders>
              <w:top w:val="nil"/>
              <w:left w:val="nil"/>
              <w:bottom w:val="nil"/>
              <w:right w:val="nil"/>
            </w:tcBorders>
          </w:tcPr>
          <w:p w14:paraId="4190AF4F"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.73</w:t>
            </w:r>
          </w:p>
        </w:tc>
      </w:tr>
      <w:tr w:rsidR="0048282A" w:rsidRPr="00442034" w14:paraId="40ACB330" w14:textId="77777777" w:rsidTr="00BE5E6D">
        <w:trPr>
          <w:trHeight w:val="237"/>
        </w:trPr>
        <w:tc>
          <w:tcPr>
            <w:tcW w:w="1091" w:type="pct"/>
            <w:tcBorders>
              <w:top w:val="nil"/>
              <w:left w:val="nil"/>
              <w:bottom w:val="nil"/>
              <w:right w:val="nil"/>
            </w:tcBorders>
          </w:tcPr>
          <w:p w14:paraId="7C223E7D" w14:textId="77777777" w:rsidR="0048282A" w:rsidRPr="00442034" w:rsidRDefault="0048282A" w:rsidP="00BE5E6D">
            <w:pPr>
              <w:ind w:left="-30" w:firstLine="110"/>
              <w:rPr>
                <w:rFonts w:ascii="Times New Roman" w:hAnsi="Times New Roman" w:cs="Times New Roman"/>
                <w:sz w:val="20"/>
                <w:szCs w:val="20"/>
              </w:rPr>
            </w:pPr>
            <w:r w:rsidRPr="00442034">
              <w:rPr>
                <w:rFonts w:ascii="Times New Roman" w:hAnsi="Times New Roman" w:cs="Times New Roman"/>
                <w:sz w:val="20"/>
                <w:szCs w:val="20"/>
              </w:rPr>
              <w:t>Hispanic</w:t>
            </w:r>
          </w:p>
        </w:tc>
        <w:tc>
          <w:tcPr>
            <w:tcW w:w="527" w:type="pct"/>
            <w:tcBorders>
              <w:top w:val="nil"/>
              <w:left w:val="nil"/>
              <w:bottom w:val="nil"/>
              <w:right w:val="nil"/>
            </w:tcBorders>
          </w:tcPr>
          <w:p w14:paraId="48C439AB"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2AE5437E"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32.79% (.06)</w:t>
            </w:r>
          </w:p>
        </w:tc>
        <w:tc>
          <w:tcPr>
            <w:tcW w:w="742" w:type="pct"/>
            <w:tcBorders>
              <w:top w:val="nil"/>
              <w:left w:val="nil"/>
              <w:bottom w:val="nil"/>
              <w:right w:val="nil"/>
            </w:tcBorders>
          </w:tcPr>
          <w:p w14:paraId="385B019B"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36.69% (.11)</w:t>
            </w:r>
          </w:p>
        </w:tc>
        <w:tc>
          <w:tcPr>
            <w:tcW w:w="913" w:type="pct"/>
            <w:tcBorders>
              <w:top w:val="nil"/>
              <w:left w:val="nil"/>
              <w:bottom w:val="nil"/>
              <w:right w:val="nil"/>
            </w:tcBorders>
          </w:tcPr>
          <w:p w14:paraId="16596011"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32.13% (.06)</w:t>
            </w:r>
          </w:p>
        </w:tc>
        <w:tc>
          <w:tcPr>
            <w:tcW w:w="440" w:type="pct"/>
            <w:tcBorders>
              <w:top w:val="nil"/>
              <w:left w:val="nil"/>
              <w:bottom w:val="nil"/>
              <w:right w:val="nil"/>
            </w:tcBorders>
          </w:tcPr>
          <w:p w14:paraId="7DC72DF6"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-0.40</w:t>
            </w:r>
          </w:p>
        </w:tc>
        <w:tc>
          <w:tcPr>
            <w:tcW w:w="522" w:type="pct"/>
            <w:tcBorders>
              <w:top w:val="nil"/>
              <w:left w:val="nil"/>
              <w:bottom w:val="nil"/>
              <w:right w:val="nil"/>
            </w:tcBorders>
          </w:tcPr>
          <w:p w14:paraId="5D3B22A3"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.69</w:t>
            </w:r>
          </w:p>
        </w:tc>
      </w:tr>
      <w:tr w:rsidR="0048282A" w:rsidRPr="00442034" w14:paraId="7D7B6994" w14:textId="77777777" w:rsidTr="00BE5E6D">
        <w:trPr>
          <w:trHeight w:val="300"/>
        </w:trPr>
        <w:tc>
          <w:tcPr>
            <w:tcW w:w="1091" w:type="pct"/>
            <w:tcBorders>
              <w:top w:val="nil"/>
              <w:left w:val="nil"/>
              <w:bottom w:val="nil"/>
              <w:right w:val="nil"/>
            </w:tcBorders>
          </w:tcPr>
          <w:p w14:paraId="3C630876" w14:textId="77777777" w:rsidR="0048282A" w:rsidRPr="00442034" w:rsidRDefault="0048282A" w:rsidP="00BE5E6D">
            <w:pPr>
              <w:ind w:left="-30" w:firstLine="110"/>
              <w:rPr>
                <w:rFonts w:ascii="Times New Roman" w:hAnsi="Times New Roman" w:cs="Times New Roman"/>
                <w:sz w:val="20"/>
                <w:szCs w:val="20"/>
              </w:rPr>
            </w:pPr>
            <w:r w:rsidRPr="00442034">
              <w:rPr>
                <w:rFonts w:ascii="Times New Roman" w:hAnsi="Times New Roman" w:cs="Times New Roman"/>
                <w:sz w:val="20"/>
                <w:szCs w:val="20"/>
              </w:rPr>
              <w:t>Other Race</w:t>
            </w:r>
          </w:p>
        </w:tc>
        <w:tc>
          <w:tcPr>
            <w:tcW w:w="527" w:type="pct"/>
            <w:tcBorders>
              <w:top w:val="nil"/>
              <w:left w:val="nil"/>
              <w:bottom w:val="nil"/>
              <w:right w:val="nil"/>
            </w:tcBorders>
          </w:tcPr>
          <w:p w14:paraId="3E487068"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7C0D21F1"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6.84% (.02)</w:t>
            </w:r>
          </w:p>
        </w:tc>
        <w:tc>
          <w:tcPr>
            <w:tcW w:w="742" w:type="pct"/>
            <w:tcBorders>
              <w:top w:val="nil"/>
              <w:left w:val="nil"/>
              <w:bottom w:val="nil"/>
              <w:right w:val="nil"/>
            </w:tcBorders>
          </w:tcPr>
          <w:p w14:paraId="1EDC046D"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7.59% (.05)</w:t>
            </w:r>
          </w:p>
        </w:tc>
        <w:tc>
          <w:tcPr>
            <w:tcW w:w="913" w:type="pct"/>
            <w:tcBorders>
              <w:top w:val="nil"/>
              <w:left w:val="nil"/>
              <w:bottom w:val="nil"/>
              <w:right w:val="nil"/>
            </w:tcBorders>
          </w:tcPr>
          <w:p w14:paraId="79A29665"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6.72% (.02)</w:t>
            </w:r>
          </w:p>
        </w:tc>
        <w:tc>
          <w:tcPr>
            <w:tcW w:w="440" w:type="pct"/>
            <w:tcBorders>
              <w:top w:val="nil"/>
              <w:left w:val="nil"/>
              <w:bottom w:val="nil"/>
              <w:right w:val="nil"/>
            </w:tcBorders>
          </w:tcPr>
          <w:p w14:paraId="6D70A7DC"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-0.15</w:t>
            </w:r>
          </w:p>
        </w:tc>
        <w:tc>
          <w:tcPr>
            <w:tcW w:w="522" w:type="pct"/>
            <w:tcBorders>
              <w:top w:val="nil"/>
              <w:left w:val="nil"/>
              <w:bottom w:val="nil"/>
              <w:right w:val="nil"/>
            </w:tcBorders>
          </w:tcPr>
          <w:p w14:paraId="15E496D7"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.88</w:t>
            </w:r>
          </w:p>
        </w:tc>
      </w:tr>
      <w:tr w:rsidR="0048282A" w:rsidRPr="00442034" w14:paraId="2C6D296A" w14:textId="77777777" w:rsidTr="00BE5E6D">
        <w:trPr>
          <w:trHeight w:val="222"/>
        </w:trPr>
        <w:tc>
          <w:tcPr>
            <w:tcW w:w="1091" w:type="pct"/>
            <w:tcBorders>
              <w:top w:val="nil"/>
              <w:left w:val="nil"/>
              <w:bottom w:val="nil"/>
              <w:right w:val="nil"/>
            </w:tcBorders>
          </w:tcPr>
          <w:p w14:paraId="028E4ACE" w14:textId="77777777" w:rsidR="0048282A" w:rsidRPr="00442034" w:rsidRDefault="0048282A" w:rsidP="00BE5E6D">
            <w:pPr>
              <w:ind w:left="-10"/>
              <w:rPr>
                <w:rFonts w:ascii="Times New Roman" w:hAnsi="Times New Roman" w:cs="Times New Roman"/>
                <w:i/>
                <w:iCs/>
                <w:sz w:val="20"/>
                <w:szCs w:val="20"/>
                <w:u w:val="single"/>
              </w:rPr>
            </w:pPr>
            <w:r w:rsidRPr="00442034">
              <w:rPr>
                <w:rFonts w:ascii="Times New Roman" w:hAnsi="Times New Roman" w:cs="Times New Roman"/>
                <w:i/>
                <w:iCs/>
                <w:sz w:val="20"/>
                <w:szCs w:val="20"/>
                <w:u w:val="single"/>
              </w:rPr>
              <w:t>Controls</w:t>
            </w:r>
          </w:p>
        </w:tc>
        <w:tc>
          <w:tcPr>
            <w:tcW w:w="527" w:type="pct"/>
            <w:tcBorders>
              <w:top w:val="nil"/>
              <w:left w:val="nil"/>
              <w:bottom w:val="nil"/>
              <w:right w:val="nil"/>
            </w:tcBorders>
          </w:tcPr>
          <w:p w14:paraId="27D873DD" w14:textId="77777777" w:rsidR="0048282A" w:rsidRPr="00442034" w:rsidRDefault="0048282A" w:rsidP="00BE5E6D">
            <w:pPr>
              <w:jc w:val="center"/>
              <w:rPr>
                <w:rFonts w:ascii="Times New Roman" w:hAnsi="Times New Roman" w:cs="Times New Roman"/>
                <w:sz w:val="20"/>
                <w:szCs w:val="20"/>
              </w:rPr>
            </w:pPr>
          </w:p>
        </w:tc>
        <w:tc>
          <w:tcPr>
            <w:tcW w:w="765" w:type="pct"/>
            <w:tcBorders>
              <w:top w:val="nil"/>
              <w:left w:val="nil"/>
              <w:bottom w:val="nil"/>
              <w:right w:val="nil"/>
            </w:tcBorders>
          </w:tcPr>
          <w:p w14:paraId="35E1B383" w14:textId="77777777" w:rsidR="0048282A" w:rsidRPr="00442034" w:rsidRDefault="0048282A" w:rsidP="00BE5E6D">
            <w:pPr>
              <w:tabs>
                <w:tab w:val="decimal" w:pos="350"/>
              </w:tabs>
              <w:jc w:val="center"/>
              <w:rPr>
                <w:rFonts w:ascii="Times New Roman" w:hAnsi="Times New Roman" w:cs="Times New Roman"/>
                <w:sz w:val="20"/>
                <w:szCs w:val="20"/>
              </w:rPr>
            </w:pPr>
          </w:p>
        </w:tc>
        <w:tc>
          <w:tcPr>
            <w:tcW w:w="742" w:type="pct"/>
            <w:tcBorders>
              <w:top w:val="nil"/>
              <w:left w:val="nil"/>
              <w:bottom w:val="nil"/>
              <w:right w:val="nil"/>
            </w:tcBorders>
          </w:tcPr>
          <w:p w14:paraId="2EB08B59" w14:textId="77777777" w:rsidR="0048282A" w:rsidRPr="00442034" w:rsidRDefault="0048282A" w:rsidP="00BE5E6D">
            <w:pPr>
              <w:tabs>
                <w:tab w:val="decimal" w:pos="435"/>
              </w:tabs>
              <w:jc w:val="center"/>
              <w:rPr>
                <w:rFonts w:ascii="Times New Roman" w:hAnsi="Times New Roman" w:cs="Times New Roman"/>
                <w:sz w:val="20"/>
                <w:szCs w:val="20"/>
              </w:rPr>
            </w:pPr>
          </w:p>
        </w:tc>
        <w:tc>
          <w:tcPr>
            <w:tcW w:w="913" w:type="pct"/>
            <w:tcBorders>
              <w:top w:val="nil"/>
              <w:left w:val="nil"/>
              <w:bottom w:val="nil"/>
              <w:right w:val="nil"/>
            </w:tcBorders>
          </w:tcPr>
          <w:p w14:paraId="45DE983E" w14:textId="77777777" w:rsidR="0048282A" w:rsidRPr="00442034" w:rsidRDefault="0048282A" w:rsidP="00BE5E6D">
            <w:pPr>
              <w:tabs>
                <w:tab w:val="decimal" w:pos="340"/>
              </w:tabs>
              <w:jc w:val="center"/>
              <w:rPr>
                <w:rFonts w:ascii="Times New Roman" w:hAnsi="Times New Roman" w:cs="Times New Roman"/>
                <w:sz w:val="20"/>
                <w:szCs w:val="20"/>
              </w:rPr>
            </w:pPr>
          </w:p>
        </w:tc>
        <w:tc>
          <w:tcPr>
            <w:tcW w:w="440" w:type="pct"/>
            <w:tcBorders>
              <w:top w:val="nil"/>
              <w:left w:val="nil"/>
              <w:bottom w:val="nil"/>
              <w:right w:val="nil"/>
            </w:tcBorders>
          </w:tcPr>
          <w:p w14:paraId="0783643C" w14:textId="77777777" w:rsidR="0048282A" w:rsidRPr="00442034" w:rsidRDefault="0048282A" w:rsidP="00BE5E6D">
            <w:pPr>
              <w:tabs>
                <w:tab w:val="decimal" w:pos="340"/>
              </w:tabs>
              <w:jc w:val="center"/>
              <w:rPr>
                <w:rFonts w:ascii="Times New Roman" w:hAnsi="Times New Roman" w:cs="Times New Roman"/>
                <w:sz w:val="20"/>
                <w:szCs w:val="20"/>
              </w:rPr>
            </w:pPr>
          </w:p>
        </w:tc>
        <w:tc>
          <w:tcPr>
            <w:tcW w:w="522" w:type="pct"/>
            <w:tcBorders>
              <w:top w:val="nil"/>
              <w:left w:val="nil"/>
              <w:bottom w:val="nil"/>
              <w:right w:val="nil"/>
            </w:tcBorders>
          </w:tcPr>
          <w:p w14:paraId="56A8FFE0" w14:textId="77777777" w:rsidR="0048282A" w:rsidRPr="00442034" w:rsidRDefault="0048282A" w:rsidP="00BE5E6D">
            <w:pPr>
              <w:tabs>
                <w:tab w:val="decimal" w:pos="340"/>
              </w:tabs>
              <w:jc w:val="center"/>
              <w:rPr>
                <w:rFonts w:ascii="Times New Roman" w:hAnsi="Times New Roman" w:cs="Times New Roman"/>
                <w:sz w:val="20"/>
                <w:szCs w:val="20"/>
              </w:rPr>
            </w:pPr>
          </w:p>
        </w:tc>
      </w:tr>
      <w:tr w:rsidR="0048282A" w:rsidRPr="00442034" w14:paraId="0877F5A1" w14:textId="77777777" w:rsidTr="00BE5E6D">
        <w:trPr>
          <w:trHeight w:val="328"/>
        </w:trPr>
        <w:tc>
          <w:tcPr>
            <w:tcW w:w="1091" w:type="pct"/>
            <w:tcBorders>
              <w:top w:val="nil"/>
              <w:left w:val="nil"/>
              <w:bottom w:val="nil"/>
              <w:right w:val="nil"/>
            </w:tcBorders>
          </w:tcPr>
          <w:p w14:paraId="72DA96B4" w14:textId="77777777" w:rsidR="0048282A" w:rsidRPr="00442034" w:rsidRDefault="0048282A" w:rsidP="00BE5E6D">
            <w:pPr>
              <w:ind w:left="80"/>
              <w:rPr>
                <w:rFonts w:ascii="Times New Roman" w:hAnsi="Times New Roman" w:cs="Times New Roman"/>
                <w:sz w:val="20"/>
                <w:szCs w:val="20"/>
              </w:rPr>
            </w:pPr>
            <w:r w:rsidRPr="00442034">
              <w:rPr>
                <w:rFonts w:ascii="Times New Roman" w:hAnsi="Times New Roman" w:cs="Times New Roman"/>
                <w:sz w:val="20"/>
                <w:szCs w:val="20"/>
              </w:rPr>
              <w:t>Type of Abuse</w:t>
            </w:r>
          </w:p>
        </w:tc>
        <w:tc>
          <w:tcPr>
            <w:tcW w:w="527" w:type="pct"/>
            <w:tcBorders>
              <w:top w:val="nil"/>
              <w:left w:val="nil"/>
              <w:bottom w:val="nil"/>
              <w:right w:val="nil"/>
            </w:tcBorders>
          </w:tcPr>
          <w:p w14:paraId="46D4775E" w14:textId="77777777" w:rsidR="0048282A" w:rsidRPr="00442034" w:rsidRDefault="0048282A" w:rsidP="00BE5E6D">
            <w:pPr>
              <w:jc w:val="center"/>
              <w:rPr>
                <w:rFonts w:ascii="Times New Roman" w:hAnsi="Times New Roman" w:cs="Times New Roman"/>
                <w:sz w:val="20"/>
                <w:szCs w:val="20"/>
              </w:rPr>
            </w:pPr>
          </w:p>
        </w:tc>
        <w:tc>
          <w:tcPr>
            <w:tcW w:w="765" w:type="pct"/>
            <w:tcBorders>
              <w:top w:val="nil"/>
              <w:left w:val="nil"/>
              <w:bottom w:val="nil"/>
              <w:right w:val="nil"/>
            </w:tcBorders>
          </w:tcPr>
          <w:p w14:paraId="5FF43447" w14:textId="77777777" w:rsidR="0048282A" w:rsidRPr="00442034" w:rsidRDefault="0048282A" w:rsidP="00BE5E6D">
            <w:pPr>
              <w:tabs>
                <w:tab w:val="decimal" w:pos="350"/>
              </w:tabs>
              <w:jc w:val="center"/>
              <w:rPr>
                <w:rFonts w:ascii="Times New Roman" w:hAnsi="Times New Roman" w:cs="Times New Roman"/>
                <w:sz w:val="20"/>
                <w:szCs w:val="20"/>
              </w:rPr>
            </w:pPr>
          </w:p>
        </w:tc>
        <w:tc>
          <w:tcPr>
            <w:tcW w:w="742" w:type="pct"/>
            <w:tcBorders>
              <w:top w:val="nil"/>
              <w:left w:val="nil"/>
              <w:bottom w:val="nil"/>
              <w:right w:val="nil"/>
            </w:tcBorders>
          </w:tcPr>
          <w:p w14:paraId="36866D8C" w14:textId="77777777" w:rsidR="0048282A" w:rsidRPr="00442034" w:rsidRDefault="0048282A" w:rsidP="00BE5E6D">
            <w:pPr>
              <w:tabs>
                <w:tab w:val="decimal" w:pos="435"/>
              </w:tabs>
              <w:jc w:val="center"/>
              <w:rPr>
                <w:rFonts w:ascii="Times New Roman" w:hAnsi="Times New Roman" w:cs="Times New Roman"/>
                <w:sz w:val="20"/>
                <w:szCs w:val="20"/>
              </w:rPr>
            </w:pPr>
          </w:p>
        </w:tc>
        <w:tc>
          <w:tcPr>
            <w:tcW w:w="913" w:type="pct"/>
            <w:tcBorders>
              <w:top w:val="nil"/>
              <w:left w:val="nil"/>
              <w:bottom w:val="nil"/>
              <w:right w:val="nil"/>
            </w:tcBorders>
          </w:tcPr>
          <w:p w14:paraId="5E2560F6" w14:textId="77777777" w:rsidR="0048282A" w:rsidRPr="00442034" w:rsidRDefault="0048282A" w:rsidP="00BE5E6D">
            <w:pPr>
              <w:tabs>
                <w:tab w:val="decimal" w:pos="340"/>
              </w:tabs>
              <w:jc w:val="center"/>
              <w:rPr>
                <w:rFonts w:ascii="Times New Roman" w:hAnsi="Times New Roman" w:cs="Times New Roman"/>
                <w:sz w:val="20"/>
                <w:szCs w:val="20"/>
              </w:rPr>
            </w:pPr>
          </w:p>
        </w:tc>
        <w:tc>
          <w:tcPr>
            <w:tcW w:w="440" w:type="pct"/>
            <w:tcBorders>
              <w:top w:val="nil"/>
              <w:left w:val="nil"/>
              <w:bottom w:val="nil"/>
              <w:right w:val="nil"/>
            </w:tcBorders>
          </w:tcPr>
          <w:p w14:paraId="5B0593AF" w14:textId="77777777" w:rsidR="0048282A" w:rsidRPr="00442034" w:rsidRDefault="0048282A" w:rsidP="00BE5E6D">
            <w:pPr>
              <w:tabs>
                <w:tab w:val="decimal" w:pos="340"/>
              </w:tabs>
              <w:jc w:val="center"/>
              <w:rPr>
                <w:rFonts w:ascii="Times New Roman" w:hAnsi="Times New Roman" w:cs="Times New Roman"/>
                <w:sz w:val="20"/>
                <w:szCs w:val="20"/>
              </w:rPr>
            </w:pPr>
          </w:p>
        </w:tc>
        <w:tc>
          <w:tcPr>
            <w:tcW w:w="522" w:type="pct"/>
            <w:tcBorders>
              <w:top w:val="nil"/>
              <w:left w:val="nil"/>
              <w:bottom w:val="nil"/>
              <w:right w:val="nil"/>
            </w:tcBorders>
          </w:tcPr>
          <w:p w14:paraId="7FFF8400" w14:textId="77777777" w:rsidR="0048282A" w:rsidRPr="00442034" w:rsidRDefault="0048282A" w:rsidP="00BE5E6D">
            <w:pPr>
              <w:tabs>
                <w:tab w:val="decimal" w:pos="340"/>
              </w:tabs>
              <w:jc w:val="center"/>
              <w:rPr>
                <w:rFonts w:ascii="Times New Roman" w:hAnsi="Times New Roman" w:cs="Times New Roman"/>
                <w:sz w:val="20"/>
                <w:szCs w:val="20"/>
              </w:rPr>
            </w:pPr>
          </w:p>
        </w:tc>
      </w:tr>
      <w:tr w:rsidR="0048282A" w:rsidRPr="00442034" w14:paraId="7F211EA7" w14:textId="77777777" w:rsidTr="00BE5E6D">
        <w:trPr>
          <w:trHeight w:val="435"/>
        </w:trPr>
        <w:tc>
          <w:tcPr>
            <w:tcW w:w="1091" w:type="pct"/>
            <w:tcBorders>
              <w:top w:val="nil"/>
              <w:left w:val="nil"/>
              <w:bottom w:val="nil"/>
              <w:right w:val="nil"/>
            </w:tcBorders>
          </w:tcPr>
          <w:p w14:paraId="7D16DE1A" w14:textId="77777777" w:rsidR="0048282A" w:rsidRPr="00442034" w:rsidRDefault="0048282A" w:rsidP="00BE5E6D">
            <w:pPr>
              <w:ind w:left="345" w:hanging="90"/>
              <w:rPr>
                <w:rFonts w:ascii="Times New Roman" w:hAnsi="Times New Roman" w:cs="Times New Roman"/>
                <w:sz w:val="20"/>
                <w:szCs w:val="20"/>
              </w:rPr>
            </w:pPr>
            <w:r w:rsidRPr="00442034">
              <w:rPr>
                <w:rFonts w:ascii="Times New Roman" w:hAnsi="Times New Roman" w:cs="Times New Roman"/>
                <w:sz w:val="20"/>
                <w:szCs w:val="20"/>
              </w:rPr>
              <w:t>Physical/Emotional Abuse</w:t>
            </w:r>
          </w:p>
        </w:tc>
        <w:tc>
          <w:tcPr>
            <w:tcW w:w="527" w:type="pct"/>
            <w:tcBorders>
              <w:top w:val="nil"/>
              <w:left w:val="nil"/>
              <w:bottom w:val="nil"/>
              <w:right w:val="nil"/>
            </w:tcBorders>
          </w:tcPr>
          <w:p w14:paraId="7153899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2CD39478"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33.88% (.04)</w:t>
            </w:r>
          </w:p>
        </w:tc>
        <w:tc>
          <w:tcPr>
            <w:tcW w:w="742" w:type="pct"/>
            <w:tcBorders>
              <w:top w:val="nil"/>
              <w:left w:val="nil"/>
              <w:bottom w:val="nil"/>
              <w:right w:val="nil"/>
            </w:tcBorders>
          </w:tcPr>
          <w:p w14:paraId="4BF3953D"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35.63% (.09)</w:t>
            </w:r>
          </w:p>
        </w:tc>
        <w:tc>
          <w:tcPr>
            <w:tcW w:w="913" w:type="pct"/>
            <w:tcBorders>
              <w:top w:val="nil"/>
              <w:left w:val="nil"/>
              <w:bottom w:val="nil"/>
              <w:right w:val="nil"/>
            </w:tcBorders>
          </w:tcPr>
          <w:p w14:paraId="5AB1103D"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33.59% (.04)</w:t>
            </w:r>
          </w:p>
        </w:tc>
        <w:tc>
          <w:tcPr>
            <w:tcW w:w="440" w:type="pct"/>
            <w:tcBorders>
              <w:top w:val="nil"/>
              <w:left w:val="nil"/>
              <w:bottom w:val="nil"/>
              <w:right w:val="nil"/>
            </w:tcBorders>
          </w:tcPr>
          <w:p w14:paraId="55C8CE26"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-.023</w:t>
            </w:r>
          </w:p>
        </w:tc>
        <w:tc>
          <w:tcPr>
            <w:tcW w:w="522" w:type="pct"/>
            <w:tcBorders>
              <w:top w:val="nil"/>
              <w:left w:val="nil"/>
              <w:bottom w:val="nil"/>
              <w:right w:val="nil"/>
            </w:tcBorders>
          </w:tcPr>
          <w:p w14:paraId="1399676B"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.82</w:t>
            </w:r>
          </w:p>
        </w:tc>
      </w:tr>
      <w:tr w:rsidR="0048282A" w:rsidRPr="00442034" w14:paraId="45F35AB8" w14:textId="77777777" w:rsidTr="00BE5E6D">
        <w:trPr>
          <w:trHeight w:val="192"/>
        </w:trPr>
        <w:tc>
          <w:tcPr>
            <w:tcW w:w="1091" w:type="pct"/>
            <w:tcBorders>
              <w:top w:val="nil"/>
              <w:left w:val="nil"/>
              <w:bottom w:val="nil"/>
              <w:right w:val="nil"/>
            </w:tcBorders>
          </w:tcPr>
          <w:p w14:paraId="34A1E202" w14:textId="77777777" w:rsidR="0048282A" w:rsidRPr="00442034" w:rsidRDefault="0048282A" w:rsidP="00BE5E6D">
            <w:pPr>
              <w:ind w:left="80" w:firstLine="180"/>
              <w:rPr>
                <w:rFonts w:ascii="Times New Roman" w:hAnsi="Times New Roman" w:cs="Times New Roman"/>
                <w:sz w:val="20"/>
                <w:szCs w:val="20"/>
              </w:rPr>
            </w:pPr>
            <w:r w:rsidRPr="00442034">
              <w:rPr>
                <w:rFonts w:ascii="Times New Roman" w:hAnsi="Times New Roman" w:cs="Times New Roman"/>
                <w:sz w:val="20"/>
                <w:szCs w:val="20"/>
              </w:rPr>
              <w:t>Sexual Abuse</w:t>
            </w:r>
          </w:p>
        </w:tc>
        <w:tc>
          <w:tcPr>
            <w:tcW w:w="527" w:type="pct"/>
            <w:tcBorders>
              <w:top w:val="nil"/>
              <w:left w:val="nil"/>
              <w:bottom w:val="nil"/>
              <w:right w:val="nil"/>
            </w:tcBorders>
          </w:tcPr>
          <w:p w14:paraId="41682B7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545730D1"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11.38% (.02)</w:t>
            </w:r>
          </w:p>
        </w:tc>
        <w:tc>
          <w:tcPr>
            <w:tcW w:w="742" w:type="pct"/>
            <w:tcBorders>
              <w:top w:val="nil"/>
              <w:left w:val="nil"/>
              <w:bottom w:val="nil"/>
              <w:right w:val="nil"/>
            </w:tcBorders>
          </w:tcPr>
          <w:p w14:paraId="2FF8A68E"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13.80% (.07)</w:t>
            </w:r>
          </w:p>
        </w:tc>
        <w:tc>
          <w:tcPr>
            <w:tcW w:w="913" w:type="pct"/>
            <w:tcBorders>
              <w:top w:val="nil"/>
              <w:left w:val="nil"/>
              <w:bottom w:val="nil"/>
              <w:right w:val="nil"/>
            </w:tcBorders>
          </w:tcPr>
          <w:p w14:paraId="711A6D40"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10.98% (.02)</w:t>
            </w:r>
          </w:p>
        </w:tc>
        <w:tc>
          <w:tcPr>
            <w:tcW w:w="440" w:type="pct"/>
            <w:tcBorders>
              <w:top w:val="nil"/>
              <w:left w:val="nil"/>
              <w:bottom w:val="nil"/>
              <w:right w:val="nil"/>
            </w:tcBorders>
          </w:tcPr>
          <w:p w14:paraId="1DDE1E06"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-0.36</w:t>
            </w:r>
          </w:p>
        </w:tc>
        <w:tc>
          <w:tcPr>
            <w:tcW w:w="522" w:type="pct"/>
            <w:tcBorders>
              <w:top w:val="nil"/>
              <w:left w:val="nil"/>
              <w:bottom w:val="nil"/>
              <w:right w:val="nil"/>
            </w:tcBorders>
          </w:tcPr>
          <w:p w14:paraId="6D3283B3"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.72</w:t>
            </w:r>
          </w:p>
        </w:tc>
      </w:tr>
      <w:tr w:rsidR="0048282A" w:rsidRPr="00442034" w14:paraId="2E278B75" w14:textId="77777777" w:rsidTr="00BE5E6D">
        <w:trPr>
          <w:trHeight w:val="260"/>
        </w:trPr>
        <w:tc>
          <w:tcPr>
            <w:tcW w:w="1091" w:type="pct"/>
            <w:tcBorders>
              <w:top w:val="nil"/>
              <w:left w:val="nil"/>
              <w:bottom w:val="nil"/>
              <w:right w:val="nil"/>
            </w:tcBorders>
          </w:tcPr>
          <w:p w14:paraId="23EC25E1" w14:textId="77777777" w:rsidR="0048282A" w:rsidRPr="00442034" w:rsidRDefault="0048282A" w:rsidP="00BE5E6D">
            <w:pPr>
              <w:ind w:left="80" w:firstLine="180"/>
              <w:rPr>
                <w:rFonts w:ascii="Times New Roman" w:hAnsi="Times New Roman" w:cs="Times New Roman"/>
                <w:sz w:val="20"/>
                <w:szCs w:val="20"/>
              </w:rPr>
            </w:pPr>
            <w:r w:rsidRPr="00442034">
              <w:rPr>
                <w:rFonts w:ascii="Times New Roman" w:hAnsi="Times New Roman" w:cs="Times New Roman"/>
                <w:sz w:val="20"/>
                <w:szCs w:val="20"/>
              </w:rPr>
              <w:t>Neglect</w:t>
            </w:r>
          </w:p>
        </w:tc>
        <w:tc>
          <w:tcPr>
            <w:tcW w:w="527" w:type="pct"/>
            <w:tcBorders>
              <w:top w:val="nil"/>
              <w:left w:val="nil"/>
              <w:bottom w:val="nil"/>
              <w:right w:val="nil"/>
            </w:tcBorders>
          </w:tcPr>
          <w:p w14:paraId="3575E4D5"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06D88CC9"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27.85% (.03)</w:t>
            </w:r>
          </w:p>
        </w:tc>
        <w:tc>
          <w:tcPr>
            <w:tcW w:w="742" w:type="pct"/>
            <w:tcBorders>
              <w:top w:val="nil"/>
              <w:left w:val="nil"/>
              <w:bottom w:val="nil"/>
              <w:right w:val="nil"/>
            </w:tcBorders>
          </w:tcPr>
          <w:p w14:paraId="3C9DA07C"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25.61% (.08)</w:t>
            </w:r>
          </w:p>
        </w:tc>
        <w:tc>
          <w:tcPr>
            <w:tcW w:w="913" w:type="pct"/>
            <w:tcBorders>
              <w:top w:val="nil"/>
              <w:left w:val="nil"/>
              <w:bottom w:val="nil"/>
              <w:right w:val="nil"/>
            </w:tcBorders>
          </w:tcPr>
          <w:p w14:paraId="062287FF"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28.23% (.03)</w:t>
            </w:r>
          </w:p>
        </w:tc>
        <w:tc>
          <w:tcPr>
            <w:tcW w:w="440" w:type="pct"/>
            <w:tcBorders>
              <w:top w:val="nil"/>
              <w:left w:val="nil"/>
              <w:bottom w:val="nil"/>
              <w:right w:val="nil"/>
            </w:tcBorders>
          </w:tcPr>
          <w:p w14:paraId="75C7F808"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0.30</w:t>
            </w:r>
          </w:p>
        </w:tc>
        <w:tc>
          <w:tcPr>
            <w:tcW w:w="522" w:type="pct"/>
            <w:tcBorders>
              <w:top w:val="nil"/>
              <w:left w:val="nil"/>
              <w:bottom w:val="nil"/>
              <w:right w:val="nil"/>
            </w:tcBorders>
          </w:tcPr>
          <w:p w14:paraId="1383462B"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.77</w:t>
            </w:r>
          </w:p>
        </w:tc>
      </w:tr>
      <w:tr w:rsidR="0048282A" w:rsidRPr="00442034" w14:paraId="4EB8CFC5" w14:textId="77777777" w:rsidTr="00BE5E6D">
        <w:trPr>
          <w:trHeight w:val="297"/>
        </w:trPr>
        <w:tc>
          <w:tcPr>
            <w:tcW w:w="1091" w:type="pct"/>
            <w:tcBorders>
              <w:top w:val="nil"/>
              <w:left w:val="nil"/>
              <w:bottom w:val="nil"/>
              <w:right w:val="nil"/>
            </w:tcBorders>
          </w:tcPr>
          <w:p w14:paraId="3E1DC4F2" w14:textId="77777777" w:rsidR="0048282A" w:rsidRPr="00442034" w:rsidRDefault="0048282A" w:rsidP="00BE5E6D">
            <w:pPr>
              <w:ind w:left="80" w:firstLine="180"/>
              <w:rPr>
                <w:rFonts w:ascii="Times New Roman" w:hAnsi="Times New Roman" w:cs="Times New Roman"/>
                <w:sz w:val="20"/>
                <w:szCs w:val="20"/>
              </w:rPr>
            </w:pPr>
            <w:r w:rsidRPr="00442034">
              <w:rPr>
                <w:rFonts w:ascii="Times New Roman" w:hAnsi="Times New Roman" w:cs="Times New Roman"/>
                <w:sz w:val="20"/>
                <w:szCs w:val="20"/>
              </w:rPr>
              <w:t>Domestic Violence</w:t>
            </w:r>
          </w:p>
        </w:tc>
        <w:tc>
          <w:tcPr>
            <w:tcW w:w="527" w:type="pct"/>
            <w:tcBorders>
              <w:top w:val="nil"/>
              <w:left w:val="nil"/>
              <w:bottom w:val="nil"/>
              <w:right w:val="nil"/>
            </w:tcBorders>
          </w:tcPr>
          <w:p w14:paraId="17194FA8"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4111AE68"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7.44% (.02)</w:t>
            </w:r>
          </w:p>
        </w:tc>
        <w:tc>
          <w:tcPr>
            <w:tcW w:w="742" w:type="pct"/>
            <w:tcBorders>
              <w:top w:val="nil"/>
              <w:left w:val="nil"/>
              <w:bottom w:val="nil"/>
              <w:right w:val="nil"/>
            </w:tcBorders>
          </w:tcPr>
          <w:p w14:paraId="5E5CA578"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.58% (.01)</w:t>
            </w:r>
          </w:p>
        </w:tc>
        <w:tc>
          <w:tcPr>
            <w:tcW w:w="913" w:type="pct"/>
            <w:tcBorders>
              <w:top w:val="nil"/>
              <w:left w:val="nil"/>
              <w:bottom w:val="nil"/>
              <w:right w:val="nil"/>
            </w:tcBorders>
          </w:tcPr>
          <w:p w14:paraId="2344D6B2"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8.60% (.02)</w:t>
            </w:r>
          </w:p>
        </w:tc>
        <w:tc>
          <w:tcPr>
            <w:tcW w:w="440" w:type="pct"/>
            <w:tcBorders>
              <w:top w:val="nil"/>
              <w:left w:val="nil"/>
              <w:bottom w:val="nil"/>
              <w:right w:val="nil"/>
            </w:tcBorders>
          </w:tcPr>
          <w:p w14:paraId="22ED25EF"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3.38</w:t>
            </w:r>
          </w:p>
        </w:tc>
        <w:tc>
          <w:tcPr>
            <w:tcW w:w="522" w:type="pct"/>
            <w:tcBorders>
              <w:top w:val="nil"/>
              <w:left w:val="nil"/>
              <w:bottom w:val="nil"/>
              <w:right w:val="nil"/>
            </w:tcBorders>
          </w:tcPr>
          <w:p w14:paraId="7ED50F4C"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&lt; .05</w:t>
            </w:r>
          </w:p>
        </w:tc>
      </w:tr>
      <w:tr w:rsidR="0048282A" w:rsidRPr="00442034" w14:paraId="236D8089" w14:textId="77777777" w:rsidTr="00BE5E6D">
        <w:trPr>
          <w:trHeight w:val="243"/>
        </w:trPr>
        <w:tc>
          <w:tcPr>
            <w:tcW w:w="1091" w:type="pct"/>
            <w:tcBorders>
              <w:top w:val="nil"/>
              <w:left w:val="nil"/>
              <w:bottom w:val="nil"/>
              <w:right w:val="nil"/>
            </w:tcBorders>
          </w:tcPr>
          <w:p w14:paraId="23078778" w14:textId="77777777" w:rsidR="0048282A" w:rsidRPr="00442034" w:rsidRDefault="0048282A" w:rsidP="00BE5E6D">
            <w:pPr>
              <w:ind w:left="80" w:firstLine="180"/>
              <w:rPr>
                <w:rFonts w:ascii="Times New Roman" w:hAnsi="Times New Roman" w:cs="Times New Roman"/>
                <w:sz w:val="20"/>
                <w:szCs w:val="20"/>
              </w:rPr>
            </w:pPr>
            <w:r w:rsidRPr="00442034">
              <w:rPr>
                <w:rFonts w:ascii="Times New Roman" w:hAnsi="Times New Roman" w:cs="Times New Roman"/>
                <w:sz w:val="20"/>
                <w:szCs w:val="20"/>
              </w:rPr>
              <w:t>Substance Abuse</w:t>
            </w:r>
          </w:p>
        </w:tc>
        <w:tc>
          <w:tcPr>
            <w:tcW w:w="527" w:type="pct"/>
            <w:tcBorders>
              <w:top w:val="nil"/>
              <w:left w:val="nil"/>
              <w:bottom w:val="nil"/>
              <w:right w:val="nil"/>
            </w:tcBorders>
          </w:tcPr>
          <w:p w14:paraId="72E4C455"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4D4CE47E"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8.26% (.02)</w:t>
            </w:r>
          </w:p>
        </w:tc>
        <w:tc>
          <w:tcPr>
            <w:tcW w:w="742" w:type="pct"/>
            <w:tcBorders>
              <w:top w:val="nil"/>
              <w:left w:val="nil"/>
              <w:bottom w:val="nil"/>
              <w:right w:val="nil"/>
            </w:tcBorders>
          </w:tcPr>
          <w:p w14:paraId="19E69A1B"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3.13% (.02)</w:t>
            </w:r>
          </w:p>
        </w:tc>
        <w:tc>
          <w:tcPr>
            <w:tcW w:w="913" w:type="pct"/>
            <w:tcBorders>
              <w:top w:val="nil"/>
              <w:left w:val="nil"/>
              <w:bottom w:val="nil"/>
              <w:right w:val="nil"/>
            </w:tcBorders>
          </w:tcPr>
          <w:p w14:paraId="3EB2B99A"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9.12% (.02)</w:t>
            </w:r>
          </w:p>
        </w:tc>
        <w:tc>
          <w:tcPr>
            <w:tcW w:w="440" w:type="pct"/>
            <w:tcBorders>
              <w:top w:val="nil"/>
              <w:left w:val="nil"/>
              <w:bottom w:val="nil"/>
              <w:right w:val="nil"/>
            </w:tcBorders>
          </w:tcPr>
          <w:p w14:paraId="698720D6"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2.31</w:t>
            </w:r>
          </w:p>
        </w:tc>
        <w:tc>
          <w:tcPr>
            <w:tcW w:w="522" w:type="pct"/>
            <w:tcBorders>
              <w:top w:val="nil"/>
              <w:left w:val="nil"/>
              <w:bottom w:val="nil"/>
              <w:right w:val="nil"/>
            </w:tcBorders>
          </w:tcPr>
          <w:p w14:paraId="00038E0F"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&lt; .05</w:t>
            </w:r>
          </w:p>
        </w:tc>
      </w:tr>
      <w:tr w:rsidR="0048282A" w:rsidRPr="00442034" w14:paraId="0D246EF7" w14:textId="77777777" w:rsidTr="00BE5E6D">
        <w:trPr>
          <w:trHeight w:val="255"/>
        </w:trPr>
        <w:tc>
          <w:tcPr>
            <w:tcW w:w="1091" w:type="pct"/>
            <w:tcBorders>
              <w:top w:val="nil"/>
              <w:left w:val="nil"/>
              <w:bottom w:val="nil"/>
              <w:right w:val="nil"/>
            </w:tcBorders>
          </w:tcPr>
          <w:p w14:paraId="3AE8CC42" w14:textId="77777777" w:rsidR="0048282A" w:rsidRPr="00442034" w:rsidRDefault="0048282A" w:rsidP="00BE5E6D">
            <w:pPr>
              <w:ind w:left="440" w:hanging="180"/>
              <w:rPr>
                <w:rFonts w:ascii="Times New Roman" w:hAnsi="Times New Roman" w:cs="Times New Roman"/>
                <w:sz w:val="20"/>
                <w:szCs w:val="20"/>
              </w:rPr>
            </w:pPr>
            <w:r w:rsidRPr="00442034">
              <w:rPr>
                <w:rFonts w:ascii="Times New Roman" w:hAnsi="Times New Roman" w:cs="Times New Roman"/>
                <w:sz w:val="20"/>
                <w:szCs w:val="20"/>
              </w:rPr>
              <w:t>Other</w:t>
            </w:r>
          </w:p>
        </w:tc>
        <w:tc>
          <w:tcPr>
            <w:tcW w:w="527" w:type="pct"/>
            <w:tcBorders>
              <w:top w:val="nil"/>
              <w:left w:val="nil"/>
              <w:bottom w:val="nil"/>
              <w:right w:val="nil"/>
            </w:tcBorders>
          </w:tcPr>
          <w:p w14:paraId="0FF0C20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225051B3"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11.18% (.02)</w:t>
            </w:r>
          </w:p>
        </w:tc>
        <w:tc>
          <w:tcPr>
            <w:tcW w:w="742" w:type="pct"/>
            <w:tcBorders>
              <w:top w:val="nil"/>
              <w:left w:val="nil"/>
              <w:bottom w:val="nil"/>
              <w:right w:val="nil"/>
            </w:tcBorders>
          </w:tcPr>
          <w:p w14:paraId="7E5AFA9E"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21.24% (.10)</w:t>
            </w:r>
          </w:p>
        </w:tc>
        <w:tc>
          <w:tcPr>
            <w:tcW w:w="913" w:type="pct"/>
            <w:tcBorders>
              <w:top w:val="nil"/>
              <w:left w:val="nil"/>
              <w:bottom w:val="nil"/>
              <w:right w:val="nil"/>
            </w:tcBorders>
          </w:tcPr>
          <w:p w14:paraId="034D8141"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9.49% (.02)</w:t>
            </w:r>
          </w:p>
        </w:tc>
        <w:tc>
          <w:tcPr>
            <w:tcW w:w="440" w:type="pct"/>
            <w:tcBorders>
              <w:top w:val="nil"/>
              <w:left w:val="nil"/>
              <w:bottom w:val="nil"/>
              <w:right w:val="nil"/>
            </w:tcBorders>
          </w:tcPr>
          <w:p w14:paraId="4F6445D9"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-1.10</w:t>
            </w:r>
          </w:p>
        </w:tc>
        <w:tc>
          <w:tcPr>
            <w:tcW w:w="522" w:type="pct"/>
            <w:tcBorders>
              <w:top w:val="nil"/>
              <w:left w:val="nil"/>
              <w:bottom w:val="nil"/>
              <w:right w:val="nil"/>
            </w:tcBorders>
          </w:tcPr>
          <w:p w14:paraId="54D86841"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.27</w:t>
            </w:r>
          </w:p>
        </w:tc>
      </w:tr>
      <w:tr w:rsidR="0048282A" w:rsidRPr="00442034" w14:paraId="50E67C87" w14:textId="77777777" w:rsidTr="00BE5E6D">
        <w:trPr>
          <w:trHeight w:val="228"/>
        </w:trPr>
        <w:tc>
          <w:tcPr>
            <w:tcW w:w="1091" w:type="pct"/>
            <w:tcBorders>
              <w:top w:val="nil"/>
              <w:left w:val="nil"/>
              <w:bottom w:val="nil"/>
              <w:right w:val="nil"/>
            </w:tcBorders>
          </w:tcPr>
          <w:p w14:paraId="49C1BC0B" w14:textId="77777777" w:rsidR="0048282A" w:rsidRPr="00442034" w:rsidRDefault="0048282A" w:rsidP="00BE5E6D">
            <w:pPr>
              <w:ind w:left="80"/>
              <w:rPr>
                <w:rFonts w:ascii="Times New Roman" w:hAnsi="Times New Roman" w:cs="Times New Roman"/>
                <w:sz w:val="20"/>
                <w:szCs w:val="20"/>
              </w:rPr>
            </w:pPr>
            <w:r w:rsidRPr="00442034">
              <w:rPr>
                <w:rFonts w:ascii="Times New Roman" w:hAnsi="Times New Roman" w:cs="Times New Roman"/>
                <w:sz w:val="20"/>
                <w:szCs w:val="20"/>
              </w:rPr>
              <w:t>Substantiated Report</w:t>
            </w:r>
          </w:p>
        </w:tc>
        <w:tc>
          <w:tcPr>
            <w:tcW w:w="527" w:type="pct"/>
            <w:tcBorders>
              <w:top w:val="nil"/>
              <w:left w:val="nil"/>
              <w:bottom w:val="nil"/>
              <w:right w:val="nil"/>
            </w:tcBorders>
          </w:tcPr>
          <w:p w14:paraId="2857C252"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49C692D7"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22.96% (.03)</w:t>
            </w:r>
          </w:p>
        </w:tc>
        <w:tc>
          <w:tcPr>
            <w:tcW w:w="742" w:type="pct"/>
            <w:tcBorders>
              <w:top w:val="nil"/>
              <w:left w:val="nil"/>
              <w:bottom w:val="nil"/>
              <w:right w:val="nil"/>
            </w:tcBorders>
          </w:tcPr>
          <w:p w14:paraId="61FC0DC8"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14.29% (.05)</w:t>
            </w:r>
          </w:p>
        </w:tc>
        <w:tc>
          <w:tcPr>
            <w:tcW w:w="913" w:type="pct"/>
            <w:tcBorders>
              <w:top w:val="nil"/>
              <w:left w:val="nil"/>
              <w:bottom w:val="nil"/>
              <w:right w:val="nil"/>
            </w:tcBorders>
          </w:tcPr>
          <w:p w14:paraId="1DA99D08"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24.42% (.03)</w:t>
            </w:r>
          </w:p>
        </w:tc>
        <w:tc>
          <w:tcPr>
            <w:tcW w:w="440" w:type="pct"/>
            <w:tcBorders>
              <w:top w:val="nil"/>
              <w:left w:val="nil"/>
              <w:bottom w:val="nil"/>
              <w:right w:val="nil"/>
            </w:tcBorders>
          </w:tcPr>
          <w:p w14:paraId="0EF9FA8D"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1.90</w:t>
            </w:r>
          </w:p>
        </w:tc>
        <w:tc>
          <w:tcPr>
            <w:tcW w:w="522" w:type="pct"/>
            <w:tcBorders>
              <w:top w:val="nil"/>
              <w:left w:val="nil"/>
              <w:bottom w:val="nil"/>
              <w:right w:val="nil"/>
            </w:tcBorders>
          </w:tcPr>
          <w:p w14:paraId="270DA101"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.06</w:t>
            </w:r>
          </w:p>
        </w:tc>
      </w:tr>
      <w:tr w:rsidR="0048282A" w:rsidRPr="00442034" w14:paraId="28889739" w14:textId="77777777" w:rsidTr="00BE5E6D">
        <w:trPr>
          <w:trHeight w:val="255"/>
        </w:trPr>
        <w:tc>
          <w:tcPr>
            <w:tcW w:w="1091" w:type="pct"/>
            <w:tcBorders>
              <w:top w:val="nil"/>
              <w:left w:val="nil"/>
              <w:bottom w:val="nil"/>
              <w:right w:val="nil"/>
            </w:tcBorders>
          </w:tcPr>
          <w:p w14:paraId="354426BA" w14:textId="77777777" w:rsidR="0048282A" w:rsidRPr="00442034" w:rsidRDefault="0048282A" w:rsidP="00BE5E6D">
            <w:pPr>
              <w:ind w:left="80"/>
              <w:rPr>
                <w:rFonts w:ascii="Times New Roman" w:hAnsi="Times New Roman" w:cs="Times New Roman"/>
                <w:sz w:val="20"/>
                <w:szCs w:val="20"/>
              </w:rPr>
            </w:pPr>
            <w:r w:rsidRPr="00442034">
              <w:rPr>
                <w:rFonts w:ascii="Times New Roman" w:hAnsi="Times New Roman" w:cs="Times New Roman"/>
                <w:sz w:val="20"/>
                <w:szCs w:val="20"/>
              </w:rPr>
              <w:t>Out-of-Home Care</w:t>
            </w:r>
          </w:p>
        </w:tc>
        <w:tc>
          <w:tcPr>
            <w:tcW w:w="527" w:type="pct"/>
            <w:tcBorders>
              <w:top w:val="nil"/>
              <w:left w:val="nil"/>
              <w:bottom w:val="nil"/>
              <w:right w:val="nil"/>
            </w:tcBorders>
          </w:tcPr>
          <w:p w14:paraId="128E85B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00AB7BCC"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12.59% (.02)</w:t>
            </w:r>
          </w:p>
        </w:tc>
        <w:tc>
          <w:tcPr>
            <w:tcW w:w="742" w:type="pct"/>
            <w:tcBorders>
              <w:top w:val="nil"/>
              <w:left w:val="nil"/>
              <w:bottom w:val="nil"/>
              <w:right w:val="nil"/>
            </w:tcBorders>
          </w:tcPr>
          <w:p w14:paraId="4DB8DFD4"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8.54% (.05)</w:t>
            </w:r>
          </w:p>
        </w:tc>
        <w:tc>
          <w:tcPr>
            <w:tcW w:w="913" w:type="pct"/>
            <w:tcBorders>
              <w:top w:val="nil"/>
              <w:left w:val="nil"/>
              <w:bottom w:val="nil"/>
              <w:right w:val="nil"/>
            </w:tcBorders>
          </w:tcPr>
          <w:p w14:paraId="486FB3FD"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13.27% (.02)</w:t>
            </w:r>
          </w:p>
        </w:tc>
        <w:tc>
          <w:tcPr>
            <w:tcW w:w="440" w:type="pct"/>
            <w:tcBorders>
              <w:top w:val="nil"/>
              <w:left w:val="nil"/>
              <w:bottom w:val="nil"/>
              <w:right w:val="nil"/>
            </w:tcBorders>
          </w:tcPr>
          <w:p w14:paraId="0058CC67"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0.83</w:t>
            </w:r>
          </w:p>
        </w:tc>
        <w:tc>
          <w:tcPr>
            <w:tcW w:w="522" w:type="pct"/>
            <w:tcBorders>
              <w:top w:val="nil"/>
              <w:left w:val="nil"/>
              <w:bottom w:val="nil"/>
              <w:right w:val="nil"/>
            </w:tcBorders>
          </w:tcPr>
          <w:p w14:paraId="69A63693"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.41</w:t>
            </w:r>
          </w:p>
        </w:tc>
      </w:tr>
      <w:tr w:rsidR="0048282A" w:rsidRPr="00442034" w14:paraId="15AE0AF6" w14:textId="77777777" w:rsidTr="00BE5E6D">
        <w:trPr>
          <w:trHeight w:val="453"/>
        </w:trPr>
        <w:tc>
          <w:tcPr>
            <w:tcW w:w="1091" w:type="pct"/>
            <w:tcBorders>
              <w:top w:val="nil"/>
              <w:left w:val="nil"/>
              <w:bottom w:val="nil"/>
              <w:right w:val="nil"/>
            </w:tcBorders>
          </w:tcPr>
          <w:p w14:paraId="1B1E2433" w14:textId="77777777" w:rsidR="0048282A" w:rsidRPr="00442034" w:rsidRDefault="0048282A" w:rsidP="00BE5E6D">
            <w:pPr>
              <w:ind w:left="255" w:hanging="175"/>
              <w:rPr>
                <w:rFonts w:ascii="Times New Roman" w:hAnsi="Times New Roman" w:cs="Times New Roman"/>
                <w:sz w:val="20"/>
                <w:szCs w:val="20"/>
              </w:rPr>
            </w:pPr>
            <w:r w:rsidRPr="00442034">
              <w:rPr>
                <w:rFonts w:ascii="Times New Roman" w:hAnsi="Times New Roman" w:cs="Times New Roman"/>
                <w:sz w:val="20"/>
                <w:szCs w:val="20"/>
              </w:rPr>
              <w:t>Household Below Poverty Line</w:t>
            </w:r>
          </w:p>
        </w:tc>
        <w:tc>
          <w:tcPr>
            <w:tcW w:w="527" w:type="pct"/>
            <w:tcBorders>
              <w:top w:val="nil"/>
              <w:left w:val="nil"/>
              <w:bottom w:val="nil"/>
              <w:right w:val="nil"/>
            </w:tcBorders>
          </w:tcPr>
          <w:p w14:paraId="6E5F7EB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608DD3B4"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58.02% (.03)</w:t>
            </w:r>
          </w:p>
        </w:tc>
        <w:tc>
          <w:tcPr>
            <w:tcW w:w="742" w:type="pct"/>
            <w:tcBorders>
              <w:top w:val="nil"/>
              <w:left w:val="nil"/>
              <w:bottom w:val="nil"/>
              <w:right w:val="nil"/>
            </w:tcBorders>
          </w:tcPr>
          <w:p w14:paraId="3BFF7F53"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62.84% (.09)</w:t>
            </w:r>
          </w:p>
        </w:tc>
        <w:tc>
          <w:tcPr>
            <w:tcW w:w="913" w:type="pct"/>
            <w:tcBorders>
              <w:top w:val="nil"/>
              <w:left w:val="nil"/>
              <w:bottom w:val="nil"/>
              <w:right w:val="nil"/>
            </w:tcBorders>
          </w:tcPr>
          <w:p w14:paraId="53C4724F"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57.21% (.04)</w:t>
            </w:r>
          </w:p>
        </w:tc>
        <w:tc>
          <w:tcPr>
            <w:tcW w:w="440" w:type="pct"/>
            <w:tcBorders>
              <w:top w:val="nil"/>
              <w:left w:val="nil"/>
              <w:bottom w:val="nil"/>
              <w:right w:val="nil"/>
            </w:tcBorders>
          </w:tcPr>
          <w:p w14:paraId="326234C4"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-0.57</w:t>
            </w:r>
          </w:p>
        </w:tc>
        <w:tc>
          <w:tcPr>
            <w:tcW w:w="522" w:type="pct"/>
            <w:tcBorders>
              <w:top w:val="nil"/>
              <w:left w:val="nil"/>
              <w:bottom w:val="nil"/>
              <w:right w:val="nil"/>
            </w:tcBorders>
          </w:tcPr>
          <w:p w14:paraId="7C8F048A"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.57</w:t>
            </w:r>
          </w:p>
        </w:tc>
      </w:tr>
      <w:tr w:rsidR="0048282A" w:rsidRPr="00442034" w14:paraId="71448895" w14:textId="77777777" w:rsidTr="00BE5E6D">
        <w:trPr>
          <w:trHeight w:val="183"/>
        </w:trPr>
        <w:tc>
          <w:tcPr>
            <w:tcW w:w="1091" w:type="pct"/>
            <w:tcBorders>
              <w:top w:val="nil"/>
              <w:left w:val="nil"/>
              <w:bottom w:val="nil"/>
              <w:right w:val="nil"/>
            </w:tcBorders>
          </w:tcPr>
          <w:p w14:paraId="50E73757" w14:textId="77777777" w:rsidR="0048282A" w:rsidRPr="00442034" w:rsidRDefault="0048282A" w:rsidP="00BE5E6D">
            <w:pPr>
              <w:ind w:left="80"/>
              <w:rPr>
                <w:rFonts w:ascii="Times New Roman" w:hAnsi="Times New Roman" w:cs="Times New Roman"/>
                <w:sz w:val="20"/>
                <w:szCs w:val="20"/>
              </w:rPr>
            </w:pPr>
            <w:r w:rsidRPr="00442034">
              <w:rPr>
                <w:rFonts w:ascii="Times New Roman" w:hAnsi="Times New Roman" w:cs="Times New Roman"/>
                <w:sz w:val="20"/>
                <w:szCs w:val="20"/>
              </w:rPr>
              <w:t>PSU Urban</w:t>
            </w:r>
          </w:p>
        </w:tc>
        <w:tc>
          <w:tcPr>
            <w:tcW w:w="527" w:type="pct"/>
            <w:tcBorders>
              <w:top w:val="nil"/>
              <w:left w:val="nil"/>
              <w:bottom w:val="nil"/>
              <w:right w:val="nil"/>
            </w:tcBorders>
          </w:tcPr>
          <w:p w14:paraId="5142D261"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0B8DC1E9"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84.59% (.05)</w:t>
            </w:r>
          </w:p>
        </w:tc>
        <w:tc>
          <w:tcPr>
            <w:tcW w:w="742" w:type="pct"/>
            <w:tcBorders>
              <w:top w:val="nil"/>
              <w:left w:val="nil"/>
              <w:bottom w:val="nil"/>
              <w:right w:val="nil"/>
            </w:tcBorders>
          </w:tcPr>
          <w:p w14:paraId="5854C5FC"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96.56% (.03)</w:t>
            </w:r>
          </w:p>
        </w:tc>
        <w:tc>
          <w:tcPr>
            <w:tcW w:w="913" w:type="pct"/>
            <w:tcBorders>
              <w:top w:val="nil"/>
              <w:left w:val="nil"/>
              <w:bottom w:val="nil"/>
              <w:right w:val="nil"/>
            </w:tcBorders>
          </w:tcPr>
          <w:p w14:paraId="473C332E"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82.57% (.06)</w:t>
            </w:r>
          </w:p>
        </w:tc>
        <w:tc>
          <w:tcPr>
            <w:tcW w:w="440" w:type="pct"/>
            <w:tcBorders>
              <w:top w:val="nil"/>
              <w:left w:val="nil"/>
              <w:bottom w:val="nil"/>
              <w:right w:val="nil"/>
            </w:tcBorders>
          </w:tcPr>
          <w:p w14:paraId="6B84555C"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-2.51</w:t>
            </w:r>
          </w:p>
        </w:tc>
        <w:tc>
          <w:tcPr>
            <w:tcW w:w="522" w:type="pct"/>
            <w:tcBorders>
              <w:top w:val="nil"/>
              <w:left w:val="nil"/>
              <w:bottom w:val="nil"/>
              <w:right w:val="nil"/>
            </w:tcBorders>
          </w:tcPr>
          <w:p w14:paraId="4ECB889B"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&lt; .05</w:t>
            </w:r>
          </w:p>
        </w:tc>
      </w:tr>
      <w:tr w:rsidR="0048282A" w:rsidRPr="00442034" w14:paraId="4AB62DBE" w14:textId="77777777" w:rsidTr="00BE5E6D">
        <w:trPr>
          <w:trHeight w:val="92"/>
        </w:trPr>
        <w:tc>
          <w:tcPr>
            <w:tcW w:w="1091" w:type="pct"/>
            <w:tcBorders>
              <w:top w:val="nil"/>
              <w:left w:val="nil"/>
              <w:bottom w:val="nil"/>
              <w:right w:val="nil"/>
            </w:tcBorders>
          </w:tcPr>
          <w:p w14:paraId="6D38BA02" w14:textId="77777777" w:rsidR="0048282A" w:rsidRPr="00442034" w:rsidRDefault="0048282A" w:rsidP="00BE5E6D">
            <w:pPr>
              <w:ind w:left="80"/>
              <w:rPr>
                <w:rFonts w:ascii="Times New Roman" w:hAnsi="Times New Roman" w:cs="Times New Roman"/>
                <w:sz w:val="20"/>
                <w:szCs w:val="20"/>
              </w:rPr>
            </w:pPr>
            <w:r w:rsidRPr="00442034">
              <w:rPr>
                <w:rFonts w:ascii="Times New Roman" w:hAnsi="Times New Roman" w:cs="Times New Roman"/>
                <w:sz w:val="20"/>
                <w:szCs w:val="20"/>
              </w:rPr>
              <w:t>Caregiver Relationship</w:t>
            </w:r>
          </w:p>
        </w:tc>
        <w:tc>
          <w:tcPr>
            <w:tcW w:w="527" w:type="pct"/>
            <w:tcBorders>
              <w:top w:val="nil"/>
              <w:left w:val="nil"/>
              <w:bottom w:val="nil"/>
              <w:right w:val="nil"/>
            </w:tcBorders>
          </w:tcPr>
          <w:p w14:paraId="3444BE90" w14:textId="77777777" w:rsidR="0048282A" w:rsidRPr="00442034" w:rsidRDefault="0048282A" w:rsidP="00BE5E6D">
            <w:pPr>
              <w:jc w:val="center"/>
              <w:rPr>
                <w:rFonts w:ascii="Times New Roman" w:hAnsi="Times New Roman" w:cs="Times New Roman"/>
                <w:sz w:val="20"/>
                <w:szCs w:val="20"/>
              </w:rPr>
            </w:pPr>
          </w:p>
        </w:tc>
        <w:tc>
          <w:tcPr>
            <w:tcW w:w="765" w:type="pct"/>
            <w:tcBorders>
              <w:top w:val="nil"/>
              <w:left w:val="nil"/>
              <w:bottom w:val="nil"/>
              <w:right w:val="nil"/>
            </w:tcBorders>
          </w:tcPr>
          <w:p w14:paraId="4C4F5A13" w14:textId="77777777" w:rsidR="0048282A" w:rsidRPr="00442034" w:rsidRDefault="0048282A" w:rsidP="00BE5E6D">
            <w:pPr>
              <w:tabs>
                <w:tab w:val="decimal" w:pos="350"/>
              </w:tabs>
              <w:jc w:val="center"/>
              <w:rPr>
                <w:rFonts w:ascii="Times New Roman" w:hAnsi="Times New Roman" w:cs="Times New Roman"/>
                <w:sz w:val="20"/>
                <w:szCs w:val="20"/>
              </w:rPr>
            </w:pPr>
          </w:p>
        </w:tc>
        <w:tc>
          <w:tcPr>
            <w:tcW w:w="742" w:type="pct"/>
            <w:tcBorders>
              <w:top w:val="nil"/>
              <w:left w:val="nil"/>
              <w:bottom w:val="nil"/>
              <w:right w:val="nil"/>
            </w:tcBorders>
          </w:tcPr>
          <w:p w14:paraId="1B3F7AD9" w14:textId="77777777" w:rsidR="0048282A" w:rsidRPr="00442034" w:rsidRDefault="0048282A" w:rsidP="00BE5E6D">
            <w:pPr>
              <w:tabs>
                <w:tab w:val="decimal" w:pos="435"/>
              </w:tabs>
              <w:jc w:val="center"/>
              <w:rPr>
                <w:rFonts w:ascii="Times New Roman" w:hAnsi="Times New Roman" w:cs="Times New Roman"/>
                <w:sz w:val="20"/>
                <w:szCs w:val="20"/>
              </w:rPr>
            </w:pPr>
          </w:p>
        </w:tc>
        <w:tc>
          <w:tcPr>
            <w:tcW w:w="913" w:type="pct"/>
            <w:tcBorders>
              <w:top w:val="nil"/>
              <w:left w:val="nil"/>
              <w:bottom w:val="nil"/>
              <w:right w:val="nil"/>
            </w:tcBorders>
          </w:tcPr>
          <w:p w14:paraId="6D58988B" w14:textId="77777777" w:rsidR="0048282A" w:rsidRPr="00442034" w:rsidRDefault="0048282A" w:rsidP="00BE5E6D">
            <w:pPr>
              <w:tabs>
                <w:tab w:val="decimal" w:pos="340"/>
              </w:tabs>
              <w:jc w:val="center"/>
              <w:rPr>
                <w:rFonts w:ascii="Times New Roman" w:hAnsi="Times New Roman" w:cs="Times New Roman"/>
                <w:sz w:val="20"/>
                <w:szCs w:val="20"/>
              </w:rPr>
            </w:pPr>
          </w:p>
        </w:tc>
        <w:tc>
          <w:tcPr>
            <w:tcW w:w="440" w:type="pct"/>
            <w:tcBorders>
              <w:top w:val="nil"/>
              <w:left w:val="nil"/>
              <w:bottom w:val="nil"/>
              <w:right w:val="nil"/>
            </w:tcBorders>
          </w:tcPr>
          <w:p w14:paraId="7AE0F1CC" w14:textId="77777777" w:rsidR="0048282A" w:rsidRPr="00442034" w:rsidRDefault="0048282A" w:rsidP="00BE5E6D">
            <w:pPr>
              <w:tabs>
                <w:tab w:val="decimal" w:pos="340"/>
              </w:tabs>
              <w:jc w:val="center"/>
              <w:rPr>
                <w:rFonts w:ascii="Times New Roman" w:hAnsi="Times New Roman" w:cs="Times New Roman"/>
                <w:sz w:val="20"/>
                <w:szCs w:val="20"/>
              </w:rPr>
            </w:pPr>
          </w:p>
        </w:tc>
        <w:tc>
          <w:tcPr>
            <w:tcW w:w="522" w:type="pct"/>
            <w:tcBorders>
              <w:top w:val="nil"/>
              <w:left w:val="nil"/>
              <w:bottom w:val="nil"/>
              <w:right w:val="nil"/>
            </w:tcBorders>
          </w:tcPr>
          <w:p w14:paraId="22A90F21" w14:textId="77777777" w:rsidR="0048282A" w:rsidRPr="00442034" w:rsidRDefault="0048282A" w:rsidP="00BE5E6D">
            <w:pPr>
              <w:tabs>
                <w:tab w:val="decimal" w:pos="340"/>
              </w:tabs>
              <w:jc w:val="center"/>
              <w:rPr>
                <w:rFonts w:ascii="Times New Roman" w:hAnsi="Times New Roman" w:cs="Times New Roman"/>
                <w:sz w:val="20"/>
                <w:szCs w:val="20"/>
              </w:rPr>
            </w:pPr>
          </w:p>
        </w:tc>
      </w:tr>
      <w:tr w:rsidR="0048282A" w:rsidRPr="00442034" w14:paraId="03EECE0E" w14:textId="77777777" w:rsidTr="00BE5E6D">
        <w:trPr>
          <w:trHeight w:val="92"/>
        </w:trPr>
        <w:tc>
          <w:tcPr>
            <w:tcW w:w="1091" w:type="pct"/>
            <w:tcBorders>
              <w:top w:val="nil"/>
              <w:left w:val="nil"/>
              <w:bottom w:val="nil"/>
              <w:right w:val="nil"/>
            </w:tcBorders>
          </w:tcPr>
          <w:p w14:paraId="4A05BA2C" w14:textId="77777777" w:rsidR="0048282A" w:rsidRPr="00442034" w:rsidRDefault="0048282A" w:rsidP="00BE5E6D">
            <w:pPr>
              <w:ind w:left="80" w:firstLine="180"/>
              <w:rPr>
                <w:rFonts w:ascii="Times New Roman" w:hAnsi="Times New Roman" w:cs="Times New Roman"/>
                <w:sz w:val="20"/>
                <w:szCs w:val="20"/>
              </w:rPr>
            </w:pPr>
            <w:r w:rsidRPr="00442034">
              <w:rPr>
                <w:rFonts w:ascii="Times New Roman" w:hAnsi="Times New Roman" w:cs="Times New Roman"/>
                <w:sz w:val="20"/>
                <w:szCs w:val="20"/>
              </w:rPr>
              <w:t>Parent</w:t>
            </w:r>
          </w:p>
        </w:tc>
        <w:tc>
          <w:tcPr>
            <w:tcW w:w="527" w:type="pct"/>
            <w:tcBorders>
              <w:top w:val="nil"/>
              <w:left w:val="nil"/>
              <w:bottom w:val="nil"/>
              <w:right w:val="nil"/>
            </w:tcBorders>
          </w:tcPr>
          <w:p w14:paraId="58C41641"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7596A782"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87.50% (.02)</w:t>
            </w:r>
          </w:p>
        </w:tc>
        <w:tc>
          <w:tcPr>
            <w:tcW w:w="742" w:type="pct"/>
            <w:tcBorders>
              <w:top w:val="nil"/>
              <w:left w:val="nil"/>
              <w:bottom w:val="nil"/>
              <w:right w:val="nil"/>
            </w:tcBorders>
          </w:tcPr>
          <w:p w14:paraId="2FA515A5"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91.02% (.05)</w:t>
            </w:r>
          </w:p>
        </w:tc>
        <w:tc>
          <w:tcPr>
            <w:tcW w:w="913" w:type="pct"/>
            <w:tcBorders>
              <w:top w:val="nil"/>
              <w:left w:val="nil"/>
              <w:bottom w:val="nil"/>
              <w:right w:val="nil"/>
            </w:tcBorders>
          </w:tcPr>
          <w:p w14:paraId="6B3C38AD"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86.91% (.02)</w:t>
            </w:r>
          </w:p>
        </w:tc>
        <w:tc>
          <w:tcPr>
            <w:tcW w:w="440" w:type="pct"/>
            <w:tcBorders>
              <w:top w:val="nil"/>
              <w:left w:val="nil"/>
              <w:bottom w:val="nil"/>
              <w:right w:val="nil"/>
            </w:tcBorders>
          </w:tcPr>
          <w:p w14:paraId="0057279B"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-0.71</w:t>
            </w:r>
          </w:p>
        </w:tc>
        <w:tc>
          <w:tcPr>
            <w:tcW w:w="522" w:type="pct"/>
            <w:tcBorders>
              <w:top w:val="nil"/>
              <w:left w:val="nil"/>
              <w:bottom w:val="nil"/>
              <w:right w:val="nil"/>
            </w:tcBorders>
          </w:tcPr>
          <w:p w14:paraId="2A972839"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.48</w:t>
            </w:r>
          </w:p>
        </w:tc>
      </w:tr>
      <w:tr w:rsidR="0048282A" w:rsidRPr="00442034" w14:paraId="3FA001FE" w14:textId="77777777" w:rsidTr="00BE5E6D">
        <w:trPr>
          <w:trHeight w:val="92"/>
        </w:trPr>
        <w:tc>
          <w:tcPr>
            <w:tcW w:w="1091" w:type="pct"/>
            <w:tcBorders>
              <w:top w:val="nil"/>
              <w:left w:val="nil"/>
              <w:bottom w:val="nil"/>
              <w:right w:val="nil"/>
            </w:tcBorders>
          </w:tcPr>
          <w:p w14:paraId="7B63AB8D" w14:textId="77777777" w:rsidR="0048282A" w:rsidRPr="00442034" w:rsidRDefault="0048282A" w:rsidP="00BE5E6D">
            <w:pPr>
              <w:ind w:left="80" w:firstLine="180"/>
              <w:rPr>
                <w:rFonts w:ascii="Times New Roman" w:hAnsi="Times New Roman" w:cs="Times New Roman"/>
                <w:sz w:val="20"/>
                <w:szCs w:val="20"/>
              </w:rPr>
            </w:pPr>
            <w:r w:rsidRPr="00442034">
              <w:rPr>
                <w:rFonts w:ascii="Times New Roman" w:hAnsi="Times New Roman" w:cs="Times New Roman"/>
                <w:sz w:val="20"/>
                <w:szCs w:val="20"/>
              </w:rPr>
              <w:t>Foster Parent</w:t>
            </w:r>
          </w:p>
        </w:tc>
        <w:tc>
          <w:tcPr>
            <w:tcW w:w="527" w:type="pct"/>
            <w:tcBorders>
              <w:top w:val="nil"/>
              <w:left w:val="nil"/>
              <w:bottom w:val="nil"/>
              <w:right w:val="nil"/>
            </w:tcBorders>
          </w:tcPr>
          <w:p w14:paraId="39B9307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nil"/>
              <w:right w:val="nil"/>
            </w:tcBorders>
          </w:tcPr>
          <w:p w14:paraId="108522D2"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3.06% (.01)</w:t>
            </w:r>
          </w:p>
        </w:tc>
        <w:tc>
          <w:tcPr>
            <w:tcW w:w="742" w:type="pct"/>
            <w:tcBorders>
              <w:top w:val="nil"/>
              <w:left w:val="nil"/>
              <w:bottom w:val="nil"/>
              <w:right w:val="nil"/>
            </w:tcBorders>
          </w:tcPr>
          <w:p w14:paraId="5E9580BE"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1.06% (.01)</w:t>
            </w:r>
          </w:p>
        </w:tc>
        <w:tc>
          <w:tcPr>
            <w:tcW w:w="913" w:type="pct"/>
            <w:tcBorders>
              <w:top w:val="nil"/>
              <w:left w:val="nil"/>
              <w:bottom w:val="nil"/>
              <w:right w:val="nil"/>
            </w:tcBorders>
          </w:tcPr>
          <w:p w14:paraId="2878EA8B"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3.40% (.01)</w:t>
            </w:r>
          </w:p>
        </w:tc>
        <w:tc>
          <w:tcPr>
            <w:tcW w:w="440" w:type="pct"/>
            <w:tcBorders>
              <w:top w:val="nil"/>
              <w:left w:val="nil"/>
              <w:bottom w:val="nil"/>
              <w:right w:val="nil"/>
            </w:tcBorders>
          </w:tcPr>
          <w:p w14:paraId="41CA9117"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1.97</w:t>
            </w:r>
          </w:p>
        </w:tc>
        <w:tc>
          <w:tcPr>
            <w:tcW w:w="522" w:type="pct"/>
            <w:tcBorders>
              <w:top w:val="nil"/>
              <w:left w:val="nil"/>
              <w:bottom w:val="nil"/>
              <w:right w:val="nil"/>
            </w:tcBorders>
          </w:tcPr>
          <w:p w14:paraId="132CFAD9"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&lt; .05</w:t>
            </w:r>
          </w:p>
        </w:tc>
      </w:tr>
      <w:tr w:rsidR="0048282A" w:rsidRPr="00442034" w14:paraId="7EDC8E4F" w14:textId="77777777" w:rsidTr="00BE5E6D">
        <w:trPr>
          <w:trHeight w:val="92"/>
        </w:trPr>
        <w:tc>
          <w:tcPr>
            <w:tcW w:w="1091" w:type="pct"/>
            <w:tcBorders>
              <w:top w:val="nil"/>
              <w:left w:val="nil"/>
              <w:bottom w:val="single" w:sz="4" w:space="0" w:color="auto"/>
              <w:right w:val="nil"/>
            </w:tcBorders>
          </w:tcPr>
          <w:p w14:paraId="787938B9" w14:textId="77777777" w:rsidR="0048282A" w:rsidRPr="00442034" w:rsidRDefault="0048282A" w:rsidP="00BE5E6D">
            <w:pPr>
              <w:ind w:left="80" w:firstLine="180"/>
              <w:rPr>
                <w:rFonts w:ascii="Times New Roman" w:hAnsi="Times New Roman" w:cs="Times New Roman"/>
                <w:sz w:val="20"/>
                <w:szCs w:val="20"/>
              </w:rPr>
            </w:pPr>
            <w:r w:rsidRPr="00442034">
              <w:rPr>
                <w:rFonts w:ascii="Times New Roman" w:hAnsi="Times New Roman" w:cs="Times New Roman"/>
                <w:sz w:val="20"/>
                <w:szCs w:val="20"/>
              </w:rPr>
              <w:t>Kinship Caregiver</w:t>
            </w:r>
          </w:p>
        </w:tc>
        <w:tc>
          <w:tcPr>
            <w:tcW w:w="527" w:type="pct"/>
            <w:tcBorders>
              <w:top w:val="nil"/>
              <w:left w:val="nil"/>
              <w:bottom w:val="single" w:sz="4" w:space="0" w:color="auto"/>
              <w:right w:val="nil"/>
            </w:tcBorders>
          </w:tcPr>
          <w:p w14:paraId="5D820E09"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0-100%</w:t>
            </w:r>
          </w:p>
        </w:tc>
        <w:tc>
          <w:tcPr>
            <w:tcW w:w="765" w:type="pct"/>
            <w:tcBorders>
              <w:top w:val="nil"/>
              <w:left w:val="nil"/>
              <w:bottom w:val="single" w:sz="4" w:space="0" w:color="auto"/>
              <w:right w:val="nil"/>
            </w:tcBorders>
          </w:tcPr>
          <w:p w14:paraId="616160A2" w14:textId="77777777" w:rsidR="0048282A" w:rsidRPr="00442034" w:rsidRDefault="0048282A" w:rsidP="00BE5E6D">
            <w:pPr>
              <w:tabs>
                <w:tab w:val="decimal" w:pos="350"/>
              </w:tabs>
              <w:jc w:val="center"/>
              <w:rPr>
                <w:rFonts w:ascii="Times New Roman" w:hAnsi="Times New Roman" w:cs="Times New Roman"/>
                <w:sz w:val="20"/>
                <w:szCs w:val="20"/>
              </w:rPr>
            </w:pPr>
            <w:r w:rsidRPr="00442034">
              <w:rPr>
                <w:rFonts w:ascii="Times New Roman" w:hAnsi="Times New Roman" w:cs="Times New Roman"/>
                <w:sz w:val="20"/>
                <w:szCs w:val="20"/>
              </w:rPr>
              <w:t>9.44% (.02)</w:t>
            </w:r>
          </w:p>
        </w:tc>
        <w:tc>
          <w:tcPr>
            <w:tcW w:w="742" w:type="pct"/>
            <w:tcBorders>
              <w:top w:val="nil"/>
              <w:left w:val="nil"/>
              <w:bottom w:val="single" w:sz="4" w:space="0" w:color="auto"/>
              <w:right w:val="nil"/>
            </w:tcBorders>
          </w:tcPr>
          <w:p w14:paraId="6FC5203C" w14:textId="77777777" w:rsidR="0048282A" w:rsidRPr="00442034" w:rsidRDefault="0048282A" w:rsidP="00BE5E6D">
            <w:pPr>
              <w:tabs>
                <w:tab w:val="decimal" w:pos="435"/>
              </w:tabs>
              <w:jc w:val="center"/>
              <w:rPr>
                <w:rFonts w:ascii="Times New Roman" w:hAnsi="Times New Roman" w:cs="Times New Roman"/>
                <w:sz w:val="20"/>
                <w:szCs w:val="20"/>
              </w:rPr>
            </w:pPr>
            <w:r w:rsidRPr="00442034">
              <w:rPr>
                <w:rFonts w:ascii="Times New Roman" w:hAnsi="Times New Roman" w:cs="Times New Roman"/>
                <w:sz w:val="20"/>
                <w:szCs w:val="20"/>
              </w:rPr>
              <w:t>7.92% (.05)</w:t>
            </w:r>
          </w:p>
        </w:tc>
        <w:tc>
          <w:tcPr>
            <w:tcW w:w="913" w:type="pct"/>
            <w:tcBorders>
              <w:top w:val="nil"/>
              <w:left w:val="nil"/>
              <w:bottom w:val="single" w:sz="4" w:space="0" w:color="auto"/>
              <w:right w:val="nil"/>
            </w:tcBorders>
          </w:tcPr>
          <w:p w14:paraId="78728186"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9.69% (.02)</w:t>
            </w:r>
          </w:p>
        </w:tc>
        <w:tc>
          <w:tcPr>
            <w:tcW w:w="440" w:type="pct"/>
            <w:tcBorders>
              <w:top w:val="nil"/>
              <w:left w:val="nil"/>
              <w:bottom w:val="single" w:sz="4" w:space="0" w:color="auto"/>
              <w:right w:val="nil"/>
            </w:tcBorders>
          </w:tcPr>
          <w:p w14:paraId="5BDFE8E4"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sz w:val="20"/>
                <w:szCs w:val="20"/>
              </w:rPr>
              <w:t>0.32</w:t>
            </w:r>
          </w:p>
        </w:tc>
        <w:tc>
          <w:tcPr>
            <w:tcW w:w="522" w:type="pct"/>
            <w:tcBorders>
              <w:top w:val="nil"/>
              <w:left w:val="nil"/>
              <w:bottom w:val="single" w:sz="4" w:space="0" w:color="auto"/>
              <w:right w:val="nil"/>
            </w:tcBorders>
          </w:tcPr>
          <w:p w14:paraId="37F64C5E" w14:textId="77777777" w:rsidR="0048282A" w:rsidRPr="00442034" w:rsidRDefault="0048282A" w:rsidP="00BE5E6D">
            <w:pPr>
              <w:tabs>
                <w:tab w:val="decimal" w:pos="340"/>
              </w:tabs>
              <w:jc w:val="center"/>
              <w:rPr>
                <w:rFonts w:ascii="Times New Roman" w:hAnsi="Times New Roman" w:cs="Times New Roman"/>
                <w:sz w:val="20"/>
                <w:szCs w:val="20"/>
              </w:rPr>
            </w:pPr>
            <w:r w:rsidRPr="00442034">
              <w:rPr>
                <w:rFonts w:ascii="Times New Roman" w:hAnsi="Times New Roman" w:cs="Times New Roman"/>
                <w:i/>
                <w:iCs/>
                <w:sz w:val="20"/>
                <w:szCs w:val="20"/>
              </w:rPr>
              <w:t xml:space="preserve">p </w:t>
            </w:r>
            <w:r w:rsidRPr="00442034">
              <w:rPr>
                <w:rFonts w:ascii="Times New Roman" w:hAnsi="Times New Roman" w:cs="Times New Roman"/>
                <w:sz w:val="20"/>
                <w:szCs w:val="20"/>
              </w:rPr>
              <w:t>= .75</w:t>
            </w:r>
          </w:p>
        </w:tc>
      </w:tr>
      <w:tr w:rsidR="0048282A" w:rsidRPr="00442034" w14:paraId="6098C173" w14:textId="77777777" w:rsidTr="00BE5E6D">
        <w:trPr>
          <w:trHeight w:val="92"/>
        </w:trPr>
        <w:tc>
          <w:tcPr>
            <w:tcW w:w="5000" w:type="pct"/>
            <w:gridSpan w:val="7"/>
            <w:tcBorders>
              <w:top w:val="single" w:sz="4" w:space="0" w:color="auto"/>
              <w:left w:val="nil"/>
              <w:bottom w:val="nil"/>
              <w:right w:val="nil"/>
            </w:tcBorders>
          </w:tcPr>
          <w:p w14:paraId="6E4C5692" w14:textId="77777777" w:rsidR="0048282A" w:rsidRPr="00442034" w:rsidRDefault="0048282A" w:rsidP="00BE5E6D">
            <w:pPr>
              <w:contextualSpacing/>
              <w:rPr>
                <w:rFonts w:ascii="Times New Roman" w:hAnsi="Times New Roman" w:cs="Times New Roman"/>
                <w:sz w:val="20"/>
                <w:szCs w:val="20"/>
              </w:rPr>
            </w:pPr>
            <w:r w:rsidRPr="00442034">
              <w:rPr>
                <w:rFonts w:ascii="Times New Roman" w:hAnsi="Times New Roman" w:cs="Times New Roman"/>
                <w:sz w:val="20"/>
                <w:szCs w:val="20"/>
              </w:rPr>
              <w:t>Source: National Survey of Child Well-Being (NSCAW II)</w:t>
            </w:r>
          </w:p>
          <w:p w14:paraId="01A21235" w14:textId="1BDE30F8" w:rsidR="0048282A" w:rsidRPr="00442034" w:rsidRDefault="0048282A" w:rsidP="00BE5E6D">
            <w:pPr>
              <w:contextualSpacing/>
              <w:rPr>
                <w:rFonts w:ascii="Times New Roman" w:eastAsia="Times New Roman" w:hAnsi="Times New Roman" w:cs="Times New Roman"/>
                <w:sz w:val="20"/>
                <w:szCs w:val="20"/>
              </w:rPr>
            </w:pPr>
            <w:proofErr w:type="spellStart"/>
            <w:r w:rsidRPr="00442034">
              <w:rPr>
                <w:rFonts w:ascii="Times New Roman" w:eastAsia="Times New Roman" w:hAnsi="Times New Roman" w:cs="Times New Roman"/>
                <w:sz w:val="20"/>
                <w:szCs w:val="20"/>
                <w:vertAlign w:val="superscript"/>
              </w:rPr>
              <w:t>a</w:t>
            </w:r>
            <w:r w:rsidRPr="00442034">
              <w:rPr>
                <w:rFonts w:ascii="Times New Roman" w:eastAsia="Times New Roman" w:hAnsi="Times New Roman" w:cs="Times New Roman"/>
                <w:sz w:val="20"/>
                <w:szCs w:val="20"/>
              </w:rPr>
              <w:t>LGBQ</w:t>
            </w:r>
            <w:proofErr w:type="spellEnd"/>
            <w:r w:rsidRPr="00442034">
              <w:rPr>
                <w:rFonts w:ascii="Times New Roman" w:eastAsia="Times New Roman" w:hAnsi="Times New Roman" w:cs="Times New Roman"/>
                <w:sz w:val="20"/>
                <w:szCs w:val="20"/>
              </w:rPr>
              <w:t xml:space="preserve"> differences come from a linear combination test of the relevant proportion/mean across the youth. Here, the value for </w:t>
            </w:r>
            <w:r w:rsidR="000C03C1">
              <w:rPr>
                <w:rFonts w:ascii="Times New Roman" w:eastAsia="Times New Roman" w:hAnsi="Times New Roman" w:cs="Times New Roman"/>
                <w:sz w:val="20"/>
                <w:szCs w:val="20"/>
              </w:rPr>
              <w:t>LGBQ</w:t>
            </w:r>
            <w:r w:rsidRPr="00442034">
              <w:rPr>
                <w:rFonts w:ascii="Times New Roman" w:eastAsia="Times New Roman" w:hAnsi="Times New Roman" w:cs="Times New Roman"/>
                <w:sz w:val="20"/>
                <w:szCs w:val="20"/>
              </w:rPr>
              <w:t xml:space="preserve"> youth is subtracted from the value of </w:t>
            </w:r>
            <w:r w:rsidR="000C03C1">
              <w:rPr>
                <w:rFonts w:ascii="Times New Roman" w:eastAsia="Times New Roman" w:hAnsi="Times New Roman" w:cs="Times New Roman"/>
                <w:sz w:val="20"/>
                <w:szCs w:val="20"/>
              </w:rPr>
              <w:t>heterosexual</w:t>
            </w:r>
            <w:r w:rsidR="000C03C1" w:rsidRPr="00442034">
              <w:rPr>
                <w:rFonts w:ascii="Times New Roman" w:eastAsia="Times New Roman" w:hAnsi="Times New Roman" w:cs="Times New Roman"/>
                <w:sz w:val="20"/>
                <w:szCs w:val="20"/>
              </w:rPr>
              <w:t xml:space="preserve"> </w:t>
            </w:r>
            <w:r w:rsidRPr="00442034">
              <w:rPr>
                <w:rFonts w:ascii="Times New Roman" w:eastAsia="Times New Roman" w:hAnsi="Times New Roman" w:cs="Times New Roman"/>
                <w:sz w:val="20"/>
                <w:szCs w:val="20"/>
              </w:rPr>
              <w:t xml:space="preserve">youth. A positive difference represents </w:t>
            </w:r>
            <w:r w:rsidR="000C03C1">
              <w:rPr>
                <w:rFonts w:ascii="Times New Roman" w:eastAsia="Times New Roman" w:hAnsi="Times New Roman" w:cs="Times New Roman"/>
                <w:sz w:val="20"/>
                <w:szCs w:val="20"/>
              </w:rPr>
              <w:t>heterosexual</w:t>
            </w:r>
            <w:r w:rsidR="000C03C1" w:rsidRPr="00442034">
              <w:rPr>
                <w:rFonts w:ascii="Times New Roman" w:eastAsia="Times New Roman" w:hAnsi="Times New Roman" w:cs="Times New Roman"/>
                <w:sz w:val="20"/>
                <w:szCs w:val="20"/>
              </w:rPr>
              <w:t xml:space="preserve"> </w:t>
            </w:r>
            <w:r w:rsidRPr="00442034">
              <w:rPr>
                <w:rFonts w:ascii="Times New Roman" w:eastAsia="Times New Roman" w:hAnsi="Times New Roman" w:cs="Times New Roman"/>
                <w:sz w:val="20"/>
                <w:szCs w:val="20"/>
              </w:rPr>
              <w:t xml:space="preserve">youth having a larger proportion/mean in our analytical sample and a negative value means that </w:t>
            </w:r>
            <w:r w:rsidR="000C03C1">
              <w:rPr>
                <w:rFonts w:ascii="Times New Roman" w:eastAsia="Times New Roman" w:hAnsi="Times New Roman" w:cs="Times New Roman"/>
                <w:sz w:val="20"/>
                <w:szCs w:val="20"/>
              </w:rPr>
              <w:t>LGBQ</w:t>
            </w:r>
            <w:r w:rsidR="000C03C1" w:rsidRPr="00442034">
              <w:rPr>
                <w:rFonts w:ascii="Times New Roman" w:eastAsia="Times New Roman" w:hAnsi="Times New Roman" w:cs="Times New Roman"/>
                <w:sz w:val="20"/>
                <w:szCs w:val="20"/>
              </w:rPr>
              <w:t xml:space="preserve"> </w:t>
            </w:r>
            <w:r w:rsidRPr="00442034">
              <w:rPr>
                <w:rFonts w:ascii="Times New Roman" w:eastAsia="Times New Roman" w:hAnsi="Times New Roman" w:cs="Times New Roman"/>
                <w:sz w:val="20"/>
                <w:szCs w:val="20"/>
              </w:rPr>
              <w:t>youth have a larger proportion/mean.</w:t>
            </w:r>
          </w:p>
          <w:p w14:paraId="41A135C6" w14:textId="77777777" w:rsidR="0048282A" w:rsidRPr="00442034" w:rsidRDefault="0048282A" w:rsidP="00BE5E6D">
            <w:pPr>
              <w:contextualSpacing/>
              <w:rPr>
                <w:rFonts w:ascii="Times New Roman" w:hAnsi="Times New Roman" w:cs="Times New Roman"/>
                <w:sz w:val="20"/>
                <w:szCs w:val="20"/>
              </w:rPr>
            </w:pPr>
          </w:p>
        </w:tc>
      </w:tr>
    </w:tbl>
    <w:p w14:paraId="5F4239E2" w14:textId="77777777" w:rsidR="0048282A" w:rsidRDefault="0048282A" w:rsidP="0048282A">
      <w:pPr>
        <w:contextualSpacing/>
        <w:rPr>
          <w:rFonts w:ascii="Times New Roman" w:hAnsi="Times New Roman" w:cs="Times New Roman"/>
          <w:i/>
          <w:iCs/>
          <w:sz w:val="24"/>
          <w:szCs w:val="24"/>
        </w:rPr>
      </w:pPr>
    </w:p>
    <w:p w14:paraId="017BCBC6" w14:textId="77777777" w:rsidR="00442034" w:rsidRPr="00442034" w:rsidRDefault="00442034" w:rsidP="0048282A">
      <w:pPr>
        <w:contextualSpacing/>
        <w:rPr>
          <w:rFonts w:ascii="Times New Roman" w:hAnsi="Times New Roman" w:cs="Times New Roman"/>
          <w:i/>
          <w:iCs/>
          <w:sz w:val="24"/>
          <w:szCs w:val="24"/>
        </w:rPr>
      </w:pPr>
    </w:p>
    <w:p w14:paraId="0AB37C87" w14:textId="77777777" w:rsidR="0048282A" w:rsidRPr="00442034" w:rsidRDefault="0048282A" w:rsidP="00C37F60">
      <w:pPr>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lastRenderedPageBreak/>
        <w:t>Multivariate Analyses for Having a Family</w:t>
      </w:r>
    </w:p>
    <w:p w14:paraId="22BD1053" w14:textId="6F98F952"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The multinomial logistic regression (MLR) analyses allow us to estimate whether being LGBQ </w:t>
      </w:r>
      <w:r w:rsidR="00502A09" w:rsidRPr="00442034">
        <w:rPr>
          <w:rFonts w:ascii="Times New Roman" w:hAnsi="Times New Roman" w:cs="Times New Roman"/>
          <w:sz w:val="24"/>
          <w:szCs w:val="24"/>
        </w:rPr>
        <w:t>influences</w:t>
      </w:r>
      <w:r w:rsidRPr="00442034">
        <w:rPr>
          <w:rFonts w:ascii="Times New Roman" w:hAnsi="Times New Roman" w:cs="Times New Roman"/>
          <w:sz w:val="24"/>
          <w:szCs w:val="24"/>
        </w:rPr>
        <w:t xml:space="preserve"> future expectations alone or in combination with sources of social support. Table 2 presents MLR results for expectations of having a family, without interaction effects. There were too few respondents for expectations for having a family “already happened,” (n = 7), so these youth were excluded in this analysis. Column 1 presents the comparison of “Some Chance” of having a family compared to “No Chance,” and the main effects of sexual orientation, peer support, and relationship with caregiver were not significant. Of the control variables, youth who identified as “Other Race” had significantly lower log odds of reporting some chance of having a family compared to White Non-Hispanic youth (β = -5.37, </w:t>
      </w:r>
      <w:r w:rsidRPr="00442034">
        <w:rPr>
          <w:rFonts w:ascii="Times New Roman" w:hAnsi="Times New Roman" w:cs="Times New Roman"/>
          <w:i/>
          <w:iCs/>
          <w:sz w:val="24"/>
          <w:szCs w:val="24"/>
        </w:rPr>
        <w:t>p</w:t>
      </w:r>
      <w:r w:rsidRPr="00442034">
        <w:rPr>
          <w:rFonts w:ascii="Times New Roman" w:hAnsi="Times New Roman" w:cs="Times New Roman"/>
          <w:sz w:val="24"/>
          <w:szCs w:val="24"/>
        </w:rPr>
        <w:t xml:space="preserve"> &lt; 0.001), and youth who were older also had significantly lower log odds of reporting some chance of having a family. Being currently placed with a foster parent was significantly associated with 4.70 higher log odds of reporting some chance of having a family compared to residing with biological parents (</w:t>
      </w:r>
      <w:r w:rsidRPr="00442034">
        <w:rPr>
          <w:rFonts w:ascii="Times New Roman" w:hAnsi="Times New Roman" w:cs="Times New Roman"/>
          <w:i/>
          <w:iCs/>
          <w:sz w:val="24"/>
          <w:szCs w:val="24"/>
        </w:rPr>
        <w:t>p</w:t>
      </w:r>
      <w:r w:rsidRPr="00442034">
        <w:rPr>
          <w:rFonts w:ascii="Times New Roman" w:hAnsi="Times New Roman" w:cs="Times New Roman"/>
          <w:sz w:val="24"/>
          <w:szCs w:val="24"/>
        </w:rPr>
        <w:t xml:space="preserve"> &lt; 0.05). Having a substantiated report, experiencing sexual abuse, and ever being placed in out-of-home care all significantly lowered the log odds of reporting some chance of having a family (β = -1.94, -2.75, and -3.90 respectively). </w:t>
      </w:r>
    </w:p>
    <w:p w14:paraId="4A280C5B" w14:textId="77777777"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Column 2 in Table 2 illustrates the comparisons for “About a 50-50 Chance” and “No Chance” of having a family. Again, the main effects of sexual orientation, peer support, and relationship with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are not significant. In this model, Black non-Hispanic youth and youth of other races had significantly lower log odds of reporting a 50-50 chance of having a family compared to White non-Hispanic youth. Gender was also marginally significant in this model, indicating that females had lower log odds of reporting a 50-50 chance of having a family compared to males. Age, substantiated report, and substance related maltreatment reports were </w:t>
      </w:r>
      <w:r w:rsidRPr="00442034">
        <w:rPr>
          <w:rFonts w:ascii="Times New Roman" w:hAnsi="Times New Roman" w:cs="Times New Roman"/>
          <w:sz w:val="24"/>
          <w:szCs w:val="24"/>
        </w:rPr>
        <w:lastRenderedPageBreak/>
        <w:t>associated with significantly lower log odds for indicating a 50-50 chance of having a family versus no chance.</w:t>
      </w:r>
    </w:p>
    <w:tbl>
      <w:tblPr>
        <w:tblW w:w="5048" w:type="pct"/>
        <w:tblLook w:val="0000" w:firstRow="0" w:lastRow="0" w:firstColumn="0" w:lastColumn="0" w:noHBand="0" w:noVBand="0"/>
      </w:tblPr>
      <w:tblGrid>
        <w:gridCol w:w="9450"/>
      </w:tblGrid>
      <w:tr w:rsidR="0048282A" w:rsidRPr="00442034" w14:paraId="195D28BC" w14:textId="77777777" w:rsidTr="00BE5E6D">
        <w:tc>
          <w:tcPr>
            <w:tcW w:w="5000" w:type="pct"/>
            <w:tcBorders>
              <w:left w:val="nil"/>
              <w:right w:val="nil"/>
            </w:tcBorders>
          </w:tcPr>
          <w:p w14:paraId="7D6ECE7B" w14:textId="77777777" w:rsidR="0048282A" w:rsidRPr="00442034" w:rsidRDefault="0048282A" w:rsidP="00BE5E6D">
            <w:pPr>
              <w:spacing w:line="240" w:lineRule="auto"/>
              <w:contextualSpacing/>
              <w:rPr>
                <w:rFonts w:ascii="Times New Roman" w:hAnsi="Times New Roman" w:cs="Times New Roman"/>
                <w:b/>
                <w:bCs/>
              </w:rPr>
            </w:pPr>
            <w:r w:rsidRPr="00442034">
              <w:rPr>
                <w:rFonts w:ascii="Times New Roman" w:hAnsi="Times New Roman" w:cs="Times New Roman"/>
                <w:b/>
                <w:bCs/>
              </w:rPr>
              <w:t xml:space="preserve">Table 2. Main Effects Multinomial Logistic Regression of Expectations for Having a Family on </w:t>
            </w:r>
          </w:p>
          <w:p w14:paraId="1EF43335" w14:textId="77777777" w:rsidR="0048282A" w:rsidRPr="00442034" w:rsidRDefault="0048282A" w:rsidP="00BE5E6D">
            <w:pPr>
              <w:spacing w:line="240" w:lineRule="auto"/>
              <w:contextualSpacing/>
              <w:rPr>
                <w:rFonts w:ascii="Times New Roman" w:hAnsi="Times New Roman" w:cs="Times New Roman"/>
                <w:b/>
                <w:bCs/>
                <w:sz w:val="20"/>
                <w:szCs w:val="20"/>
              </w:rPr>
            </w:pPr>
            <w:r w:rsidRPr="00442034">
              <w:rPr>
                <w:rFonts w:ascii="Times New Roman" w:hAnsi="Times New Roman" w:cs="Times New Roman"/>
                <w:b/>
                <w:bCs/>
              </w:rPr>
              <w:t>Sexual Orientation, Peer Support, and Relationship with Caregiver Compared to No Chance</w:t>
            </w:r>
          </w:p>
        </w:tc>
      </w:tr>
    </w:tbl>
    <w:tbl>
      <w:tblPr>
        <w:tblStyle w:val="TableGrid"/>
        <w:tblW w:w="9377" w:type="dxa"/>
        <w:tblLook w:val="04A0" w:firstRow="1" w:lastRow="0" w:firstColumn="1" w:lastColumn="0" w:noHBand="0" w:noVBand="1"/>
      </w:tblPr>
      <w:tblGrid>
        <w:gridCol w:w="1713"/>
        <w:gridCol w:w="1532"/>
        <w:gridCol w:w="2073"/>
        <w:gridCol w:w="1983"/>
        <w:gridCol w:w="2076"/>
      </w:tblGrid>
      <w:tr w:rsidR="0048282A" w:rsidRPr="00442034" w14:paraId="385ED34A" w14:textId="77777777" w:rsidTr="00BD167B">
        <w:trPr>
          <w:trHeight w:val="454"/>
        </w:trPr>
        <w:tc>
          <w:tcPr>
            <w:tcW w:w="1713" w:type="dxa"/>
            <w:tcBorders>
              <w:left w:val="nil"/>
              <w:bottom w:val="single" w:sz="4" w:space="0" w:color="auto"/>
              <w:right w:val="nil"/>
            </w:tcBorders>
          </w:tcPr>
          <w:p w14:paraId="25F07BC8" w14:textId="77777777" w:rsidR="0048282A" w:rsidRPr="00442034" w:rsidRDefault="0048282A" w:rsidP="00BE5E6D">
            <w:pPr>
              <w:rPr>
                <w:rFonts w:ascii="Times New Roman" w:hAnsi="Times New Roman" w:cs="Times New Roman"/>
                <w:sz w:val="20"/>
                <w:szCs w:val="20"/>
              </w:rPr>
            </w:pPr>
          </w:p>
        </w:tc>
        <w:tc>
          <w:tcPr>
            <w:tcW w:w="1532" w:type="dxa"/>
            <w:tcBorders>
              <w:left w:val="nil"/>
              <w:bottom w:val="single" w:sz="4" w:space="0" w:color="auto"/>
              <w:right w:val="nil"/>
            </w:tcBorders>
          </w:tcPr>
          <w:p w14:paraId="15C96613"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Some Chance</w:t>
            </w:r>
          </w:p>
          <w:p w14:paraId="6A5DA624" w14:textId="77777777" w:rsidR="0048282A" w:rsidRPr="00442034" w:rsidRDefault="0048282A" w:rsidP="00BE5E6D">
            <w:pPr>
              <w:tabs>
                <w:tab w:val="decimal" w:pos="672"/>
              </w:tabs>
              <w:jc w:val="center"/>
              <w:rPr>
                <w:rFonts w:ascii="Times New Roman" w:hAnsi="Times New Roman" w:cs="Times New Roman"/>
                <w:i/>
                <w:iCs/>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2073" w:type="dxa"/>
            <w:tcBorders>
              <w:left w:val="nil"/>
              <w:bottom w:val="single" w:sz="4" w:space="0" w:color="auto"/>
              <w:right w:val="nil"/>
            </w:tcBorders>
          </w:tcPr>
          <w:p w14:paraId="25BB989C"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 xml:space="preserve">        About 50-50</w:t>
            </w:r>
          </w:p>
          <w:p w14:paraId="28DA50DF"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 xml:space="preserve">      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1983" w:type="dxa"/>
            <w:tcBorders>
              <w:left w:val="nil"/>
              <w:bottom w:val="single" w:sz="4" w:space="0" w:color="auto"/>
              <w:right w:val="nil"/>
            </w:tcBorders>
          </w:tcPr>
          <w:p w14:paraId="5A5D3754"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Pretty Likely</w:t>
            </w:r>
          </w:p>
          <w:p w14:paraId="452073D2"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2073" w:type="dxa"/>
            <w:tcBorders>
              <w:left w:val="nil"/>
              <w:bottom w:val="single" w:sz="4" w:space="0" w:color="auto"/>
              <w:right w:val="nil"/>
            </w:tcBorders>
          </w:tcPr>
          <w:p w14:paraId="0908251F"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It Will Happen</w:t>
            </w:r>
          </w:p>
          <w:p w14:paraId="1884C3F9"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r>
      <w:tr w:rsidR="0048282A" w:rsidRPr="00442034" w14:paraId="66DF09D4" w14:textId="77777777" w:rsidTr="00BD167B">
        <w:trPr>
          <w:trHeight w:val="219"/>
        </w:trPr>
        <w:tc>
          <w:tcPr>
            <w:tcW w:w="1713" w:type="dxa"/>
            <w:tcBorders>
              <w:top w:val="single" w:sz="4" w:space="0" w:color="auto"/>
              <w:left w:val="nil"/>
              <w:bottom w:val="nil"/>
              <w:right w:val="nil"/>
            </w:tcBorders>
          </w:tcPr>
          <w:p w14:paraId="28DCA1B0"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LGBQ Youth</w:t>
            </w:r>
          </w:p>
        </w:tc>
        <w:tc>
          <w:tcPr>
            <w:tcW w:w="1532" w:type="dxa"/>
            <w:tcBorders>
              <w:top w:val="single" w:sz="4" w:space="0" w:color="auto"/>
              <w:left w:val="nil"/>
              <w:bottom w:val="nil"/>
              <w:right w:val="nil"/>
            </w:tcBorders>
          </w:tcPr>
          <w:p w14:paraId="3333B4AE"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0.60 (.96)</w:t>
            </w:r>
          </w:p>
        </w:tc>
        <w:tc>
          <w:tcPr>
            <w:tcW w:w="2073" w:type="dxa"/>
            <w:tcBorders>
              <w:top w:val="single" w:sz="4" w:space="0" w:color="auto"/>
              <w:left w:val="nil"/>
              <w:bottom w:val="nil"/>
              <w:right w:val="nil"/>
            </w:tcBorders>
          </w:tcPr>
          <w:p w14:paraId="61A74596" w14:textId="77777777" w:rsidR="0048282A" w:rsidRPr="00442034" w:rsidRDefault="0048282A" w:rsidP="00BE5E6D">
            <w:pPr>
              <w:tabs>
                <w:tab w:val="decimal" w:pos="705"/>
              </w:tabs>
              <w:rPr>
                <w:rFonts w:ascii="Times New Roman" w:hAnsi="Times New Roman" w:cs="Times New Roman"/>
                <w:sz w:val="20"/>
                <w:szCs w:val="20"/>
              </w:rPr>
            </w:pPr>
            <w:r w:rsidRPr="00442034">
              <w:rPr>
                <w:rFonts w:ascii="Times New Roman" w:hAnsi="Times New Roman" w:cs="Times New Roman"/>
                <w:sz w:val="20"/>
                <w:szCs w:val="20"/>
              </w:rPr>
              <w:t>-1.12 (.89)</w:t>
            </w:r>
          </w:p>
        </w:tc>
        <w:tc>
          <w:tcPr>
            <w:tcW w:w="1983" w:type="dxa"/>
            <w:tcBorders>
              <w:top w:val="single" w:sz="4" w:space="0" w:color="auto"/>
              <w:left w:val="nil"/>
              <w:bottom w:val="nil"/>
              <w:right w:val="nil"/>
            </w:tcBorders>
          </w:tcPr>
          <w:p w14:paraId="6925652E"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-1.62 (.84)</w:t>
            </w:r>
            <w:r w:rsidRPr="00442034">
              <w:rPr>
                <w:rFonts w:ascii="Times New Roman" w:hAnsi="Times New Roman" w:cs="Times New Roman"/>
                <w:sz w:val="20"/>
                <w:szCs w:val="20"/>
                <w:vertAlign w:val="superscript"/>
              </w:rPr>
              <w:t xml:space="preserve"> †</w:t>
            </w:r>
          </w:p>
        </w:tc>
        <w:tc>
          <w:tcPr>
            <w:tcW w:w="2073" w:type="dxa"/>
            <w:tcBorders>
              <w:top w:val="single" w:sz="4" w:space="0" w:color="auto"/>
              <w:left w:val="nil"/>
              <w:bottom w:val="nil"/>
              <w:right w:val="nil"/>
            </w:tcBorders>
          </w:tcPr>
          <w:p w14:paraId="5AA77FCF" w14:textId="77777777" w:rsidR="0048282A" w:rsidRPr="00442034" w:rsidRDefault="0048282A" w:rsidP="00BE5E6D">
            <w:pPr>
              <w:tabs>
                <w:tab w:val="decimal" w:pos="615"/>
              </w:tabs>
              <w:rPr>
                <w:rFonts w:ascii="Times New Roman" w:hAnsi="Times New Roman" w:cs="Times New Roman"/>
                <w:sz w:val="20"/>
                <w:szCs w:val="20"/>
                <w:vertAlign w:val="superscript"/>
              </w:rPr>
            </w:pPr>
            <w:r w:rsidRPr="00442034">
              <w:rPr>
                <w:rFonts w:ascii="Times New Roman" w:hAnsi="Times New Roman" w:cs="Times New Roman"/>
                <w:sz w:val="20"/>
                <w:szCs w:val="20"/>
              </w:rPr>
              <w:t>-1.71 (.88)</w:t>
            </w:r>
            <w:r w:rsidRPr="00442034">
              <w:rPr>
                <w:rFonts w:ascii="Times New Roman" w:hAnsi="Times New Roman" w:cs="Times New Roman"/>
                <w:sz w:val="20"/>
                <w:szCs w:val="20"/>
                <w:vertAlign w:val="superscript"/>
              </w:rPr>
              <w:t xml:space="preserve"> †</w:t>
            </w:r>
          </w:p>
        </w:tc>
      </w:tr>
      <w:tr w:rsidR="0048282A" w:rsidRPr="00442034" w14:paraId="70E26B48" w14:textId="77777777" w:rsidTr="00BD167B">
        <w:trPr>
          <w:trHeight w:val="235"/>
        </w:trPr>
        <w:tc>
          <w:tcPr>
            <w:tcW w:w="1713" w:type="dxa"/>
            <w:tcBorders>
              <w:top w:val="nil"/>
              <w:left w:val="nil"/>
              <w:bottom w:val="nil"/>
              <w:right w:val="nil"/>
            </w:tcBorders>
          </w:tcPr>
          <w:p w14:paraId="1588FDDC"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Peer Support</w:t>
            </w:r>
          </w:p>
        </w:tc>
        <w:tc>
          <w:tcPr>
            <w:tcW w:w="1532" w:type="dxa"/>
            <w:tcBorders>
              <w:top w:val="nil"/>
              <w:left w:val="nil"/>
              <w:bottom w:val="nil"/>
              <w:right w:val="nil"/>
            </w:tcBorders>
          </w:tcPr>
          <w:p w14:paraId="437F8D5B"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0.02 (.04)</w:t>
            </w:r>
          </w:p>
        </w:tc>
        <w:tc>
          <w:tcPr>
            <w:tcW w:w="2073" w:type="dxa"/>
            <w:tcBorders>
              <w:top w:val="nil"/>
              <w:left w:val="nil"/>
              <w:bottom w:val="nil"/>
              <w:right w:val="nil"/>
            </w:tcBorders>
          </w:tcPr>
          <w:p w14:paraId="0F5EAAE3" w14:textId="77777777" w:rsidR="0048282A" w:rsidRPr="00442034" w:rsidRDefault="0048282A" w:rsidP="00BE5E6D">
            <w:pPr>
              <w:tabs>
                <w:tab w:val="decimal" w:pos="705"/>
              </w:tabs>
              <w:rPr>
                <w:rFonts w:ascii="Times New Roman" w:hAnsi="Times New Roman" w:cs="Times New Roman"/>
                <w:sz w:val="20"/>
                <w:szCs w:val="20"/>
              </w:rPr>
            </w:pPr>
            <w:r w:rsidRPr="00442034">
              <w:rPr>
                <w:rFonts w:ascii="Times New Roman" w:hAnsi="Times New Roman" w:cs="Times New Roman"/>
                <w:sz w:val="20"/>
                <w:szCs w:val="20"/>
              </w:rPr>
              <w:t>-0.0003 (.03)</w:t>
            </w:r>
          </w:p>
        </w:tc>
        <w:tc>
          <w:tcPr>
            <w:tcW w:w="1983" w:type="dxa"/>
            <w:tcBorders>
              <w:top w:val="nil"/>
              <w:left w:val="nil"/>
              <w:bottom w:val="nil"/>
              <w:right w:val="nil"/>
            </w:tcBorders>
          </w:tcPr>
          <w:p w14:paraId="3DCE7D3D"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0.036 (.03)</w:t>
            </w:r>
          </w:p>
        </w:tc>
        <w:tc>
          <w:tcPr>
            <w:tcW w:w="2073" w:type="dxa"/>
            <w:tcBorders>
              <w:top w:val="nil"/>
              <w:left w:val="nil"/>
              <w:bottom w:val="nil"/>
              <w:right w:val="nil"/>
            </w:tcBorders>
          </w:tcPr>
          <w:p w14:paraId="35A75E89" w14:textId="77777777" w:rsidR="0048282A" w:rsidRPr="00442034" w:rsidRDefault="0048282A" w:rsidP="00BE5E6D">
            <w:pPr>
              <w:tabs>
                <w:tab w:val="decimal" w:pos="615"/>
              </w:tabs>
              <w:rPr>
                <w:rFonts w:ascii="Times New Roman" w:hAnsi="Times New Roman" w:cs="Times New Roman"/>
                <w:sz w:val="20"/>
                <w:szCs w:val="20"/>
              </w:rPr>
            </w:pPr>
            <w:r w:rsidRPr="00442034">
              <w:rPr>
                <w:rFonts w:ascii="Times New Roman" w:hAnsi="Times New Roman" w:cs="Times New Roman"/>
                <w:sz w:val="20"/>
                <w:szCs w:val="20"/>
              </w:rPr>
              <w:t>0.0078 (.03)</w:t>
            </w:r>
          </w:p>
        </w:tc>
      </w:tr>
      <w:tr w:rsidR="0048282A" w:rsidRPr="00442034" w14:paraId="47894C18" w14:textId="77777777" w:rsidTr="00BD167B">
        <w:trPr>
          <w:trHeight w:val="472"/>
        </w:trPr>
        <w:tc>
          <w:tcPr>
            <w:tcW w:w="1713" w:type="dxa"/>
            <w:tcBorders>
              <w:top w:val="nil"/>
              <w:left w:val="nil"/>
              <w:bottom w:val="nil"/>
              <w:right w:val="nil"/>
            </w:tcBorders>
          </w:tcPr>
          <w:p w14:paraId="393AAE3B" w14:textId="77777777" w:rsidR="0048282A" w:rsidRPr="00442034" w:rsidRDefault="0048282A" w:rsidP="00BE5E6D">
            <w:pPr>
              <w:ind w:left="66" w:hanging="66"/>
              <w:rPr>
                <w:rFonts w:ascii="Times New Roman" w:hAnsi="Times New Roman" w:cs="Times New Roman"/>
                <w:sz w:val="20"/>
                <w:szCs w:val="20"/>
              </w:rPr>
            </w:pPr>
            <w:r w:rsidRPr="00442034">
              <w:rPr>
                <w:rFonts w:ascii="Times New Roman" w:hAnsi="Times New Roman" w:cs="Times New Roman"/>
                <w:sz w:val="20"/>
                <w:szCs w:val="20"/>
              </w:rPr>
              <w:t>Relationship with Caregiver</w:t>
            </w:r>
          </w:p>
        </w:tc>
        <w:tc>
          <w:tcPr>
            <w:tcW w:w="1532" w:type="dxa"/>
            <w:tcBorders>
              <w:top w:val="nil"/>
              <w:left w:val="nil"/>
              <w:bottom w:val="nil"/>
              <w:right w:val="nil"/>
            </w:tcBorders>
          </w:tcPr>
          <w:p w14:paraId="1B3AD7B1"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-0.02 (.06)</w:t>
            </w:r>
          </w:p>
        </w:tc>
        <w:tc>
          <w:tcPr>
            <w:tcW w:w="2073" w:type="dxa"/>
            <w:tcBorders>
              <w:top w:val="nil"/>
              <w:left w:val="nil"/>
              <w:bottom w:val="nil"/>
              <w:right w:val="nil"/>
            </w:tcBorders>
          </w:tcPr>
          <w:p w14:paraId="3B715500" w14:textId="77777777" w:rsidR="0048282A" w:rsidRPr="00442034" w:rsidRDefault="0048282A" w:rsidP="00BE5E6D">
            <w:pPr>
              <w:tabs>
                <w:tab w:val="decimal" w:pos="705"/>
              </w:tabs>
              <w:rPr>
                <w:rFonts w:ascii="Times New Roman" w:hAnsi="Times New Roman" w:cs="Times New Roman"/>
                <w:sz w:val="20"/>
                <w:szCs w:val="20"/>
              </w:rPr>
            </w:pPr>
            <w:r w:rsidRPr="00442034">
              <w:rPr>
                <w:rFonts w:ascii="Times New Roman" w:hAnsi="Times New Roman" w:cs="Times New Roman"/>
                <w:sz w:val="20"/>
                <w:szCs w:val="20"/>
              </w:rPr>
              <w:t>0.045 (.06)</w:t>
            </w:r>
          </w:p>
        </w:tc>
        <w:tc>
          <w:tcPr>
            <w:tcW w:w="1983" w:type="dxa"/>
            <w:tcBorders>
              <w:top w:val="nil"/>
              <w:left w:val="nil"/>
              <w:bottom w:val="nil"/>
              <w:right w:val="nil"/>
            </w:tcBorders>
          </w:tcPr>
          <w:p w14:paraId="05D6C795"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0.075 (.06)</w:t>
            </w:r>
          </w:p>
        </w:tc>
        <w:tc>
          <w:tcPr>
            <w:tcW w:w="2073" w:type="dxa"/>
            <w:tcBorders>
              <w:top w:val="nil"/>
              <w:left w:val="nil"/>
              <w:bottom w:val="nil"/>
              <w:right w:val="nil"/>
            </w:tcBorders>
          </w:tcPr>
          <w:p w14:paraId="1BB345CB" w14:textId="77777777" w:rsidR="0048282A" w:rsidRPr="00442034" w:rsidRDefault="0048282A" w:rsidP="00BE5E6D">
            <w:pPr>
              <w:tabs>
                <w:tab w:val="decimal" w:pos="615"/>
              </w:tabs>
              <w:rPr>
                <w:rFonts w:ascii="Times New Roman" w:hAnsi="Times New Roman" w:cs="Times New Roman"/>
                <w:sz w:val="20"/>
                <w:szCs w:val="20"/>
              </w:rPr>
            </w:pPr>
            <w:r w:rsidRPr="00442034">
              <w:rPr>
                <w:rFonts w:ascii="Times New Roman" w:hAnsi="Times New Roman" w:cs="Times New Roman"/>
                <w:sz w:val="20"/>
                <w:szCs w:val="20"/>
              </w:rPr>
              <w:t>0.053 (.07)</w:t>
            </w:r>
          </w:p>
        </w:tc>
      </w:tr>
      <w:tr w:rsidR="0048282A" w:rsidRPr="00442034" w14:paraId="76779778" w14:textId="77777777" w:rsidTr="00BD167B">
        <w:trPr>
          <w:trHeight w:val="219"/>
        </w:trPr>
        <w:tc>
          <w:tcPr>
            <w:tcW w:w="1713" w:type="dxa"/>
            <w:tcBorders>
              <w:top w:val="nil"/>
              <w:left w:val="nil"/>
              <w:bottom w:val="nil"/>
              <w:right w:val="nil"/>
            </w:tcBorders>
          </w:tcPr>
          <w:p w14:paraId="79391C44" w14:textId="77777777" w:rsidR="0048282A" w:rsidRPr="00442034" w:rsidRDefault="0048282A" w:rsidP="00BE5E6D">
            <w:pPr>
              <w:rPr>
                <w:rFonts w:ascii="Times New Roman" w:hAnsi="Times New Roman" w:cs="Times New Roman"/>
                <w:sz w:val="20"/>
                <w:szCs w:val="20"/>
              </w:rPr>
            </w:pPr>
          </w:p>
        </w:tc>
        <w:tc>
          <w:tcPr>
            <w:tcW w:w="1532" w:type="dxa"/>
            <w:tcBorders>
              <w:top w:val="nil"/>
              <w:left w:val="nil"/>
              <w:bottom w:val="nil"/>
              <w:right w:val="nil"/>
            </w:tcBorders>
          </w:tcPr>
          <w:p w14:paraId="1EFE5DF5" w14:textId="77777777" w:rsidR="0048282A" w:rsidRPr="00442034" w:rsidRDefault="0048282A" w:rsidP="00BE5E6D">
            <w:pPr>
              <w:tabs>
                <w:tab w:val="decimal" w:pos="255"/>
              </w:tabs>
              <w:jc w:val="center"/>
              <w:rPr>
                <w:rFonts w:ascii="Times New Roman" w:hAnsi="Times New Roman" w:cs="Times New Roman"/>
                <w:sz w:val="20"/>
                <w:szCs w:val="20"/>
              </w:rPr>
            </w:pPr>
          </w:p>
        </w:tc>
        <w:tc>
          <w:tcPr>
            <w:tcW w:w="2073" w:type="dxa"/>
            <w:tcBorders>
              <w:top w:val="nil"/>
              <w:left w:val="nil"/>
              <w:bottom w:val="nil"/>
              <w:right w:val="nil"/>
            </w:tcBorders>
          </w:tcPr>
          <w:p w14:paraId="1F674038" w14:textId="77777777" w:rsidR="0048282A" w:rsidRPr="00442034" w:rsidRDefault="0048282A" w:rsidP="00BE5E6D">
            <w:pPr>
              <w:tabs>
                <w:tab w:val="decimal" w:pos="705"/>
              </w:tabs>
              <w:rPr>
                <w:rFonts w:ascii="Times New Roman" w:hAnsi="Times New Roman" w:cs="Times New Roman"/>
                <w:sz w:val="20"/>
                <w:szCs w:val="20"/>
              </w:rPr>
            </w:pPr>
          </w:p>
        </w:tc>
        <w:tc>
          <w:tcPr>
            <w:tcW w:w="1983" w:type="dxa"/>
            <w:tcBorders>
              <w:top w:val="nil"/>
              <w:left w:val="nil"/>
              <w:bottom w:val="nil"/>
              <w:right w:val="nil"/>
            </w:tcBorders>
          </w:tcPr>
          <w:p w14:paraId="5717715E" w14:textId="77777777" w:rsidR="0048282A" w:rsidRPr="00442034" w:rsidRDefault="0048282A" w:rsidP="00BE5E6D">
            <w:pPr>
              <w:tabs>
                <w:tab w:val="decimal" w:pos="613"/>
              </w:tabs>
              <w:rPr>
                <w:rFonts w:ascii="Times New Roman" w:hAnsi="Times New Roman" w:cs="Times New Roman"/>
                <w:sz w:val="20"/>
                <w:szCs w:val="20"/>
              </w:rPr>
            </w:pPr>
          </w:p>
        </w:tc>
        <w:tc>
          <w:tcPr>
            <w:tcW w:w="2073" w:type="dxa"/>
            <w:tcBorders>
              <w:top w:val="nil"/>
              <w:left w:val="nil"/>
              <w:bottom w:val="nil"/>
              <w:right w:val="nil"/>
            </w:tcBorders>
          </w:tcPr>
          <w:p w14:paraId="396518DD" w14:textId="77777777" w:rsidR="0048282A" w:rsidRPr="00442034" w:rsidRDefault="0048282A" w:rsidP="00BE5E6D">
            <w:pPr>
              <w:tabs>
                <w:tab w:val="decimal" w:pos="615"/>
              </w:tabs>
              <w:rPr>
                <w:rFonts w:ascii="Times New Roman" w:hAnsi="Times New Roman" w:cs="Times New Roman"/>
                <w:sz w:val="20"/>
                <w:szCs w:val="20"/>
              </w:rPr>
            </w:pPr>
          </w:p>
        </w:tc>
      </w:tr>
      <w:tr w:rsidR="0048282A" w:rsidRPr="00442034" w14:paraId="56331FEC" w14:textId="77777777" w:rsidTr="00BD167B">
        <w:trPr>
          <w:trHeight w:val="244"/>
        </w:trPr>
        <w:tc>
          <w:tcPr>
            <w:tcW w:w="1713" w:type="dxa"/>
            <w:tcBorders>
              <w:top w:val="nil"/>
              <w:left w:val="nil"/>
              <w:bottom w:val="nil"/>
              <w:right w:val="nil"/>
            </w:tcBorders>
          </w:tcPr>
          <w:p w14:paraId="64FAD7D8" w14:textId="77777777" w:rsidR="0048282A" w:rsidRPr="00442034" w:rsidRDefault="0048282A" w:rsidP="00BE5E6D">
            <w:pPr>
              <w:rPr>
                <w:rFonts w:ascii="Times New Roman" w:hAnsi="Times New Roman" w:cs="Times New Roman"/>
                <w:i/>
                <w:iCs/>
                <w:sz w:val="20"/>
                <w:szCs w:val="20"/>
              </w:rPr>
            </w:pPr>
            <w:r w:rsidRPr="00442034">
              <w:rPr>
                <w:rFonts w:ascii="Times New Roman" w:hAnsi="Times New Roman" w:cs="Times New Roman"/>
                <w:i/>
                <w:iCs/>
                <w:sz w:val="20"/>
                <w:szCs w:val="20"/>
              </w:rPr>
              <w:t>Controls</w:t>
            </w:r>
          </w:p>
        </w:tc>
        <w:tc>
          <w:tcPr>
            <w:tcW w:w="1532" w:type="dxa"/>
            <w:tcBorders>
              <w:top w:val="nil"/>
              <w:left w:val="nil"/>
              <w:bottom w:val="nil"/>
              <w:right w:val="nil"/>
            </w:tcBorders>
          </w:tcPr>
          <w:p w14:paraId="0637600D" w14:textId="77777777" w:rsidR="0048282A" w:rsidRPr="00442034" w:rsidRDefault="0048282A" w:rsidP="00BE5E6D">
            <w:pPr>
              <w:tabs>
                <w:tab w:val="decimal" w:pos="255"/>
              </w:tabs>
              <w:jc w:val="center"/>
              <w:rPr>
                <w:rFonts w:ascii="Times New Roman" w:hAnsi="Times New Roman" w:cs="Times New Roman"/>
                <w:sz w:val="20"/>
                <w:szCs w:val="20"/>
              </w:rPr>
            </w:pPr>
          </w:p>
        </w:tc>
        <w:tc>
          <w:tcPr>
            <w:tcW w:w="2073" w:type="dxa"/>
            <w:tcBorders>
              <w:top w:val="nil"/>
              <w:left w:val="nil"/>
              <w:bottom w:val="nil"/>
              <w:right w:val="nil"/>
            </w:tcBorders>
          </w:tcPr>
          <w:p w14:paraId="156C7963" w14:textId="77777777" w:rsidR="0048282A" w:rsidRPr="00442034" w:rsidRDefault="0048282A" w:rsidP="00BE5E6D">
            <w:pPr>
              <w:tabs>
                <w:tab w:val="decimal" w:pos="705"/>
              </w:tabs>
              <w:rPr>
                <w:rFonts w:ascii="Times New Roman" w:hAnsi="Times New Roman" w:cs="Times New Roman"/>
                <w:sz w:val="20"/>
                <w:szCs w:val="20"/>
              </w:rPr>
            </w:pPr>
          </w:p>
        </w:tc>
        <w:tc>
          <w:tcPr>
            <w:tcW w:w="1983" w:type="dxa"/>
            <w:tcBorders>
              <w:top w:val="nil"/>
              <w:left w:val="nil"/>
              <w:bottom w:val="nil"/>
              <w:right w:val="nil"/>
            </w:tcBorders>
          </w:tcPr>
          <w:p w14:paraId="7D799A4F" w14:textId="77777777" w:rsidR="0048282A" w:rsidRPr="00442034" w:rsidRDefault="0048282A" w:rsidP="00BE5E6D">
            <w:pPr>
              <w:tabs>
                <w:tab w:val="decimal" w:pos="613"/>
              </w:tabs>
              <w:rPr>
                <w:rFonts w:ascii="Times New Roman" w:hAnsi="Times New Roman" w:cs="Times New Roman"/>
                <w:sz w:val="20"/>
                <w:szCs w:val="20"/>
              </w:rPr>
            </w:pPr>
          </w:p>
        </w:tc>
        <w:tc>
          <w:tcPr>
            <w:tcW w:w="2073" w:type="dxa"/>
            <w:tcBorders>
              <w:top w:val="nil"/>
              <w:left w:val="nil"/>
              <w:bottom w:val="nil"/>
              <w:right w:val="nil"/>
            </w:tcBorders>
          </w:tcPr>
          <w:p w14:paraId="3D21D69D" w14:textId="77777777" w:rsidR="0048282A" w:rsidRPr="00442034" w:rsidRDefault="0048282A" w:rsidP="00BE5E6D">
            <w:pPr>
              <w:tabs>
                <w:tab w:val="decimal" w:pos="615"/>
              </w:tabs>
              <w:rPr>
                <w:rFonts w:ascii="Times New Roman" w:hAnsi="Times New Roman" w:cs="Times New Roman"/>
                <w:sz w:val="20"/>
                <w:szCs w:val="20"/>
              </w:rPr>
            </w:pPr>
          </w:p>
        </w:tc>
      </w:tr>
      <w:tr w:rsidR="0048282A" w:rsidRPr="00442034" w14:paraId="23DA8AB8" w14:textId="77777777" w:rsidTr="00BD167B">
        <w:trPr>
          <w:trHeight w:val="454"/>
        </w:trPr>
        <w:tc>
          <w:tcPr>
            <w:tcW w:w="1713" w:type="dxa"/>
            <w:tcBorders>
              <w:top w:val="nil"/>
              <w:left w:val="nil"/>
              <w:bottom w:val="nil"/>
              <w:right w:val="nil"/>
            </w:tcBorders>
          </w:tcPr>
          <w:p w14:paraId="025C873E" w14:textId="5070AA6F"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 xml:space="preserve">Black </w:t>
            </w:r>
            <w:r w:rsidR="0014444E" w:rsidRPr="00442034">
              <w:rPr>
                <w:rFonts w:ascii="Times New Roman" w:hAnsi="Times New Roman" w:cs="Times New Roman"/>
                <w:sz w:val="20"/>
                <w:szCs w:val="20"/>
              </w:rPr>
              <w:t>non-Hispanic</w:t>
            </w:r>
          </w:p>
        </w:tc>
        <w:tc>
          <w:tcPr>
            <w:tcW w:w="1532" w:type="dxa"/>
            <w:tcBorders>
              <w:top w:val="nil"/>
              <w:left w:val="nil"/>
              <w:bottom w:val="nil"/>
              <w:right w:val="nil"/>
            </w:tcBorders>
          </w:tcPr>
          <w:p w14:paraId="32BCF538"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-1.85 (1.23)</w:t>
            </w:r>
          </w:p>
        </w:tc>
        <w:tc>
          <w:tcPr>
            <w:tcW w:w="2073" w:type="dxa"/>
            <w:tcBorders>
              <w:top w:val="nil"/>
              <w:left w:val="nil"/>
              <w:bottom w:val="nil"/>
              <w:right w:val="nil"/>
            </w:tcBorders>
          </w:tcPr>
          <w:p w14:paraId="161838D2" w14:textId="77777777" w:rsidR="0048282A" w:rsidRPr="00442034" w:rsidRDefault="0048282A" w:rsidP="00BE5E6D">
            <w:pPr>
              <w:tabs>
                <w:tab w:val="decimal" w:pos="705"/>
              </w:tabs>
              <w:rPr>
                <w:rFonts w:ascii="Times New Roman" w:hAnsi="Times New Roman" w:cs="Times New Roman"/>
                <w:sz w:val="20"/>
                <w:szCs w:val="20"/>
                <w:vertAlign w:val="superscript"/>
              </w:rPr>
            </w:pPr>
            <w:r w:rsidRPr="00442034">
              <w:rPr>
                <w:rFonts w:ascii="Times New Roman" w:hAnsi="Times New Roman" w:cs="Times New Roman"/>
                <w:sz w:val="20"/>
                <w:szCs w:val="20"/>
              </w:rPr>
              <w:t>-3.17 (</w:t>
            </w:r>
            <w:proofErr w:type="gramStart"/>
            <w:r w:rsidRPr="00442034">
              <w:rPr>
                <w:rFonts w:ascii="Times New Roman" w:hAnsi="Times New Roman" w:cs="Times New Roman"/>
                <w:sz w:val="20"/>
                <w:szCs w:val="20"/>
              </w:rPr>
              <w:t>1.25)</w:t>
            </w:r>
            <w:r w:rsidRPr="00442034">
              <w:rPr>
                <w:rFonts w:ascii="Times New Roman" w:hAnsi="Times New Roman" w:cs="Times New Roman"/>
                <w:sz w:val="20"/>
                <w:szCs w:val="20"/>
                <w:vertAlign w:val="superscript"/>
              </w:rPr>
              <w:t>*</w:t>
            </w:r>
            <w:proofErr w:type="gramEnd"/>
          </w:p>
        </w:tc>
        <w:tc>
          <w:tcPr>
            <w:tcW w:w="1983" w:type="dxa"/>
            <w:tcBorders>
              <w:top w:val="nil"/>
              <w:left w:val="nil"/>
              <w:bottom w:val="nil"/>
              <w:right w:val="nil"/>
            </w:tcBorders>
          </w:tcPr>
          <w:p w14:paraId="3A4881BE"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-3.01 (</w:t>
            </w:r>
            <w:proofErr w:type="gramStart"/>
            <w:r w:rsidRPr="00442034">
              <w:rPr>
                <w:rFonts w:ascii="Times New Roman" w:hAnsi="Times New Roman" w:cs="Times New Roman"/>
                <w:sz w:val="20"/>
                <w:szCs w:val="20"/>
              </w:rPr>
              <w:t>1.24)</w:t>
            </w:r>
            <w:r w:rsidRPr="00442034">
              <w:rPr>
                <w:rFonts w:ascii="Times New Roman" w:hAnsi="Times New Roman" w:cs="Times New Roman"/>
                <w:sz w:val="20"/>
                <w:szCs w:val="20"/>
                <w:vertAlign w:val="superscript"/>
              </w:rPr>
              <w:t>*</w:t>
            </w:r>
            <w:proofErr w:type="gramEnd"/>
          </w:p>
        </w:tc>
        <w:tc>
          <w:tcPr>
            <w:tcW w:w="2073" w:type="dxa"/>
            <w:tcBorders>
              <w:top w:val="nil"/>
              <w:left w:val="nil"/>
              <w:bottom w:val="nil"/>
              <w:right w:val="nil"/>
            </w:tcBorders>
          </w:tcPr>
          <w:p w14:paraId="0AA62B5F" w14:textId="77777777" w:rsidR="0048282A" w:rsidRPr="00442034" w:rsidRDefault="0048282A" w:rsidP="00BE5E6D">
            <w:pPr>
              <w:tabs>
                <w:tab w:val="decimal" w:pos="615"/>
              </w:tabs>
              <w:rPr>
                <w:rFonts w:ascii="Times New Roman" w:hAnsi="Times New Roman" w:cs="Times New Roman"/>
                <w:sz w:val="20"/>
                <w:szCs w:val="20"/>
                <w:vertAlign w:val="superscript"/>
              </w:rPr>
            </w:pPr>
            <w:r w:rsidRPr="00442034">
              <w:rPr>
                <w:rFonts w:ascii="Times New Roman" w:hAnsi="Times New Roman" w:cs="Times New Roman"/>
                <w:sz w:val="20"/>
                <w:szCs w:val="20"/>
              </w:rPr>
              <w:t>-2.06 (1.22)</w:t>
            </w:r>
            <w:r w:rsidRPr="00442034">
              <w:rPr>
                <w:rFonts w:ascii="Times New Roman" w:hAnsi="Times New Roman" w:cs="Times New Roman"/>
                <w:sz w:val="20"/>
                <w:szCs w:val="20"/>
                <w:vertAlign w:val="superscript"/>
              </w:rPr>
              <w:t xml:space="preserve"> †</w:t>
            </w:r>
          </w:p>
        </w:tc>
      </w:tr>
      <w:tr w:rsidR="0048282A" w:rsidRPr="00442034" w14:paraId="3E2AC639" w14:textId="77777777" w:rsidTr="00BD167B">
        <w:trPr>
          <w:trHeight w:val="235"/>
        </w:trPr>
        <w:tc>
          <w:tcPr>
            <w:tcW w:w="1713" w:type="dxa"/>
            <w:tcBorders>
              <w:top w:val="nil"/>
              <w:left w:val="nil"/>
              <w:bottom w:val="nil"/>
              <w:right w:val="nil"/>
            </w:tcBorders>
          </w:tcPr>
          <w:p w14:paraId="120878F5"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Hispanic</w:t>
            </w:r>
          </w:p>
        </w:tc>
        <w:tc>
          <w:tcPr>
            <w:tcW w:w="1532" w:type="dxa"/>
            <w:tcBorders>
              <w:top w:val="nil"/>
              <w:left w:val="nil"/>
              <w:bottom w:val="nil"/>
              <w:right w:val="nil"/>
            </w:tcBorders>
          </w:tcPr>
          <w:p w14:paraId="6A1506C0"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0.12 (1.44)</w:t>
            </w:r>
          </w:p>
        </w:tc>
        <w:tc>
          <w:tcPr>
            <w:tcW w:w="2073" w:type="dxa"/>
            <w:tcBorders>
              <w:top w:val="nil"/>
              <w:left w:val="nil"/>
              <w:bottom w:val="nil"/>
              <w:right w:val="nil"/>
            </w:tcBorders>
          </w:tcPr>
          <w:p w14:paraId="43B0D2FC" w14:textId="77777777" w:rsidR="0048282A" w:rsidRPr="00442034" w:rsidRDefault="0048282A" w:rsidP="00BE5E6D">
            <w:pPr>
              <w:tabs>
                <w:tab w:val="decimal" w:pos="705"/>
              </w:tabs>
              <w:rPr>
                <w:rFonts w:ascii="Times New Roman" w:hAnsi="Times New Roman" w:cs="Times New Roman"/>
                <w:sz w:val="20"/>
                <w:szCs w:val="20"/>
              </w:rPr>
            </w:pPr>
            <w:r w:rsidRPr="00442034">
              <w:rPr>
                <w:rFonts w:ascii="Times New Roman" w:hAnsi="Times New Roman" w:cs="Times New Roman"/>
                <w:sz w:val="20"/>
                <w:szCs w:val="20"/>
              </w:rPr>
              <w:t>0.40 (1.41)</w:t>
            </w:r>
          </w:p>
        </w:tc>
        <w:tc>
          <w:tcPr>
            <w:tcW w:w="1983" w:type="dxa"/>
            <w:tcBorders>
              <w:top w:val="nil"/>
              <w:left w:val="nil"/>
              <w:bottom w:val="nil"/>
              <w:right w:val="nil"/>
            </w:tcBorders>
          </w:tcPr>
          <w:p w14:paraId="719AE237"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0.60 (1.44)</w:t>
            </w:r>
          </w:p>
        </w:tc>
        <w:tc>
          <w:tcPr>
            <w:tcW w:w="2073" w:type="dxa"/>
            <w:tcBorders>
              <w:top w:val="nil"/>
              <w:left w:val="nil"/>
              <w:bottom w:val="nil"/>
              <w:right w:val="nil"/>
            </w:tcBorders>
          </w:tcPr>
          <w:p w14:paraId="5DE53B8F" w14:textId="77777777" w:rsidR="0048282A" w:rsidRPr="00442034" w:rsidRDefault="0048282A" w:rsidP="00BE5E6D">
            <w:pPr>
              <w:tabs>
                <w:tab w:val="decimal" w:pos="615"/>
              </w:tabs>
              <w:rPr>
                <w:rFonts w:ascii="Times New Roman" w:hAnsi="Times New Roman" w:cs="Times New Roman"/>
                <w:sz w:val="20"/>
                <w:szCs w:val="20"/>
              </w:rPr>
            </w:pPr>
            <w:r w:rsidRPr="00442034">
              <w:rPr>
                <w:rFonts w:ascii="Times New Roman" w:hAnsi="Times New Roman" w:cs="Times New Roman"/>
                <w:sz w:val="20"/>
                <w:szCs w:val="20"/>
              </w:rPr>
              <w:t>0.67 (1.38)</w:t>
            </w:r>
          </w:p>
        </w:tc>
      </w:tr>
      <w:tr w:rsidR="0048282A" w:rsidRPr="00442034" w14:paraId="6C27A1CA" w14:textId="77777777" w:rsidTr="00BD167B">
        <w:trPr>
          <w:trHeight w:val="235"/>
        </w:trPr>
        <w:tc>
          <w:tcPr>
            <w:tcW w:w="1713" w:type="dxa"/>
            <w:tcBorders>
              <w:top w:val="nil"/>
              <w:left w:val="nil"/>
              <w:bottom w:val="nil"/>
              <w:right w:val="nil"/>
            </w:tcBorders>
          </w:tcPr>
          <w:p w14:paraId="0A035A6B"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Other Race</w:t>
            </w:r>
          </w:p>
        </w:tc>
        <w:tc>
          <w:tcPr>
            <w:tcW w:w="1532" w:type="dxa"/>
            <w:tcBorders>
              <w:top w:val="nil"/>
              <w:left w:val="nil"/>
              <w:bottom w:val="nil"/>
              <w:right w:val="nil"/>
            </w:tcBorders>
          </w:tcPr>
          <w:p w14:paraId="3DB068F4" w14:textId="77777777" w:rsidR="0048282A" w:rsidRPr="00442034" w:rsidRDefault="0048282A" w:rsidP="00BE5E6D">
            <w:pPr>
              <w:tabs>
                <w:tab w:val="decimal" w:pos="255"/>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-5.37 (</w:t>
            </w:r>
            <w:proofErr w:type="gramStart"/>
            <w:r w:rsidRPr="00442034">
              <w:rPr>
                <w:rFonts w:ascii="Times New Roman" w:hAnsi="Times New Roman" w:cs="Times New Roman"/>
                <w:sz w:val="20"/>
                <w:szCs w:val="20"/>
              </w:rPr>
              <w:t>1.41)</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073" w:type="dxa"/>
            <w:tcBorders>
              <w:top w:val="nil"/>
              <w:left w:val="nil"/>
              <w:bottom w:val="nil"/>
              <w:right w:val="nil"/>
            </w:tcBorders>
          </w:tcPr>
          <w:p w14:paraId="33B72751" w14:textId="77777777" w:rsidR="0048282A" w:rsidRPr="00442034" w:rsidRDefault="0048282A" w:rsidP="00BE5E6D">
            <w:pPr>
              <w:tabs>
                <w:tab w:val="decimal" w:pos="705"/>
              </w:tabs>
              <w:rPr>
                <w:rFonts w:ascii="Times New Roman" w:hAnsi="Times New Roman" w:cs="Times New Roman"/>
                <w:sz w:val="20"/>
                <w:szCs w:val="20"/>
                <w:vertAlign w:val="superscript"/>
              </w:rPr>
            </w:pPr>
            <w:r w:rsidRPr="00442034">
              <w:rPr>
                <w:rFonts w:ascii="Times New Roman" w:hAnsi="Times New Roman" w:cs="Times New Roman"/>
                <w:sz w:val="20"/>
                <w:szCs w:val="20"/>
              </w:rPr>
              <w:t>-5.91 (</w:t>
            </w:r>
            <w:proofErr w:type="gramStart"/>
            <w:r w:rsidRPr="00442034">
              <w:rPr>
                <w:rFonts w:ascii="Times New Roman" w:hAnsi="Times New Roman" w:cs="Times New Roman"/>
                <w:sz w:val="20"/>
                <w:szCs w:val="20"/>
              </w:rPr>
              <w:t>1.06)</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1983" w:type="dxa"/>
            <w:tcBorders>
              <w:top w:val="nil"/>
              <w:left w:val="nil"/>
              <w:bottom w:val="nil"/>
              <w:right w:val="nil"/>
            </w:tcBorders>
          </w:tcPr>
          <w:p w14:paraId="146C1DA1"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-3.06 (</w:t>
            </w:r>
            <w:proofErr w:type="gramStart"/>
            <w:r w:rsidRPr="00442034">
              <w:rPr>
                <w:rFonts w:ascii="Times New Roman" w:hAnsi="Times New Roman" w:cs="Times New Roman"/>
                <w:sz w:val="20"/>
                <w:szCs w:val="20"/>
              </w:rPr>
              <w:t>1.08)</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073" w:type="dxa"/>
            <w:tcBorders>
              <w:top w:val="nil"/>
              <w:left w:val="nil"/>
              <w:bottom w:val="nil"/>
              <w:right w:val="nil"/>
            </w:tcBorders>
          </w:tcPr>
          <w:p w14:paraId="12B95CBE" w14:textId="77777777" w:rsidR="0048282A" w:rsidRPr="00442034" w:rsidRDefault="0048282A" w:rsidP="00BE5E6D">
            <w:pPr>
              <w:tabs>
                <w:tab w:val="decimal" w:pos="615"/>
              </w:tabs>
              <w:rPr>
                <w:rFonts w:ascii="Times New Roman" w:hAnsi="Times New Roman" w:cs="Times New Roman"/>
                <w:sz w:val="20"/>
                <w:szCs w:val="20"/>
                <w:vertAlign w:val="superscript"/>
              </w:rPr>
            </w:pPr>
            <w:r w:rsidRPr="00442034">
              <w:rPr>
                <w:rFonts w:ascii="Times New Roman" w:hAnsi="Times New Roman" w:cs="Times New Roman"/>
                <w:sz w:val="20"/>
                <w:szCs w:val="20"/>
              </w:rPr>
              <w:t>-2.46 (.</w:t>
            </w:r>
            <w:proofErr w:type="gramStart"/>
            <w:r w:rsidRPr="00442034">
              <w:rPr>
                <w:rFonts w:ascii="Times New Roman" w:hAnsi="Times New Roman" w:cs="Times New Roman"/>
                <w:sz w:val="20"/>
                <w:szCs w:val="20"/>
              </w:rPr>
              <w:t>90)</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r>
      <w:tr w:rsidR="0048282A" w:rsidRPr="00442034" w14:paraId="4025FFE6" w14:textId="77777777" w:rsidTr="00BD167B">
        <w:trPr>
          <w:trHeight w:val="235"/>
        </w:trPr>
        <w:tc>
          <w:tcPr>
            <w:tcW w:w="1713" w:type="dxa"/>
            <w:tcBorders>
              <w:top w:val="nil"/>
              <w:left w:val="nil"/>
              <w:bottom w:val="nil"/>
              <w:right w:val="nil"/>
            </w:tcBorders>
          </w:tcPr>
          <w:p w14:paraId="4776A823"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Female</w:t>
            </w:r>
          </w:p>
        </w:tc>
        <w:tc>
          <w:tcPr>
            <w:tcW w:w="1532" w:type="dxa"/>
            <w:tcBorders>
              <w:top w:val="nil"/>
              <w:left w:val="nil"/>
              <w:bottom w:val="nil"/>
              <w:right w:val="nil"/>
            </w:tcBorders>
          </w:tcPr>
          <w:p w14:paraId="2E1D13D1"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-1.54 (1.08)</w:t>
            </w:r>
          </w:p>
        </w:tc>
        <w:tc>
          <w:tcPr>
            <w:tcW w:w="2073" w:type="dxa"/>
            <w:tcBorders>
              <w:top w:val="nil"/>
              <w:left w:val="nil"/>
              <w:bottom w:val="nil"/>
              <w:right w:val="nil"/>
            </w:tcBorders>
          </w:tcPr>
          <w:p w14:paraId="2C8E0F3F" w14:textId="77777777" w:rsidR="0048282A" w:rsidRPr="00442034" w:rsidRDefault="0048282A" w:rsidP="00BE5E6D">
            <w:pPr>
              <w:tabs>
                <w:tab w:val="decimal" w:pos="705"/>
              </w:tabs>
              <w:rPr>
                <w:rFonts w:ascii="Times New Roman" w:hAnsi="Times New Roman" w:cs="Times New Roman"/>
                <w:sz w:val="20"/>
                <w:szCs w:val="20"/>
                <w:vertAlign w:val="superscript"/>
              </w:rPr>
            </w:pPr>
            <w:r w:rsidRPr="00442034">
              <w:rPr>
                <w:rFonts w:ascii="Times New Roman" w:hAnsi="Times New Roman" w:cs="Times New Roman"/>
                <w:sz w:val="20"/>
                <w:szCs w:val="20"/>
              </w:rPr>
              <w:t>-1.71 (1.02)</w:t>
            </w:r>
            <w:r w:rsidRPr="00442034">
              <w:rPr>
                <w:rFonts w:ascii="Times New Roman" w:hAnsi="Times New Roman" w:cs="Times New Roman"/>
                <w:sz w:val="20"/>
                <w:szCs w:val="20"/>
                <w:vertAlign w:val="superscript"/>
              </w:rPr>
              <w:t xml:space="preserve"> †</w:t>
            </w:r>
          </w:p>
        </w:tc>
        <w:tc>
          <w:tcPr>
            <w:tcW w:w="1983" w:type="dxa"/>
            <w:tcBorders>
              <w:top w:val="nil"/>
              <w:left w:val="nil"/>
              <w:bottom w:val="nil"/>
              <w:right w:val="nil"/>
            </w:tcBorders>
          </w:tcPr>
          <w:p w14:paraId="60EBA0F4"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-1.39 (1.06)</w:t>
            </w:r>
          </w:p>
        </w:tc>
        <w:tc>
          <w:tcPr>
            <w:tcW w:w="2073" w:type="dxa"/>
            <w:tcBorders>
              <w:top w:val="nil"/>
              <w:left w:val="nil"/>
              <w:bottom w:val="nil"/>
              <w:right w:val="nil"/>
            </w:tcBorders>
          </w:tcPr>
          <w:p w14:paraId="4A8A8BE7" w14:textId="77777777" w:rsidR="0048282A" w:rsidRPr="00442034" w:rsidRDefault="0048282A" w:rsidP="00BE5E6D">
            <w:pPr>
              <w:tabs>
                <w:tab w:val="decimal" w:pos="615"/>
              </w:tabs>
              <w:rPr>
                <w:rFonts w:ascii="Times New Roman" w:hAnsi="Times New Roman" w:cs="Times New Roman"/>
                <w:sz w:val="20"/>
                <w:szCs w:val="20"/>
              </w:rPr>
            </w:pPr>
            <w:r w:rsidRPr="00442034">
              <w:rPr>
                <w:rFonts w:ascii="Times New Roman" w:hAnsi="Times New Roman" w:cs="Times New Roman"/>
                <w:sz w:val="20"/>
                <w:szCs w:val="20"/>
              </w:rPr>
              <w:t>-1.33 (1.06)</w:t>
            </w:r>
          </w:p>
        </w:tc>
      </w:tr>
      <w:tr w:rsidR="0048282A" w:rsidRPr="00442034" w14:paraId="3AB35409" w14:textId="77777777" w:rsidTr="00BD167B">
        <w:trPr>
          <w:trHeight w:val="219"/>
        </w:trPr>
        <w:tc>
          <w:tcPr>
            <w:tcW w:w="1713" w:type="dxa"/>
            <w:tcBorders>
              <w:top w:val="nil"/>
              <w:left w:val="nil"/>
              <w:bottom w:val="nil"/>
              <w:right w:val="nil"/>
            </w:tcBorders>
          </w:tcPr>
          <w:p w14:paraId="0CD6F260"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Age</w:t>
            </w:r>
          </w:p>
        </w:tc>
        <w:tc>
          <w:tcPr>
            <w:tcW w:w="1532" w:type="dxa"/>
            <w:tcBorders>
              <w:top w:val="nil"/>
              <w:left w:val="nil"/>
              <w:bottom w:val="nil"/>
              <w:right w:val="nil"/>
            </w:tcBorders>
          </w:tcPr>
          <w:p w14:paraId="2D1CFBDB" w14:textId="77777777" w:rsidR="0048282A" w:rsidRPr="00442034" w:rsidRDefault="0048282A" w:rsidP="00BE5E6D">
            <w:pPr>
              <w:tabs>
                <w:tab w:val="decimal" w:pos="255"/>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-0.69 (.</w:t>
            </w:r>
            <w:proofErr w:type="gramStart"/>
            <w:r w:rsidRPr="00442034">
              <w:rPr>
                <w:rFonts w:ascii="Times New Roman" w:hAnsi="Times New Roman" w:cs="Times New Roman"/>
                <w:sz w:val="20"/>
                <w:szCs w:val="20"/>
              </w:rPr>
              <w:t>18)</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073" w:type="dxa"/>
            <w:tcBorders>
              <w:top w:val="nil"/>
              <w:left w:val="nil"/>
              <w:bottom w:val="nil"/>
              <w:right w:val="nil"/>
            </w:tcBorders>
          </w:tcPr>
          <w:p w14:paraId="4BF6D620" w14:textId="77777777" w:rsidR="0048282A" w:rsidRPr="00442034" w:rsidRDefault="0048282A" w:rsidP="00BE5E6D">
            <w:pPr>
              <w:tabs>
                <w:tab w:val="decimal" w:pos="705"/>
              </w:tabs>
              <w:rPr>
                <w:rFonts w:ascii="Times New Roman" w:hAnsi="Times New Roman" w:cs="Times New Roman"/>
                <w:sz w:val="20"/>
                <w:szCs w:val="20"/>
                <w:vertAlign w:val="superscript"/>
              </w:rPr>
            </w:pPr>
            <w:r w:rsidRPr="00442034">
              <w:rPr>
                <w:rFonts w:ascii="Times New Roman" w:hAnsi="Times New Roman" w:cs="Times New Roman"/>
                <w:sz w:val="20"/>
                <w:szCs w:val="20"/>
              </w:rPr>
              <w:t>-0.54 (.</w:t>
            </w:r>
            <w:proofErr w:type="gramStart"/>
            <w:r w:rsidRPr="00442034">
              <w:rPr>
                <w:rFonts w:ascii="Times New Roman" w:hAnsi="Times New Roman" w:cs="Times New Roman"/>
                <w:sz w:val="20"/>
                <w:szCs w:val="20"/>
              </w:rPr>
              <w:t>20)</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1983" w:type="dxa"/>
            <w:tcBorders>
              <w:top w:val="nil"/>
              <w:left w:val="nil"/>
              <w:bottom w:val="nil"/>
              <w:right w:val="nil"/>
            </w:tcBorders>
          </w:tcPr>
          <w:p w14:paraId="57817419"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-0.67 (.</w:t>
            </w:r>
            <w:proofErr w:type="gramStart"/>
            <w:r w:rsidRPr="00442034">
              <w:rPr>
                <w:rFonts w:ascii="Times New Roman" w:hAnsi="Times New Roman" w:cs="Times New Roman"/>
                <w:sz w:val="20"/>
                <w:szCs w:val="20"/>
              </w:rPr>
              <w:t>19)</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073" w:type="dxa"/>
            <w:tcBorders>
              <w:top w:val="nil"/>
              <w:left w:val="nil"/>
              <w:bottom w:val="nil"/>
              <w:right w:val="nil"/>
            </w:tcBorders>
          </w:tcPr>
          <w:p w14:paraId="1C4FC132" w14:textId="77777777" w:rsidR="0048282A" w:rsidRPr="00442034" w:rsidRDefault="0048282A" w:rsidP="00BE5E6D">
            <w:pPr>
              <w:tabs>
                <w:tab w:val="decimal" w:pos="615"/>
              </w:tabs>
              <w:rPr>
                <w:rFonts w:ascii="Times New Roman" w:hAnsi="Times New Roman" w:cs="Times New Roman"/>
                <w:sz w:val="20"/>
                <w:szCs w:val="20"/>
              </w:rPr>
            </w:pPr>
            <w:r w:rsidRPr="00442034">
              <w:rPr>
                <w:rFonts w:ascii="Times New Roman" w:hAnsi="Times New Roman" w:cs="Times New Roman"/>
                <w:sz w:val="20"/>
                <w:szCs w:val="20"/>
              </w:rPr>
              <w:t>-0.54 (.</w:t>
            </w:r>
            <w:proofErr w:type="gramStart"/>
            <w:r w:rsidRPr="00442034">
              <w:rPr>
                <w:rFonts w:ascii="Times New Roman" w:hAnsi="Times New Roman" w:cs="Times New Roman"/>
                <w:sz w:val="20"/>
                <w:szCs w:val="20"/>
              </w:rPr>
              <w:t>17)</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r>
      <w:tr w:rsidR="0048282A" w:rsidRPr="00442034" w14:paraId="4047E141" w14:textId="77777777" w:rsidTr="00BD167B">
        <w:trPr>
          <w:trHeight w:val="235"/>
        </w:trPr>
        <w:tc>
          <w:tcPr>
            <w:tcW w:w="1713" w:type="dxa"/>
            <w:tcBorders>
              <w:top w:val="nil"/>
              <w:left w:val="nil"/>
              <w:bottom w:val="nil"/>
              <w:right w:val="nil"/>
            </w:tcBorders>
          </w:tcPr>
          <w:p w14:paraId="0CABB1F1"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Urban</w:t>
            </w:r>
          </w:p>
        </w:tc>
        <w:tc>
          <w:tcPr>
            <w:tcW w:w="1532" w:type="dxa"/>
            <w:tcBorders>
              <w:top w:val="nil"/>
              <w:left w:val="nil"/>
              <w:bottom w:val="nil"/>
              <w:right w:val="nil"/>
            </w:tcBorders>
          </w:tcPr>
          <w:p w14:paraId="31D627C5"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-1.35 (1.02)</w:t>
            </w:r>
          </w:p>
        </w:tc>
        <w:tc>
          <w:tcPr>
            <w:tcW w:w="2073" w:type="dxa"/>
            <w:tcBorders>
              <w:top w:val="nil"/>
              <w:left w:val="nil"/>
              <w:bottom w:val="nil"/>
              <w:right w:val="nil"/>
            </w:tcBorders>
          </w:tcPr>
          <w:p w14:paraId="7FC07366" w14:textId="77777777" w:rsidR="0048282A" w:rsidRPr="00442034" w:rsidRDefault="0048282A" w:rsidP="00BE5E6D">
            <w:pPr>
              <w:tabs>
                <w:tab w:val="decimal" w:pos="705"/>
              </w:tabs>
              <w:rPr>
                <w:rFonts w:ascii="Times New Roman" w:hAnsi="Times New Roman" w:cs="Times New Roman"/>
                <w:sz w:val="20"/>
                <w:szCs w:val="20"/>
              </w:rPr>
            </w:pPr>
            <w:r w:rsidRPr="00442034">
              <w:rPr>
                <w:rFonts w:ascii="Times New Roman" w:hAnsi="Times New Roman" w:cs="Times New Roman"/>
                <w:sz w:val="20"/>
                <w:szCs w:val="20"/>
              </w:rPr>
              <w:t>-0.55 (.91)</w:t>
            </w:r>
          </w:p>
        </w:tc>
        <w:tc>
          <w:tcPr>
            <w:tcW w:w="1983" w:type="dxa"/>
            <w:tcBorders>
              <w:top w:val="nil"/>
              <w:left w:val="nil"/>
              <w:bottom w:val="nil"/>
              <w:right w:val="nil"/>
            </w:tcBorders>
          </w:tcPr>
          <w:p w14:paraId="15181129"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-0.55 (.88)</w:t>
            </w:r>
          </w:p>
        </w:tc>
        <w:tc>
          <w:tcPr>
            <w:tcW w:w="2073" w:type="dxa"/>
            <w:tcBorders>
              <w:top w:val="nil"/>
              <w:left w:val="nil"/>
              <w:bottom w:val="nil"/>
              <w:right w:val="nil"/>
            </w:tcBorders>
          </w:tcPr>
          <w:p w14:paraId="5757042C" w14:textId="77777777" w:rsidR="0048282A" w:rsidRPr="00442034" w:rsidRDefault="0048282A" w:rsidP="00BE5E6D">
            <w:pPr>
              <w:tabs>
                <w:tab w:val="decimal" w:pos="615"/>
              </w:tabs>
              <w:rPr>
                <w:rFonts w:ascii="Times New Roman" w:hAnsi="Times New Roman" w:cs="Times New Roman"/>
                <w:sz w:val="20"/>
                <w:szCs w:val="20"/>
              </w:rPr>
            </w:pPr>
            <w:r w:rsidRPr="00442034">
              <w:rPr>
                <w:rFonts w:ascii="Times New Roman" w:hAnsi="Times New Roman" w:cs="Times New Roman"/>
                <w:sz w:val="20"/>
                <w:szCs w:val="20"/>
              </w:rPr>
              <w:t>-0.01 (.88)</w:t>
            </w:r>
          </w:p>
        </w:tc>
      </w:tr>
      <w:tr w:rsidR="0048282A" w:rsidRPr="00442034" w14:paraId="1441206F" w14:textId="77777777" w:rsidTr="00BD167B">
        <w:trPr>
          <w:trHeight w:val="235"/>
        </w:trPr>
        <w:tc>
          <w:tcPr>
            <w:tcW w:w="1713" w:type="dxa"/>
            <w:tcBorders>
              <w:top w:val="nil"/>
              <w:left w:val="nil"/>
              <w:bottom w:val="nil"/>
              <w:right w:val="nil"/>
            </w:tcBorders>
          </w:tcPr>
          <w:p w14:paraId="20994937"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Below Poverty</w:t>
            </w:r>
          </w:p>
        </w:tc>
        <w:tc>
          <w:tcPr>
            <w:tcW w:w="1532" w:type="dxa"/>
            <w:tcBorders>
              <w:top w:val="nil"/>
              <w:left w:val="nil"/>
              <w:bottom w:val="nil"/>
              <w:right w:val="nil"/>
            </w:tcBorders>
          </w:tcPr>
          <w:p w14:paraId="339A8B36"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-0.98 (.97)</w:t>
            </w:r>
          </w:p>
        </w:tc>
        <w:tc>
          <w:tcPr>
            <w:tcW w:w="2073" w:type="dxa"/>
            <w:tcBorders>
              <w:top w:val="nil"/>
              <w:left w:val="nil"/>
              <w:bottom w:val="nil"/>
              <w:right w:val="nil"/>
            </w:tcBorders>
          </w:tcPr>
          <w:p w14:paraId="4ADB745A" w14:textId="77777777" w:rsidR="0048282A" w:rsidRPr="00442034" w:rsidRDefault="0048282A" w:rsidP="00BE5E6D">
            <w:pPr>
              <w:tabs>
                <w:tab w:val="decimal" w:pos="705"/>
              </w:tabs>
              <w:rPr>
                <w:rFonts w:ascii="Times New Roman" w:hAnsi="Times New Roman" w:cs="Times New Roman"/>
                <w:sz w:val="20"/>
                <w:szCs w:val="20"/>
              </w:rPr>
            </w:pPr>
            <w:r w:rsidRPr="00442034">
              <w:rPr>
                <w:rFonts w:ascii="Times New Roman" w:hAnsi="Times New Roman" w:cs="Times New Roman"/>
                <w:sz w:val="20"/>
                <w:szCs w:val="20"/>
              </w:rPr>
              <w:t>-0.72 (.92)</w:t>
            </w:r>
          </w:p>
        </w:tc>
        <w:tc>
          <w:tcPr>
            <w:tcW w:w="1983" w:type="dxa"/>
            <w:tcBorders>
              <w:top w:val="nil"/>
              <w:left w:val="nil"/>
              <w:bottom w:val="nil"/>
              <w:right w:val="nil"/>
            </w:tcBorders>
          </w:tcPr>
          <w:p w14:paraId="600B8373"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-1.60 (.92)</w:t>
            </w:r>
            <w:r w:rsidRPr="00442034">
              <w:rPr>
                <w:rFonts w:ascii="Times New Roman" w:hAnsi="Times New Roman" w:cs="Times New Roman"/>
                <w:sz w:val="20"/>
                <w:szCs w:val="20"/>
                <w:vertAlign w:val="superscript"/>
              </w:rPr>
              <w:t xml:space="preserve"> †</w:t>
            </w:r>
          </w:p>
        </w:tc>
        <w:tc>
          <w:tcPr>
            <w:tcW w:w="2073" w:type="dxa"/>
            <w:tcBorders>
              <w:top w:val="nil"/>
              <w:left w:val="nil"/>
              <w:bottom w:val="nil"/>
              <w:right w:val="nil"/>
            </w:tcBorders>
          </w:tcPr>
          <w:p w14:paraId="34BEBC0D" w14:textId="77777777" w:rsidR="0048282A" w:rsidRPr="00442034" w:rsidRDefault="0048282A" w:rsidP="00BE5E6D">
            <w:pPr>
              <w:tabs>
                <w:tab w:val="decimal" w:pos="615"/>
              </w:tabs>
              <w:rPr>
                <w:rFonts w:ascii="Times New Roman" w:hAnsi="Times New Roman" w:cs="Times New Roman"/>
                <w:sz w:val="20"/>
                <w:szCs w:val="20"/>
              </w:rPr>
            </w:pPr>
            <w:r w:rsidRPr="00442034">
              <w:rPr>
                <w:rFonts w:ascii="Times New Roman" w:hAnsi="Times New Roman" w:cs="Times New Roman"/>
                <w:sz w:val="20"/>
                <w:szCs w:val="20"/>
              </w:rPr>
              <w:t>-1.05 (.89)</w:t>
            </w:r>
          </w:p>
        </w:tc>
      </w:tr>
      <w:tr w:rsidR="0048282A" w:rsidRPr="00442034" w14:paraId="08763E9B" w14:textId="77777777" w:rsidTr="00BD167B">
        <w:trPr>
          <w:trHeight w:val="219"/>
        </w:trPr>
        <w:tc>
          <w:tcPr>
            <w:tcW w:w="1713" w:type="dxa"/>
            <w:tcBorders>
              <w:top w:val="nil"/>
              <w:left w:val="nil"/>
              <w:bottom w:val="nil"/>
              <w:right w:val="nil"/>
            </w:tcBorders>
          </w:tcPr>
          <w:p w14:paraId="2185F068"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Foster Parents</w:t>
            </w:r>
          </w:p>
        </w:tc>
        <w:tc>
          <w:tcPr>
            <w:tcW w:w="1532" w:type="dxa"/>
            <w:tcBorders>
              <w:top w:val="nil"/>
              <w:left w:val="nil"/>
              <w:bottom w:val="nil"/>
              <w:right w:val="nil"/>
            </w:tcBorders>
          </w:tcPr>
          <w:p w14:paraId="2A649475" w14:textId="77777777" w:rsidR="0048282A" w:rsidRPr="00442034" w:rsidRDefault="0048282A" w:rsidP="00BE5E6D">
            <w:pPr>
              <w:tabs>
                <w:tab w:val="decimal" w:pos="255"/>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4.70 (</w:t>
            </w:r>
            <w:proofErr w:type="gramStart"/>
            <w:r w:rsidRPr="00442034">
              <w:rPr>
                <w:rFonts w:ascii="Times New Roman" w:hAnsi="Times New Roman" w:cs="Times New Roman"/>
                <w:sz w:val="20"/>
                <w:szCs w:val="20"/>
              </w:rPr>
              <w:t>2.36)</w:t>
            </w:r>
            <w:r w:rsidRPr="00442034">
              <w:rPr>
                <w:rFonts w:ascii="Times New Roman" w:hAnsi="Times New Roman" w:cs="Times New Roman"/>
                <w:sz w:val="20"/>
                <w:szCs w:val="20"/>
                <w:vertAlign w:val="superscript"/>
              </w:rPr>
              <w:t>*</w:t>
            </w:r>
            <w:proofErr w:type="gramEnd"/>
          </w:p>
        </w:tc>
        <w:tc>
          <w:tcPr>
            <w:tcW w:w="2073" w:type="dxa"/>
            <w:tcBorders>
              <w:top w:val="nil"/>
              <w:left w:val="nil"/>
              <w:bottom w:val="nil"/>
              <w:right w:val="nil"/>
            </w:tcBorders>
          </w:tcPr>
          <w:p w14:paraId="6FA01BB3" w14:textId="77777777" w:rsidR="0048282A" w:rsidRPr="00442034" w:rsidRDefault="0048282A" w:rsidP="00BE5E6D">
            <w:pPr>
              <w:tabs>
                <w:tab w:val="decimal" w:pos="705"/>
              </w:tabs>
              <w:rPr>
                <w:rFonts w:ascii="Times New Roman" w:hAnsi="Times New Roman" w:cs="Times New Roman"/>
                <w:sz w:val="20"/>
                <w:szCs w:val="20"/>
                <w:vertAlign w:val="superscript"/>
              </w:rPr>
            </w:pPr>
            <w:r w:rsidRPr="00442034">
              <w:rPr>
                <w:rFonts w:ascii="Times New Roman" w:hAnsi="Times New Roman" w:cs="Times New Roman"/>
                <w:sz w:val="20"/>
                <w:szCs w:val="20"/>
              </w:rPr>
              <w:t>4.33 (2.28)</w:t>
            </w:r>
            <w:r w:rsidRPr="00442034">
              <w:rPr>
                <w:rFonts w:ascii="Times New Roman" w:hAnsi="Times New Roman" w:cs="Times New Roman"/>
                <w:sz w:val="20"/>
                <w:szCs w:val="20"/>
                <w:vertAlign w:val="superscript"/>
              </w:rPr>
              <w:t xml:space="preserve"> †</w:t>
            </w:r>
          </w:p>
        </w:tc>
        <w:tc>
          <w:tcPr>
            <w:tcW w:w="1983" w:type="dxa"/>
            <w:tcBorders>
              <w:top w:val="nil"/>
              <w:left w:val="nil"/>
              <w:bottom w:val="nil"/>
              <w:right w:val="nil"/>
            </w:tcBorders>
          </w:tcPr>
          <w:p w14:paraId="6C53A201"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3.87 (2.25)</w:t>
            </w:r>
            <w:r w:rsidRPr="00442034">
              <w:rPr>
                <w:rFonts w:ascii="Times New Roman" w:hAnsi="Times New Roman" w:cs="Times New Roman"/>
                <w:sz w:val="20"/>
                <w:szCs w:val="20"/>
                <w:vertAlign w:val="superscript"/>
              </w:rPr>
              <w:t xml:space="preserve"> †</w:t>
            </w:r>
          </w:p>
        </w:tc>
        <w:tc>
          <w:tcPr>
            <w:tcW w:w="2073" w:type="dxa"/>
            <w:tcBorders>
              <w:top w:val="nil"/>
              <w:left w:val="nil"/>
              <w:bottom w:val="nil"/>
              <w:right w:val="nil"/>
            </w:tcBorders>
          </w:tcPr>
          <w:p w14:paraId="5F7AE37E" w14:textId="77777777" w:rsidR="0048282A" w:rsidRPr="00442034" w:rsidRDefault="0048282A" w:rsidP="00BE5E6D">
            <w:pPr>
              <w:tabs>
                <w:tab w:val="decimal" w:pos="615"/>
              </w:tabs>
              <w:rPr>
                <w:rFonts w:ascii="Times New Roman" w:hAnsi="Times New Roman" w:cs="Times New Roman"/>
                <w:sz w:val="20"/>
                <w:szCs w:val="20"/>
              </w:rPr>
            </w:pPr>
            <w:r w:rsidRPr="00442034">
              <w:rPr>
                <w:rFonts w:ascii="Times New Roman" w:hAnsi="Times New Roman" w:cs="Times New Roman"/>
                <w:sz w:val="20"/>
                <w:szCs w:val="20"/>
              </w:rPr>
              <w:t>2.32 (2.20)</w:t>
            </w:r>
          </w:p>
        </w:tc>
      </w:tr>
      <w:tr w:rsidR="0048282A" w:rsidRPr="00442034" w14:paraId="5D098229" w14:textId="77777777" w:rsidTr="00BD167B">
        <w:trPr>
          <w:trHeight w:val="235"/>
        </w:trPr>
        <w:tc>
          <w:tcPr>
            <w:tcW w:w="1713" w:type="dxa"/>
            <w:tcBorders>
              <w:top w:val="nil"/>
              <w:left w:val="nil"/>
              <w:bottom w:val="nil"/>
              <w:right w:val="nil"/>
            </w:tcBorders>
          </w:tcPr>
          <w:p w14:paraId="3B4C6E04"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Kinship Care</w:t>
            </w:r>
          </w:p>
        </w:tc>
        <w:tc>
          <w:tcPr>
            <w:tcW w:w="1532" w:type="dxa"/>
            <w:tcBorders>
              <w:top w:val="nil"/>
              <w:left w:val="nil"/>
              <w:bottom w:val="nil"/>
              <w:right w:val="nil"/>
            </w:tcBorders>
          </w:tcPr>
          <w:p w14:paraId="7E2561A5"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1.09 (1.91)</w:t>
            </w:r>
          </w:p>
        </w:tc>
        <w:tc>
          <w:tcPr>
            <w:tcW w:w="2073" w:type="dxa"/>
            <w:tcBorders>
              <w:top w:val="nil"/>
              <w:left w:val="nil"/>
              <w:bottom w:val="nil"/>
              <w:right w:val="nil"/>
            </w:tcBorders>
          </w:tcPr>
          <w:p w14:paraId="7B20011B" w14:textId="77777777" w:rsidR="0048282A" w:rsidRPr="00442034" w:rsidRDefault="0048282A" w:rsidP="00BE5E6D">
            <w:pPr>
              <w:tabs>
                <w:tab w:val="decimal" w:pos="705"/>
              </w:tabs>
              <w:rPr>
                <w:rFonts w:ascii="Times New Roman" w:hAnsi="Times New Roman" w:cs="Times New Roman"/>
                <w:sz w:val="20"/>
                <w:szCs w:val="20"/>
              </w:rPr>
            </w:pPr>
            <w:r w:rsidRPr="00442034">
              <w:rPr>
                <w:rFonts w:ascii="Times New Roman" w:hAnsi="Times New Roman" w:cs="Times New Roman"/>
                <w:sz w:val="20"/>
                <w:szCs w:val="20"/>
              </w:rPr>
              <w:t>1.27 (1.88)</w:t>
            </w:r>
          </w:p>
        </w:tc>
        <w:tc>
          <w:tcPr>
            <w:tcW w:w="1983" w:type="dxa"/>
            <w:tcBorders>
              <w:top w:val="nil"/>
              <w:left w:val="nil"/>
              <w:bottom w:val="nil"/>
              <w:right w:val="nil"/>
            </w:tcBorders>
          </w:tcPr>
          <w:p w14:paraId="15D766EA"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0.65 (1.88)</w:t>
            </w:r>
          </w:p>
        </w:tc>
        <w:tc>
          <w:tcPr>
            <w:tcW w:w="2073" w:type="dxa"/>
            <w:tcBorders>
              <w:top w:val="nil"/>
              <w:left w:val="nil"/>
              <w:bottom w:val="nil"/>
              <w:right w:val="nil"/>
            </w:tcBorders>
          </w:tcPr>
          <w:p w14:paraId="0393ED76" w14:textId="77777777" w:rsidR="0048282A" w:rsidRPr="00442034" w:rsidRDefault="0048282A" w:rsidP="00BE5E6D">
            <w:pPr>
              <w:tabs>
                <w:tab w:val="decimal" w:pos="615"/>
              </w:tabs>
              <w:rPr>
                <w:rFonts w:ascii="Times New Roman" w:hAnsi="Times New Roman" w:cs="Times New Roman"/>
                <w:sz w:val="20"/>
                <w:szCs w:val="20"/>
              </w:rPr>
            </w:pPr>
            <w:r w:rsidRPr="00442034">
              <w:rPr>
                <w:rFonts w:ascii="Times New Roman" w:hAnsi="Times New Roman" w:cs="Times New Roman"/>
                <w:sz w:val="20"/>
                <w:szCs w:val="20"/>
              </w:rPr>
              <w:t>0.45 (1.69)</w:t>
            </w:r>
          </w:p>
        </w:tc>
      </w:tr>
      <w:tr w:rsidR="0048282A" w:rsidRPr="00442034" w14:paraId="6B0FE1E5" w14:textId="77777777" w:rsidTr="00BD167B">
        <w:trPr>
          <w:trHeight w:val="472"/>
        </w:trPr>
        <w:tc>
          <w:tcPr>
            <w:tcW w:w="1713" w:type="dxa"/>
            <w:tcBorders>
              <w:top w:val="nil"/>
              <w:left w:val="nil"/>
              <w:bottom w:val="nil"/>
              <w:right w:val="nil"/>
            </w:tcBorders>
          </w:tcPr>
          <w:p w14:paraId="50D344DF"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Substantiated Report</w:t>
            </w:r>
          </w:p>
        </w:tc>
        <w:tc>
          <w:tcPr>
            <w:tcW w:w="1532" w:type="dxa"/>
            <w:tcBorders>
              <w:top w:val="nil"/>
              <w:left w:val="nil"/>
              <w:bottom w:val="nil"/>
              <w:right w:val="nil"/>
            </w:tcBorders>
          </w:tcPr>
          <w:p w14:paraId="54060104" w14:textId="77777777" w:rsidR="0048282A" w:rsidRPr="00442034" w:rsidRDefault="0048282A" w:rsidP="00BE5E6D">
            <w:pPr>
              <w:tabs>
                <w:tab w:val="decimal" w:pos="255"/>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-1.94 (.</w:t>
            </w:r>
            <w:proofErr w:type="gramStart"/>
            <w:r w:rsidRPr="00442034">
              <w:rPr>
                <w:rFonts w:ascii="Times New Roman" w:hAnsi="Times New Roman" w:cs="Times New Roman"/>
                <w:sz w:val="20"/>
                <w:szCs w:val="20"/>
              </w:rPr>
              <w:t>64)</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073" w:type="dxa"/>
            <w:tcBorders>
              <w:top w:val="nil"/>
              <w:left w:val="nil"/>
              <w:bottom w:val="nil"/>
              <w:right w:val="nil"/>
            </w:tcBorders>
          </w:tcPr>
          <w:p w14:paraId="0561E6C6" w14:textId="77777777" w:rsidR="0048282A" w:rsidRPr="00442034" w:rsidRDefault="0048282A" w:rsidP="00BE5E6D">
            <w:pPr>
              <w:tabs>
                <w:tab w:val="decimal" w:pos="705"/>
              </w:tabs>
              <w:rPr>
                <w:rFonts w:ascii="Times New Roman" w:hAnsi="Times New Roman" w:cs="Times New Roman"/>
                <w:sz w:val="20"/>
                <w:szCs w:val="20"/>
                <w:vertAlign w:val="superscript"/>
              </w:rPr>
            </w:pPr>
            <w:r w:rsidRPr="00442034">
              <w:rPr>
                <w:rFonts w:ascii="Times New Roman" w:hAnsi="Times New Roman" w:cs="Times New Roman"/>
                <w:sz w:val="20"/>
                <w:szCs w:val="20"/>
              </w:rPr>
              <w:t>-1.69 (.</w:t>
            </w:r>
            <w:proofErr w:type="gramStart"/>
            <w:r w:rsidRPr="00442034">
              <w:rPr>
                <w:rFonts w:ascii="Times New Roman" w:hAnsi="Times New Roman" w:cs="Times New Roman"/>
                <w:sz w:val="20"/>
                <w:szCs w:val="20"/>
              </w:rPr>
              <w:t>55)</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1983" w:type="dxa"/>
            <w:tcBorders>
              <w:top w:val="nil"/>
              <w:left w:val="nil"/>
              <w:bottom w:val="nil"/>
              <w:right w:val="nil"/>
            </w:tcBorders>
          </w:tcPr>
          <w:p w14:paraId="17DEF81F"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-1.71 (.</w:t>
            </w:r>
            <w:proofErr w:type="gramStart"/>
            <w:r w:rsidRPr="00442034">
              <w:rPr>
                <w:rFonts w:ascii="Times New Roman" w:hAnsi="Times New Roman" w:cs="Times New Roman"/>
                <w:sz w:val="20"/>
                <w:szCs w:val="20"/>
              </w:rPr>
              <w:t>56)</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073" w:type="dxa"/>
            <w:tcBorders>
              <w:top w:val="nil"/>
              <w:left w:val="nil"/>
              <w:bottom w:val="nil"/>
              <w:right w:val="nil"/>
            </w:tcBorders>
          </w:tcPr>
          <w:p w14:paraId="5FE18DF5" w14:textId="77777777" w:rsidR="0048282A" w:rsidRPr="00442034" w:rsidRDefault="0048282A" w:rsidP="00BE5E6D">
            <w:pPr>
              <w:tabs>
                <w:tab w:val="decimal" w:pos="615"/>
              </w:tabs>
              <w:rPr>
                <w:rFonts w:ascii="Times New Roman" w:hAnsi="Times New Roman" w:cs="Times New Roman"/>
                <w:sz w:val="20"/>
                <w:szCs w:val="20"/>
                <w:vertAlign w:val="superscript"/>
              </w:rPr>
            </w:pPr>
            <w:r w:rsidRPr="00442034">
              <w:rPr>
                <w:rFonts w:ascii="Times New Roman" w:hAnsi="Times New Roman" w:cs="Times New Roman"/>
                <w:sz w:val="20"/>
                <w:szCs w:val="20"/>
              </w:rPr>
              <w:t>-2.22 (.</w:t>
            </w:r>
            <w:proofErr w:type="gramStart"/>
            <w:r w:rsidRPr="00442034">
              <w:rPr>
                <w:rFonts w:ascii="Times New Roman" w:hAnsi="Times New Roman" w:cs="Times New Roman"/>
                <w:sz w:val="20"/>
                <w:szCs w:val="20"/>
              </w:rPr>
              <w:t>57)</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r>
      <w:tr w:rsidR="0048282A" w:rsidRPr="00442034" w14:paraId="4D3B074A" w14:textId="77777777" w:rsidTr="00BD167B">
        <w:trPr>
          <w:trHeight w:val="219"/>
        </w:trPr>
        <w:tc>
          <w:tcPr>
            <w:tcW w:w="1713" w:type="dxa"/>
            <w:tcBorders>
              <w:top w:val="nil"/>
              <w:left w:val="nil"/>
              <w:bottom w:val="nil"/>
              <w:right w:val="nil"/>
            </w:tcBorders>
          </w:tcPr>
          <w:p w14:paraId="5B59EBA0"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Neglect</w:t>
            </w:r>
          </w:p>
        </w:tc>
        <w:tc>
          <w:tcPr>
            <w:tcW w:w="1532" w:type="dxa"/>
            <w:tcBorders>
              <w:top w:val="nil"/>
              <w:left w:val="nil"/>
              <w:bottom w:val="nil"/>
              <w:right w:val="nil"/>
            </w:tcBorders>
          </w:tcPr>
          <w:p w14:paraId="23B14673"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0.53 (.88)</w:t>
            </w:r>
          </w:p>
        </w:tc>
        <w:tc>
          <w:tcPr>
            <w:tcW w:w="2073" w:type="dxa"/>
            <w:tcBorders>
              <w:top w:val="nil"/>
              <w:left w:val="nil"/>
              <w:bottom w:val="nil"/>
              <w:right w:val="nil"/>
            </w:tcBorders>
          </w:tcPr>
          <w:p w14:paraId="62E85DC7" w14:textId="77777777" w:rsidR="0048282A" w:rsidRPr="00442034" w:rsidRDefault="0048282A" w:rsidP="00BE5E6D">
            <w:pPr>
              <w:tabs>
                <w:tab w:val="decimal" w:pos="705"/>
              </w:tabs>
              <w:rPr>
                <w:rFonts w:ascii="Times New Roman" w:hAnsi="Times New Roman" w:cs="Times New Roman"/>
                <w:sz w:val="20"/>
                <w:szCs w:val="20"/>
              </w:rPr>
            </w:pPr>
            <w:r w:rsidRPr="00442034">
              <w:rPr>
                <w:rFonts w:ascii="Times New Roman" w:hAnsi="Times New Roman" w:cs="Times New Roman"/>
                <w:sz w:val="20"/>
                <w:szCs w:val="20"/>
              </w:rPr>
              <w:t>-1.39 (.89)</w:t>
            </w:r>
          </w:p>
        </w:tc>
        <w:tc>
          <w:tcPr>
            <w:tcW w:w="1983" w:type="dxa"/>
            <w:tcBorders>
              <w:top w:val="nil"/>
              <w:left w:val="nil"/>
              <w:bottom w:val="nil"/>
              <w:right w:val="nil"/>
            </w:tcBorders>
          </w:tcPr>
          <w:p w14:paraId="07627762"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-0.76 (.92)</w:t>
            </w:r>
          </w:p>
        </w:tc>
        <w:tc>
          <w:tcPr>
            <w:tcW w:w="2073" w:type="dxa"/>
            <w:tcBorders>
              <w:top w:val="nil"/>
              <w:left w:val="nil"/>
              <w:bottom w:val="nil"/>
              <w:right w:val="nil"/>
            </w:tcBorders>
          </w:tcPr>
          <w:p w14:paraId="678AA724" w14:textId="77777777" w:rsidR="0048282A" w:rsidRPr="00442034" w:rsidRDefault="0048282A" w:rsidP="00BE5E6D">
            <w:pPr>
              <w:tabs>
                <w:tab w:val="decimal" w:pos="615"/>
              </w:tabs>
              <w:rPr>
                <w:rFonts w:ascii="Times New Roman" w:hAnsi="Times New Roman" w:cs="Times New Roman"/>
                <w:sz w:val="20"/>
                <w:szCs w:val="20"/>
              </w:rPr>
            </w:pPr>
            <w:r w:rsidRPr="00442034">
              <w:rPr>
                <w:rFonts w:ascii="Times New Roman" w:hAnsi="Times New Roman" w:cs="Times New Roman"/>
                <w:sz w:val="20"/>
                <w:szCs w:val="20"/>
              </w:rPr>
              <w:t>-1.15 (.86)</w:t>
            </w:r>
          </w:p>
        </w:tc>
      </w:tr>
      <w:tr w:rsidR="0048282A" w:rsidRPr="00442034" w14:paraId="4912C6D6" w14:textId="77777777" w:rsidTr="00BD167B">
        <w:trPr>
          <w:trHeight w:val="235"/>
        </w:trPr>
        <w:tc>
          <w:tcPr>
            <w:tcW w:w="1713" w:type="dxa"/>
            <w:tcBorders>
              <w:top w:val="nil"/>
              <w:left w:val="nil"/>
              <w:bottom w:val="nil"/>
              <w:right w:val="nil"/>
            </w:tcBorders>
          </w:tcPr>
          <w:p w14:paraId="6C937B58"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Substance Related</w:t>
            </w:r>
          </w:p>
        </w:tc>
        <w:tc>
          <w:tcPr>
            <w:tcW w:w="1532" w:type="dxa"/>
            <w:tcBorders>
              <w:top w:val="nil"/>
              <w:left w:val="nil"/>
              <w:bottom w:val="nil"/>
              <w:right w:val="nil"/>
            </w:tcBorders>
          </w:tcPr>
          <w:p w14:paraId="70EFDA86"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-0.85 (1.40)</w:t>
            </w:r>
          </w:p>
        </w:tc>
        <w:tc>
          <w:tcPr>
            <w:tcW w:w="2073" w:type="dxa"/>
            <w:tcBorders>
              <w:top w:val="nil"/>
              <w:left w:val="nil"/>
              <w:bottom w:val="nil"/>
              <w:right w:val="nil"/>
            </w:tcBorders>
          </w:tcPr>
          <w:p w14:paraId="3C9F34C0" w14:textId="77777777" w:rsidR="0048282A" w:rsidRPr="00442034" w:rsidRDefault="0048282A" w:rsidP="00BE5E6D">
            <w:pPr>
              <w:tabs>
                <w:tab w:val="decimal" w:pos="705"/>
              </w:tabs>
              <w:rPr>
                <w:rFonts w:ascii="Times New Roman" w:hAnsi="Times New Roman" w:cs="Times New Roman"/>
                <w:sz w:val="20"/>
                <w:szCs w:val="20"/>
                <w:vertAlign w:val="superscript"/>
              </w:rPr>
            </w:pPr>
            <w:r w:rsidRPr="00442034">
              <w:rPr>
                <w:rFonts w:ascii="Times New Roman" w:hAnsi="Times New Roman" w:cs="Times New Roman"/>
                <w:sz w:val="20"/>
                <w:szCs w:val="20"/>
              </w:rPr>
              <w:t>-2.20 (1.11)</w:t>
            </w:r>
            <w:r w:rsidRPr="00442034">
              <w:rPr>
                <w:rFonts w:ascii="Times New Roman" w:hAnsi="Times New Roman" w:cs="Times New Roman"/>
                <w:sz w:val="20"/>
                <w:szCs w:val="20"/>
                <w:vertAlign w:val="superscript"/>
              </w:rPr>
              <w:t xml:space="preserve"> †</w:t>
            </w:r>
          </w:p>
        </w:tc>
        <w:tc>
          <w:tcPr>
            <w:tcW w:w="1983" w:type="dxa"/>
            <w:tcBorders>
              <w:top w:val="nil"/>
              <w:left w:val="nil"/>
              <w:bottom w:val="nil"/>
              <w:right w:val="nil"/>
            </w:tcBorders>
          </w:tcPr>
          <w:p w14:paraId="42B77D25"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-2.00 (.</w:t>
            </w:r>
            <w:proofErr w:type="gramStart"/>
            <w:r w:rsidRPr="00442034">
              <w:rPr>
                <w:rFonts w:ascii="Times New Roman" w:hAnsi="Times New Roman" w:cs="Times New Roman"/>
                <w:sz w:val="20"/>
                <w:szCs w:val="20"/>
              </w:rPr>
              <w:t>97)</w:t>
            </w:r>
            <w:r w:rsidRPr="00442034">
              <w:rPr>
                <w:rFonts w:ascii="Times New Roman" w:hAnsi="Times New Roman" w:cs="Times New Roman"/>
                <w:sz w:val="20"/>
                <w:szCs w:val="20"/>
                <w:vertAlign w:val="superscript"/>
              </w:rPr>
              <w:t>*</w:t>
            </w:r>
            <w:proofErr w:type="gramEnd"/>
          </w:p>
        </w:tc>
        <w:tc>
          <w:tcPr>
            <w:tcW w:w="2073" w:type="dxa"/>
            <w:tcBorders>
              <w:top w:val="nil"/>
              <w:left w:val="nil"/>
              <w:bottom w:val="nil"/>
              <w:right w:val="nil"/>
            </w:tcBorders>
          </w:tcPr>
          <w:p w14:paraId="1448D4A7" w14:textId="77777777" w:rsidR="0048282A" w:rsidRPr="00442034" w:rsidRDefault="0048282A" w:rsidP="00BE5E6D">
            <w:pPr>
              <w:tabs>
                <w:tab w:val="decimal" w:pos="615"/>
              </w:tabs>
              <w:rPr>
                <w:rFonts w:ascii="Times New Roman" w:hAnsi="Times New Roman" w:cs="Times New Roman"/>
                <w:sz w:val="20"/>
                <w:szCs w:val="20"/>
                <w:vertAlign w:val="superscript"/>
              </w:rPr>
            </w:pPr>
            <w:r w:rsidRPr="00442034">
              <w:rPr>
                <w:rFonts w:ascii="Times New Roman" w:hAnsi="Times New Roman" w:cs="Times New Roman"/>
                <w:sz w:val="20"/>
                <w:szCs w:val="20"/>
              </w:rPr>
              <w:t>-2.30 (</w:t>
            </w:r>
            <w:proofErr w:type="gramStart"/>
            <w:r w:rsidRPr="00442034">
              <w:rPr>
                <w:rFonts w:ascii="Times New Roman" w:hAnsi="Times New Roman" w:cs="Times New Roman"/>
                <w:sz w:val="20"/>
                <w:szCs w:val="20"/>
              </w:rPr>
              <w:t>1.00)</w:t>
            </w:r>
            <w:r w:rsidRPr="00442034">
              <w:rPr>
                <w:rFonts w:ascii="Times New Roman" w:hAnsi="Times New Roman" w:cs="Times New Roman"/>
                <w:sz w:val="20"/>
                <w:szCs w:val="20"/>
                <w:vertAlign w:val="superscript"/>
              </w:rPr>
              <w:t>*</w:t>
            </w:r>
            <w:proofErr w:type="gramEnd"/>
          </w:p>
        </w:tc>
      </w:tr>
      <w:tr w:rsidR="0048282A" w:rsidRPr="00442034" w14:paraId="17120BFB" w14:textId="77777777" w:rsidTr="00BD167B">
        <w:trPr>
          <w:trHeight w:val="472"/>
        </w:trPr>
        <w:tc>
          <w:tcPr>
            <w:tcW w:w="1713" w:type="dxa"/>
            <w:tcBorders>
              <w:top w:val="nil"/>
              <w:left w:val="nil"/>
              <w:bottom w:val="nil"/>
              <w:right w:val="nil"/>
            </w:tcBorders>
          </w:tcPr>
          <w:p w14:paraId="7062D41C"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Domestic Violence</w:t>
            </w:r>
          </w:p>
        </w:tc>
        <w:tc>
          <w:tcPr>
            <w:tcW w:w="1532" w:type="dxa"/>
            <w:tcBorders>
              <w:top w:val="nil"/>
              <w:left w:val="nil"/>
              <w:bottom w:val="nil"/>
              <w:right w:val="nil"/>
            </w:tcBorders>
          </w:tcPr>
          <w:p w14:paraId="1A70243F"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0.67 (1.29)</w:t>
            </w:r>
          </w:p>
        </w:tc>
        <w:tc>
          <w:tcPr>
            <w:tcW w:w="2073" w:type="dxa"/>
            <w:tcBorders>
              <w:top w:val="nil"/>
              <w:left w:val="nil"/>
              <w:bottom w:val="nil"/>
              <w:right w:val="nil"/>
            </w:tcBorders>
          </w:tcPr>
          <w:p w14:paraId="5B2B31EB" w14:textId="77777777" w:rsidR="0048282A" w:rsidRPr="00442034" w:rsidRDefault="0048282A" w:rsidP="00BE5E6D">
            <w:pPr>
              <w:tabs>
                <w:tab w:val="decimal" w:pos="705"/>
              </w:tabs>
              <w:rPr>
                <w:rFonts w:ascii="Times New Roman" w:hAnsi="Times New Roman" w:cs="Times New Roman"/>
                <w:sz w:val="20"/>
                <w:szCs w:val="20"/>
              </w:rPr>
            </w:pPr>
            <w:r w:rsidRPr="00442034">
              <w:rPr>
                <w:rFonts w:ascii="Times New Roman" w:hAnsi="Times New Roman" w:cs="Times New Roman"/>
                <w:sz w:val="20"/>
                <w:szCs w:val="20"/>
              </w:rPr>
              <w:t>-1.76 (1.09)</w:t>
            </w:r>
          </w:p>
        </w:tc>
        <w:tc>
          <w:tcPr>
            <w:tcW w:w="1983" w:type="dxa"/>
            <w:tcBorders>
              <w:top w:val="nil"/>
              <w:left w:val="nil"/>
              <w:bottom w:val="nil"/>
              <w:right w:val="nil"/>
            </w:tcBorders>
          </w:tcPr>
          <w:p w14:paraId="2326E495"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-1.76 (1.08)</w:t>
            </w:r>
          </w:p>
        </w:tc>
        <w:tc>
          <w:tcPr>
            <w:tcW w:w="2073" w:type="dxa"/>
            <w:tcBorders>
              <w:top w:val="nil"/>
              <w:left w:val="nil"/>
              <w:bottom w:val="nil"/>
              <w:right w:val="nil"/>
            </w:tcBorders>
          </w:tcPr>
          <w:p w14:paraId="261BE44C" w14:textId="77777777" w:rsidR="0048282A" w:rsidRPr="00442034" w:rsidRDefault="0048282A" w:rsidP="00BE5E6D">
            <w:pPr>
              <w:tabs>
                <w:tab w:val="decimal" w:pos="615"/>
              </w:tabs>
              <w:rPr>
                <w:rFonts w:ascii="Times New Roman" w:hAnsi="Times New Roman" w:cs="Times New Roman"/>
                <w:sz w:val="20"/>
                <w:szCs w:val="20"/>
                <w:vertAlign w:val="superscript"/>
              </w:rPr>
            </w:pPr>
            <w:r w:rsidRPr="00442034">
              <w:rPr>
                <w:rFonts w:ascii="Times New Roman" w:hAnsi="Times New Roman" w:cs="Times New Roman"/>
                <w:sz w:val="20"/>
                <w:szCs w:val="20"/>
              </w:rPr>
              <w:t>-2.31 (</w:t>
            </w:r>
            <w:proofErr w:type="gramStart"/>
            <w:r w:rsidRPr="00442034">
              <w:rPr>
                <w:rFonts w:ascii="Times New Roman" w:hAnsi="Times New Roman" w:cs="Times New Roman"/>
                <w:sz w:val="20"/>
                <w:szCs w:val="20"/>
              </w:rPr>
              <w:t>1.15)</w:t>
            </w:r>
            <w:r w:rsidRPr="00442034">
              <w:rPr>
                <w:rFonts w:ascii="Times New Roman" w:hAnsi="Times New Roman" w:cs="Times New Roman"/>
                <w:sz w:val="20"/>
                <w:szCs w:val="20"/>
                <w:vertAlign w:val="superscript"/>
              </w:rPr>
              <w:t>*</w:t>
            </w:r>
            <w:proofErr w:type="gramEnd"/>
          </w:p>
        </w:tc>
      </w:tr>
      <w:tr w:rsidR="0048282A" w:rsidRPr="00442034" w14:paraId="36986134" w14:textId="77777777" w:rsidTr="00BD167B">
        <w:trPr>
          <w:trHeight w:val="219"/>
        </w:trPr>
        <w:tc>
          <w:tcPr>
            <w:tcW w:w="1713" w:type="dxa"/>
            <w:tcBorders>
              <w:top w:val="nil"/>
              <w:left w:val="nil"/>
              <w:bottom w:val="nil"/>
              <w:right w:val="nil"/>
            </w:tcBorders>
          </w:tcPr>
          <w:p w14:paraId="2A6263E4"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Sexual Abuse</w:t>
            </w:r>
          </w:p>
        </w:tc>
        <w:tc>
          <w:tcPr>
            <w:tcW w:w="1532" w:type="dxa"/>
            <w:tcBorders>
              <w:top w:val="nil"/>
              <w:left w:val="nil"/>
              <w:bottom w:val="nil"/>
              <w:right w:val="nil"/>
            </w:tcBorders>
          </w:tcPr>
          <w:p w14:paraId="1B9EF527" w14:textId="77777777" w:rsidR="0048282A" w:rsidRPr="00442034" w:rsidRDefault="0048282A" w:rsidP="00BE5E6D">
            <w:pPr>
              <w:tabs>
                <w:tab w:val="decimal" w:pos="255"/>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-2.75 (</w:t>
            </w:r>
            <w:proofErr w:type="gramStart"/>
            <w:r w:rsidRPr="00442034">
              <w:rPr>
                <w:rFonts w:ascii="Times New Roman" w:hAnsi="Times New Roman" w:cs="Times New Roman"/>
                <w:sz w:val="20"/>
                <w:szCs w:val="20"/>
              </w:rPr>
              <w:t>1.19)</w:t>
            </w:r>
            <w:r w:rsidRPr="00442034">
              <w:rPr>
                <w:rFonts w:ascii="Times New Roman" w:hAnsi="Times New Roman" w:cs="Times New Roman"/>
                <w:sz w:val="20"/>
                <w:szCs w:val="20"/>
                <w:vertAlign w:val="superscript"/>
              </w:rPr>
              <w:t>*</w:t>
            </w:r>
            <w:proofErr w:type="gramEnd"/>
          </w:p>
        </w:tc>
        <w:tc>
          <w:tcPr>
            <w:tcW w:w="2073" w:type="dxa"/>
            <w:tcBorders>
              <w:top w:val="nil"/>
              <w:left w:val="nil"/>
              <w:bottom w:val="nil"/>
              <w:right w:val="nil"/>
            </w:tcBorders>
          </w:tcPr>
          <w:p w14:paraId="3C2F8C0B" w14:textId="77777777" w:rsidR="0048282A" w:rsidRPr="00442034" w:rsidRDefault="0048282A" w:rsidP="00BE5E6D">
            <w:pPr>
              <w:tabs>
                <w:tab w:val="decimal" w:pos="705"/>
              </w:tabs>
              <w:rPr>
                <w:rFonts w:ascii="Times New Roman" w:hAnsi="Times New Roman" w:cs="Times New Roman"/>
                <w:sz w:val="20"/>
                <w:szCs w:val="20"/>
              </w:rPr>
            </w:pPr>
            <w:r w:rsidRPr="00442034">
              <w:rPr>
                <w:rFonts w:ascii="Times New Roman" w:hAnsi="Times New Roman" w:cs="Times New Roman"/>
                <w:sz w:val="20"/>
                <w:szCs w:val="20"/>
              </w:rPr>
              <w:t>-1.44 (1.06)</w:t>
            </w:r>
          </w:p>
        </w:tc>
        <w:tc>
          <w:tcPr>
            <w:tcW w:w="1983" w:type="dxa"/>
            <w:tcBorders>
              <w:top w:val="nil"/>
              <w:left w:val="nil"/>
              <w:bottom w:val="nil"/>
              <w:right w:val="nil"/>
            </w:tcBorders>
          </w:tcPr>
          <w:p w14:paraId="071C68A7"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-1.98 (1.02)</w:t>
            </w:r>
            <w:r w:rsidRPr="00442034">
              <w:rPr>
                <w:rFonts w:ascii="Times New Roman" w:hAnsi="Times New Roman" w:cs="Times New Roman"/>
                <w:sz w:val="20"/>
                <w:szCs w:val="20"/>
                <w:vertAlign w:val="superscript"/>
              </w:rPr>
              <w:t xml:space="preserve"> †</w:t>
            </w:r>
          </w:p>
        </w:tc>
        <w:tc>
          <w:tcPr>
            <w:tcW w:w="2073" w:type="dxa"/>
            <w:tcBorders>
              <w:top w:val="nil"/>
              <w:left w:val="nil"/>
              <w:bottom w:val="nil"/>
              <w:right w:val="nil"/>
            </w:tcBorders>
          </w:tcPr>
          <w:p w14:paraId="67E77C4C" w14:textId="77777777" w:rsidR="0048282A" w:rsidRPr="00442034" w:rsidRDefault="0048282A" w:rsidP="00BE5E6D">
            <w:pPr>
              <w:tabs>
                <w:tab w:val="decimal" w:pos="615"/>
              </w:tabs>
              <w:rPr>
                <w:rFonts w:ascii="Times New Roman" w:hAnsi="Times New Roman" w:cs="Times New Roman"/>
                <w:sz w:val="20"/>
                <w:szCs w:val="20"/>
                <w:vertAlign w:val="superscript"/>
              </w:rPr>
            </w:pPr>
            <w:r w:rsidRPr="00442034">
              <w:rPr>
                <w:rFonts w:ascii="Times New Roman" w:hAnsi="Times New Roman" w:cs="Times New Roman"/>
                <w:sz w:val="20"/>
                <w:szCs w:val="20"/>
              </w:rPr>
              <w:t>-2.81 (</w:t>
            </w:r>
            <w:proofErr w:type="gramStart"/>
            <w:r w:rsidRPr="00442034">
              <w:rPr>
                <w:rFonts w:ascii="Times New Roman" w:hAnsi="Times New Roman" w:cs="Times New Roman"/>
                <w:sz w:val="20"/>
                <w:szCs w:val="20"/>
              </w:rPr>
              <w:t>1.16)</w:t>
            </w:r>
            <w:r w:rsidRPr="00442034">
              <w:rPr>
                <w:rFonts w:ascii="Times New Roman" w:hAnsi="Times New Roman" w:cs="Times New Roman"/>
                <w:sz w:val="20"/>
                <w:szCs w:val="20"/>
                <w:vertAlign w:val="superscript"/>
              </w:rPr>
              <w:t>*</w:t>
            </w:r>
            <w:proofErr w:type="gramEnd"/>
          </w:p>
        </w:tc>
      </w:tr>
      <w:tr w:rsidR="0048282A" w:rsidRPr="00442034" w14:paraId="71D09570" w14:textId="77777777" w:rsidTr="00BD167B">
        <w:trPr>
          <w:trHeight w:val="235"/>
        </w:trPr>
        <w:tc>
          <w:tcPr>
            <w:tcW w:w="1713" w:type="dxa"/>
            <w:tcBorders>
              <w:top w:val="nil"/>
              <w:left w:val="nil"/>
              <w:bottom w:val="nil"/>
              <w:right w:val="nil"/>
            </w:tcBorders>
          </w:tcPr>
          <w:p w14:paraId="0ED5C975"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Other</w:t>
            </w:r>
          </w:p>
        </w:tc>
        <w:tc>
          <w:tcPr>
            <w:tcW w:w="1532" w:type="dxa"/>
            <w:tcBorders>
              <w:top w:val="nil"/>
              <w:left w:val="nil"/>
              <w:bottom w:val="nil"/>
              <w:right w:val="nil"/>
            </w:tcBorders>
          </w:tcPr>
          <w:p w14:paraId="3A9E3E82" w14:textId="77777777" w:rsidR="0048282A" w:rsidRPr="00442034" w:rsidRDefault="0048282A" w:rsidP="00BE5E6D">
            <w:pPr>
              <w:tabs>
                <w:tab w:val="decimal" w:pos="255"/>
              </w:tabs>
              <w:jc w:val="center"/>
              <w:rPr>
                <w:rFonts w:ascii="Times New Roman" w:hAnsi="Times New Roman" w:cs="Times New Roman"/>
                <w:sz w:val="20"/>
                <w:szCs w:val="20"/>
              </w:rPr>
            </w:pPr>
            <w:r w:rsidRPr="00442034">
              <w:rPr>
                <w:rFonts w:ascii="Times New Roman" w:hAnsi="Times New Roman" w:cs="Times New Roman"/>
                <w:sz w:val="20"/>
                <w:szCs w:val="20"/>
              </w:rPr>
              <w:t>1.74 (1.41)</w:t>
            </w:r>
          </w:p>
        </w:tc>
        <w:tc>
          <w:tcPr>
            <w:tcW w:w="2073" w:type="dxa"/>
            <w:tcBorders>
              <w:top w:val="nil"/>
              <w:left w:val="nil"/>
              <w:bottom w:val="nil"/>
              <w:right w:val="nil"/>
            </w:tcBorders>
          </w:tcPr>
          <w:p w14:paraId="63D0D31F" w14:textId="77777777" w:rsidR="0048282A" w:rsidRPr="00442034" w:rsidRDefault="0048282A" w:rsidP="00BE5E6D">
            <w:pPr>
              <w:tabs>
                <w:tab w:val="decimal" w:pos="705"/>
              </w:tabs>
              <w:rPr>
                <w:rFonts w:ascii="Times New Roman" w:hAnsi="Times New Roman" w:cs="Times New Roman"/>
                <w:sz w:val="20"/>
                <w:szCs w:val="20"/>
              </w:rPr>
            </w:pPr>
            <w:r w:rsidRPr="00442034">
              <w:rPr>
                <w:rFonts w:ascii="Times New Roman" w:hAnsi="Times New Roman" w:cs="Times New Roman"/>
                <w:sz w:val="20"/>
                <w:szCs w:val="20"/>
              </w:rPr>
              <w:t>0.49 (1.59)</w:t>
            </w:r>
          </w:p>
        </w:tc>
        <w:tc>
          <w:tcPr>
            <w:tcW w:w="1983" w:type="dxa"/>
            <w:tcBorders>
              <w:top w:val="nil"/>
              <w:left w:val="nil"/>
              <w:bottom w:val="nil"/>
              <w:right w:val="nil"/>
            </w:tcBorders>
          </w:tcPr>
          <w:p w14:paraId="5D403A8E"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1.63 (1.39)</w:t>
            </w:r>
          </w:p>
        </w:tc>
        <w:tc>
          <w:tcPr>
            <w:tcW w:w="2073" w:type="dxa"/>
            <w:tcBorders>
              <w:top w:val="nil"/>
              <w:left w:val="nil"/>
              <w:bottom w:val="nil"/>
              <w:right w:val="nil"/>
            </w:tcBorders>
          </w:tcPr>
          <w:p w14:paraId="041341D1" w14:textId="77777777" w:rsidR="0048282A" w:rsidRPr="00442034" w:rsidRDefault="0048282A" w:rsidP="00BE5E6D">
            <w:pPr>
              <w:tabs>
                <w:tab w:val="decimal" w:pos="615"/>
              </w:tabs>
              <w:rPr>
                <w:rFonts w:ascii="Times New Roman" w:hAnsi="Times New Roman" w:cs="Times New Roman"/>
                <w:sz w:val="20"/>
                <w:szCs w:val="20"/>
              </w:rPr>
            </w:pPr>
            <w:r w:rsidRPr="00442034">
              <w:rPr>
                <w:rFonts w:ascii="Times New Roman" w:hAnsi="Times New Roman" w:cs="Times New Roman"/>
                <w:sz w:val="20"/>
                <w:szCs w:val="20"/>
              </w:rPr>
              <w:t>2.00 (1.41)</w:t>
            </w:r>
          </w:p>
        </w:tc>
      </w:tr>
      <w:tr w:rsidR="0048282A" w:rsidRPr="00442034" w14:paraId="1A44A7F5" w14:textId="77777777" w:rsidTr="00BD167B">
        <w:trPr>
          <w:trHeight w:val="472"/>
        </w:trPr>
        <w:tc>
          <w:tcPr>
            <w:tcW w:w="1713" w:type="dxa"/>
            <w:tcBorders>
              <w:top w:val="nil"/>
              <w:left w:val="nil"/>
              <w:bottom w:val="nil"/>
              <w:right w:val="nil"/>
            </w:tcBorders>
          </w:tcPr>
          <w:p w14:paraId="6A01D176"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Out-of-Home Care</w:t>
            </w:r>
          </w:p>
        </w:tc>
        <w:tc>
          <w:tcPr>
            <w:tcW w:w="1532" w:type="dxa"/>
            <w:tcBorders>
              <w:top w:val="nil"/>
              <w:left w:val="nil"/>
              <w:bottom w:val="nil"/>
              <w:right w:val="nil"/>
            </w:tcBorders>
          </w:tcPr>
          <w:p w14:paraId="62CD8BBC" w14:textId="77777777" w:rsidR="0048282A" w:rsidRPr="00442034" w:rsidRDefault="0048282A" w:rsidP="00BE5E6D">
            <w:pPr>
              <w:tabs>
                <w:tab w:val="decimal" w:pos="255"/>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-3.90 (1.94)</w:t>
            </w:r>
            <w:r w:rsidRPr="00442034">
              <w:rPr>
                <w:rFonts w:ascii="Times New Roman" w:hAnsi="Times New Roman" w:cs="Times New Roman"/>
                <w:sz w:val="20"/>
                <w:szCs w:val="20"/>
                <w:vertAlign w:val="superscript"/>
              </w:rPr>
              <w:t xml:space="preserve"> *</w:t>
            </w:r>
          </w:p>
        </w:tc>
        <w:tc>
          <w:tcPr>
            <w:tcW w:w="2073" w:type="dxa"/>
            <w:tcBorders>
              <w:top w:val="nil"/>
              <w:left w:val="nil"/>
              <w:bottom w:val="nil"/>
              <w:right w:val="nil"/>
            </w:tcBorders>
          </w:tcPr>
          <w:p w14:paraId="02768C68" w14:textId="77777777" w:rsidR="0048282A" w:rsidRPr="00442034" w:rsidRDefault="0048282A" w:rsidP="00BE5E6D">
            <w:pPr>
              <w:tabs>
                <w:tab w:val="decimal" w:pos="705"/>
              </w:tabs>
              <w:rPr>
                <w:rFonts w:ascii="Times New Roman" w:hAnsi="Times New Roman" w:cs="Times New Roman"/>
                <w:sz w:val="20"/>
                <w:szCs w:val="20"/>
              </w:rPr>
            </w:pPr>
            <w:r w:rsidRPr="00442034">
              <w:rPr>
                <w:rFonts w:ascii="Times New Roman" w:hAnsi="Times New Roman" w:cs="Times New Roman"/>
                <w:sz w:val="20"/>
                <w:szCs w:val="20"/>
              </w:rPr>
              <w:t>-2.51 (1.72)</w:t>
            </w:r>
          </w:p>
        </w:tc>
        <w:tc>
          <w:tcPr>
            <w:tcW w:w="1983" w:type="dxa"/>
            <w:tcBorders>
              <w:top w:val="nil"/>
              <w:left w:val="nil"/>
              <w:bottom w:val="nil"/>
              <w:right w:val="nil"/>
            </w:tcBorders>
          </w:tcPr>
          <w:p w14:paraId="18F534D8"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-1.83 (1.74)</w:t>
            </w:r>
          </w:p>
        </w:tc>
        <w:tc>
          <w:tcPr>
            <w:tcW w:w="2073" w:type="dxa"/>
            <w:tcBorders>
              <w:top w:val="nil"/>
              <w:left w:val="nil"/>
              <w:bottom w:val="nil"/>
              <w:right w:val="nil"/>
            </w:tcBorders>
          </w:tcPr>
          <w:p w14:paraId="11F90BC1" w14:textId="77777777" w:rsidR="0048282A" w:rsidRPr="00442034" w:rsidRDefault="0048282A" w:rsidP="00BE5E6D">
            <w:pPr>
              <w:tabs>
                <w:tab w:val="decimal" w:pos="615"/>
              </w:tabs>
              <w:rPr>
                <w:rFonts w:ascii="Times New Roman" w:hAnsi="Times New Roman" w:cs="Times New Roman"/>
                <w:sz w:val="20"/>
                <w:szCs w:val="20"/>
              </w:rPr>
            </w:pPr>
            <w:r w:rsidRPr="00442034">
              <w:rPr>
                <w:rFonts w:ascii="Times New Roman" w:hAnsi="Times New Roman" w:cs="Times New Roman"/>
                <w:sz w:val="20"/>
                <w:szCs w:val="20"/>
              </w:rPr>
              <w:t>-1.04 (1.82)</w:t>
            </w:r>
          </w:p>
        </w:tc>
      </w:tr>
      <w:tr w:rsidR="0048282A" w:rsidRPr="00442034" w14:paraId="4EF6084C" w14:textId="77777777" w:rsidTr="00BD167B">
        <w:trPr>
          <w:trHeight w:val="317"/>
        </w:trPr>
        <w:tc>
          <w:tcPr>
            <w:tcW w:w="1713" w:type="dxa"/>
            <w:tcBorders>
              <w:top w:val="nil"/>
              <w:left w:val="nil"/>
              <w:bottom w:val="single" w:sz="4" w:space="0" w:color="auto"/>
              <w:right w:val="nil"/>
            </w:tcBorders>
          </w:tcPr>
          <w:p w14:paraId="56EC285C"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Constant</w:t>
            </w:r>
          </w:p>
        </w:tc>
        <w:tc>
          <w:tcPr>
            <w:tcW w:w="1532" w:type="dxa"/>
            <w:tcBorders>
              <w:top w:val="nil"/>
              <w:left w:val="nil"/>
              <w:bottom w:val="single" w:sz="4" w:space="0" w:color="auto"/>
              <w:right w:val="nil"/>
            </w:tcBorders>
          </w:tcPr>
          <w:p w14:paraId="3CD540C4" w14:textId="77777777" w:rsidR="0048282A" w:rsidRPr="00442034" w:rsidRDefault="0048282A" w:rsidP="00BE5E6D">
            <w:pPr>
              <w:tabs>
                <w:tab w:val="decimal" w:pos="255"/>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15.5 (</w:t>
            </w:r>
            <w:proofErr w:type="gramStart"/>
            <w:r w:rsidRPr="00442034">
              <w:rPr>
                <w:rFonts w:ascii="Times New Roman" w:hAnsi="Times New Roman" w:cs="Times New Roman"/>
                <w:sz w:val="20"/>
                <w:szCs w:val="20"/>
              </w:rPr>
              <w:t>5.12)</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073" w:type="dxa"/>
            <w:tcBorders>
              <w:top w:val="nil"/>
              <w:left w:val="nil"/>
              <w:bottom w:val="single" w:sz="4" w:space="0" w:color="auto"/>
              <w:right w:val="nil"/>
            </w:tcBorders>
          </w:tcPr>
          <w:p w14:paraId="5C2275E5" w14:textId="77777777" w:rsidR="0048282A" w:rsidRPr="00442034" w:rsidRDefault="0048282A" w:rsidP="00BE5E6D">
            <w:pPr>
              <w:tabs>
                <w:tab w:val="decimal" w:pos="705"/>
              </w:tabs>
              <w:rPr>
                <w:rFonts w:ascii="Times New Roman" w:hAnsi="Times New Roman" w:cs="Times New Roman"/>
                <w:sz w:val="20"/>
                <w:szCs w:val="20"/>
                <w:vertAlign w:val="superscript"/>
              </w:rPr>
            </w:pPr>
            <w:r w:rsidRPr="00442034">
              <w:rPr>
                <w:rFonts w:ascii="Times New Roman" w:hAnsi="Times New Roman" w:cs="Times New Roman"/>
                <w:sz w:val="20"/>
                <w:szCs w:val="20"/>
              </w:rPr>
              <w:t>13.8 (</w:t>
            </w:r>
            <w:proofErr w:type="gramStart"/>
            <w:r w:rsidRPr="00442034">
              <w:rPr>
                <w:rFonts w:ascii="Times New Roman" w:hAnsi="Times New Roman" w:cs="Times New Roman"/>
                <w:sz w:val="20"/>
                <w:szCs w:val="20"/>
              </w:rPr>
              <w:t>4.74)</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1983" w:type="dxa"/>
            <w:tcBorders>
              <w:top w:val="nil"/>
              <w:left w:val="nil"/>
              <w:bottom w:val="single" w:sz="4" w:space="0" w:color="auto"/>
              <w:right w:val="nil"/>
            </w:tcBorders>
          </w:tcPr>
          <w:p w14:paraId="3111B21A"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12.3 (</w:t>
            </w:r>
            <w:proofErr w:type="gramStart"/>
            <w:r w:rsidRPr="00442034">
              <w:rPr>
                <w:rFonts w:ascii="Times New Roman" w:hAnsi="Times New Roman" w:cs="Times New Roman"/>
                <w:sz w:val="20"/>
                <w:szCs w:val="20"/>
              </w:rPr>
              <w:t>4.55)</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073" w:type="dxa"/>
            <w:tcBorders>
              <w:top w:val="nil"/>
              <w:left w:val="nil"/>
              <w:bottom w:val="single" w:sz="4" w:space="0" w:color="auto"/>
              <w:right w:val="nil"/>
            </w:tcBorders>
          </w:tcPr>
          <w:p w14:paraId="0EEA561B" w14:textId="77777777" w:rsidR="0048282A" w:rsidRPr="00442034" w:rsidRDefault="0048282A" w:rsidP="00BE5E6D">
            <w:pPr>
              <w:tabs>
                <w:tab w:val="decimal" w:pos="615"/>
              </w:tabs>
              <w:rPr>
                <w:rFonts w:ascii="Times New Roman" w:hAnsi="Times New Roman" w:cs="Times New Roman"/>
                <w:sz w:val="20"/>
                <w:szCs w:val="20"/>
                <w:vertAlign w:val="superscript"/>
              </w:rPr>
            </w:pPr>
            <w:r w:rsidRPr="00442034">
              <w:rPr>
                <w:rFonts w:ascii="Times New Roman" w:hAnsi="Times New Roman" w:cs="Times New Roman"/>
                <w:sz w:val="20"/>
                <w:szCs w:val="20"/>
              </w:rPr>
              <w:t>12.6 (</w:t>
            </w:r>
            <w:proofErr w:type="gramStart"/>
            <w:r w:rsidRPr="00442034">
              <w:rPr>
                <w:rFonts w:ascii="Times New Roman" w:hAnsi="Times New Roman" w:cs="Times New Roman"/>
                <w:sz w:val="20"/>
                <w:szCs w:val="20"/>
              </w:rPr>
              <w:t>4.45)</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r>
      <w:tr w:rsidR="0048282A" w:rsidRPr="00442034" w14:paraId="2F7B6B15" w14:textId="77777777" w:rsidTr="00BD167B">
        <w:trPr>
          <w:trHeight w:val="235"/>
        </w:trPr>
        <w:tc>
          <w:tcPr>
            <w:tcW w:w="1713" w:type="dxa"/>
            <w:tcBorders>
              <w:top w:val="single" w:sz="4" w:space="0" w:color="auto"/>
              <w:left w:val="nil"/>
              <w:bottom w:val="single" w:sz="4" w:space="0" w:color="auto"/>
              <w:right w:val="nil"/>
            </w:tcBorders>
          </w:tcPr>
          <w:p w14:paraId="4FA9382E"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Observations</w:t>
            </w:r>
          </w:p>
        </w:tc>
        <w:tc>
          <w:tcPr>
            <w:tcW w:w="1532" w:type="dxa"/>
            <w:tcBorders>
              <w:top w:val="single" w:sz="4" w:space="0" w:color="auto"/>
              <w:left w:val="nil"/>
              <w:bottom w:val="single" w:sz="4" w:space="0" w:color="auto"/>
              <w:right w:val="nil"/>
            </w:tcBorders>
          </w:tcPr>
          <w:p w14:paraId="29DD1E1F" w14:textId="77777777" w:rsidR="0048282A" w:rsidRPr="00442034" w:rsidRDefault="0048282A" w:rsidP="00BE5E6D">
            <w:pPr>
              <w:tabs>
                <w:tab w:val="center" w:pos="646"/>
              </w:tabs>
              <w:jc w:val="center"/>
              <w:rPr>
                <w:rFonts w:ascii="Times New Roman" w:hAnsi="Times New Roman" w:cs="Times New Roman"/>
                <w:sz w:val="20"/>
                <w:szCs w:val="20"/>
              </w:rPr>
            </w:pPr>
            <w:r w:rsidRPr="00442034">
              <w:rPr>
                <w:rFonts w:ascii="Times New Roman" w:hAnsi="Times New Roman" w:cs="Times New Roman"/>
                <w:sz w:val="20"/>
                <w:szCs w:val="20"/>
              </w:rPr>
              <w:t>491</w:t>
            </w:r>
          </w:p>
        </w:tc>
        <w:tc>
          <w:tcPr>
            <w:tcW w:w="2073" w:type="dxa"/>
            <w:tcBorders>
              <w:top w:val="single" w:sz="4" w:space="0" w:color="auto"/>
              <w:left w:val="nil"/>
              <w:bottom w:val="single" w:sz="4" w:space="0" w:color="auto"/>
              <w:right w:val="nil"/>
            </w:tcBorders>
          </w:tcPr>
          <w:p w14:paraId="22D943D6"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491</w:t>
            </w:r>
          </w:p>
        </w:tc>
        <w:tc>
          <w:tcPr>
            <w:tcW w:w="1983" w:type="dxa"/>
            <w:tcBorders>
              <w:top w:val="single" w:sz="4" w:space="0" w:color="auto"/>
              <w:left w:val="nil"/>
              <w:bottom w:val="single" w:sz="4" w:space="0" w:color="auto"/>
              <w:right w:val="nil"/>
            </w:tcBorders>
          </w:tcPr>
          <w:p w14:paraId="040C218B"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491</w:t>
            </w:r>
          </w:p>
        </w:tc>
        <w:tc>
          <w:tcPr>
            <w:tcW w:w="2073" w:type="dxa"/>
            <w:tcBorders>
              <w:top w:val="single" w:sz="4" w:space="0" w:color="auto"/>
              <w:left w:val="nil"/>
              <w:bottom w:val="single" w:sz="4" w:space="0" w:color="auto"/>
              <w:right w:val="nil"/>
            </w:tcBorders>
          </w:tcPr>
          <w:p w14:paraId="606F78D5"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491</w:t>
            </w:r>
          </w:p>
        </w:tc>
      </w:tr>
      <w:tr w:rsidR="0048282A" w:rsidRPr="00442034" w14:paraId="53C894AE" w14:textId="77777777" w:rsidTr="00BD167B">
        <w:trPr>
          <w:trHeight w:val="674"/>
        </w:trPr>
        <w:tc>
          <w:tcPr>
            <w:tcW w:w="9377" w:type="dxa"/>
            <w:gridSpan w:val="5"/>
            <w:tcBorders>
              <w:left w:val="nil"/>
              <w:bottom w:val="nil"/>
              <w:right w:val="nil"/>
            </w:tcBorders>
          </w:tcPr>
          <w:p w14:paraId="2CC7C718" w14:textId="77777777" w:rsidR="0048282A" w:rsidRPr="00442034" w:rsidRDefault="0048282A" w:rsidP="00BE5E6D">
            <w:pPr>
              <w:widowControl w:val="0"/>
              <w:autoSpaceDE w:val="0"/>
              <w:autoSpaceDN w:val="0"/>
              <w:adjustRightInd w:val="0"/>
              <w:rPr>
                <w:rFonts w:ascii="Times New Roman" w:hAnsi="Times New Roman" w:cs="Times New Roman"/>
                <w:sz w:val="20"/>
                <w:szCs w:val="20"/>
              </w:rPr>
            </w:pPr>
            <w:r w:rsidRPr="00442034">
              <w:rPr>
                <w:rFonts w:ascii="Times New Roman" w:hAnsi="Times New Roman" w:cs="Times New Roman"/>
                <w:sz w:val="20"/>
                <w:szCs w:val="20"/>
              </w:rPr>
              <w:t>Source: National Survey of Child and Adolescent Well-Being (NSCAW II)</w:t>
            </w:r>
          </w:p>
          <w:p w14:paraId="072D9B9E" w14:textId="77777777" w:rsidR="0048282A" w:rsidRPr="00442034" w:rsidRDefault="0048282A" w:rsidP="00BE5E6D">
            <w:pPr>
              <w:widowControl w:val="0"/>
              <w:autoSpaceDE w:val="0"/>
              <w:autoSpaceDN w:val="0"/>
              <w:adjustRightInd w:val="0"/>
              <w:rPr>
                <w:rFonts w:ascii="Times New Roman" w:hAnsi="Times New Roman" w:cs="Times New Roman"/>
                <w:sz w:val="20"/>
                <w:szCs w:val="20"/>
              </w:rPr>
            </w:pPr>
            <w:r w:rsidRPr="00442034">
              <w:rPr>
                <w:rFonts w:ascii="Times New Roman" w:hAnsi="Times New Roman" w:cs="Times New Roman"/>
                <w:sz w:val="20"/>
                <w:szCs w:val="20"/>
              </w:rPr>
              <w:t>Standard errors in parentheses</w:t>
            </w:r>
          </w:p>
          <w:p w14:paraId="7BB7C334" w14:textId="77777777" w:rsidR="0048282A" w:rsidRPr="00442034" w:rsidRDefault="0048282A" w:rsidP="00BE5E6D">
            <w:pPr>
              <w:tabs>
                <w:tab w:val="left" w:pos="646"/>
              </w:tabs>
              <w:rPr>
                <w:rFonts w:ascii="Times New Roman" w:hAnsi="Times New Roman" w:cs="Times New Roman"/>
                <w:sz w:val="20"/>
                <w:szCs w:val="20"/>
              </w:rPr>
            </w:pP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0.10,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0.05,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0.01,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0.001</w:t>
            </w:r>
          </w:p>
        </w:tc>
      </w:tr>
    </w:tbl>
    <w:p w14:paraId="50FCBB8A" w14:textId="77777777" w:rsidR="0048282A" w:rsidRPr="00442034" w:rsidRDefault="0048282A" w:rsidP="0048282A">
      <w:pPr>
        <w:ind w:firstLine="360"/>
        <w:contextualSpacing/>
        <w:rPr>
          <w:rFonts w:ascii="Times New Roman" w:hAnsi="Times New Roman" w:cs="Times New Roman"/>
          <w:sz w:val="24"/>
          <w:szCs w:val="24"/>
        </w:rPr>
      </w:pPr>
    </w:p>
    <w:p w14:paraId="0AB37F4B" w14:textId="77777777"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The next column in Table 2 compares “Pretty Likely” chances for having a family compared to “No Chance.” In this model, LGBQ youth have 1.62 lower log odds of reporting having a family was </w:t>
      </w:r>
      <w:proofErr w:type="gramStart"/>
      <w:r w:rsidRPr="00442034">
        <w:rPr>
          <w:rFonts w:ascii="Times New Roman" w:hAnsi="Times New Roman" w:cs="Times New Roman"/>
          <w:sz w:val="24"/>
          <w:szCs w:val="24"/>
        </w:rPr>
        <w:t>pretty likely</w:t>
      </w:r>
      <w:proofErr w:type="gramEnd"/>
      <w:r w:rsidRPr="00442034">
        <w:rPr>
          <w:rFonts w:ascii="Times New Roman" w:hAnsi="Times New Roman" w:cs="Times New Roman"/>
          <w:sz w:val="24"/>
          <w:szCs w:val="24"/>
        </w:rPr>
        <w:t xml:space="preserve">, compared to heterosexual youth, which was marginally significant. There were no significant differences in peer support and relationship with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There are significant differences for race, in that Black non-Hispanic youth and “Other Race” youth had significantly lower log odds of reporting having a family was </w:t>
      </w:r>
      <w:proofErr w:type="gramStart"/>
      <w:r w:rsidRPr="00442034">
        <w:rPr>
          <w:rFonts w:ascii="Times New Roman" w:hAnsi="Times New Roman" w:cs="Times New Roman"/>
          <w:sz w:val="24"/>
          <w:szCs w:val="24"/>
        </w:rPr>
        <w:t>pretty likely</w:t>
      </w:r>
      <w:proofErr w:type="gramEnd"/>
      <w:r w:rsidRPr="00442034">
        <w:rPr>
          <w:rFonts w:ascii="Times New Roman" w:hAnsi="Times New Roman" w:cs="Times New Roman"/>
          <w:sz w:val="24"/>
          <w:szCs w:val="24"/>
        </w:rPr>
        <w:t xml:space="preserve"> compared </w:t>
      </w:r>
      <w:r w:rsidRPr="00442034">
        <w:rPr>
          <w:rFonts w:ascii="Times New Roman" w:hAnsi="Times New Roman" w:cs="Times New Roman"/>
          <w:sz w:val="24"/>
          <w:szCs w:val="24"/>
        </w:rPr>
        <w:lastRenderedPageBreak/>
        <w:t xml:space="preserve">to White non-Hispanic youth. Again, age, substantiated report, and substance-related and sexual abuse maltreatment reports were associated with significantly lower log odds for reporting having a family was </w:t>
      </w:r>
      <w:proofErr w:type="gramStart"/>
      <w:r w:rsidRPr="00442034">
        <w:rPr>
          <w:rFonts w:ascii="Times New Roman" w:hAnsi="Times New Roman" w:cs="Times New Roman"/>
          <w:sz w:val="24"/>
          <w:szCs w:val="24"/>
        </w:rPr>
        <w:t>pretty likely</w:t>
      </w:r>
      <w:proofErr w:type="gramEnd"/>
      <w:r w:rsidRPr="00442034">
        <w:rPr>
          <w:rFonts w:ascii="Times New Roman" w:hAnsi="Times New Roman" w:cs="Times New Roman"/>
          <w:sz w:val="24"/>
          <w:szCs w:val="24"/>
        </w:rPr>
        <w:t xml:space="preserve"> compared to no chance. </w:t>
      </w:r>
    </w:p>
    <w:p w14:paraId="232711C7" w14:textId="77777777" w:rsidR="0048282A"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Finally, the last column of Table 2 compares “It Will Happen” to “No Chance” for having a family. Again, sexual orientation is marginally significant, with LGBQ youth having 1.71 lower log odds of reporting that having a family will happen compared to no chance in comparison to heterosexual youth. We find no significant differences for peer support and relationship with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In this model, race, age, substantiated report, and maltreatment reports including substance use, domestic violence, and sexual abuse were all associated with significantly lower log odds for believing that having a family will happen for these youth.</w:t>
      </w:r>
    </w:p>
    <w:p w14:paraId="2CE1B53E" w14:textId="77777777"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Table 3 illustrates the same model for expectations for having a family but includes our interaction terms for sexual orientation and peer support as well as sexual orientation and relationship with caregiver. The first column shows the comparisons for “Some Chance” compared to “No Chance.” We find that the main effects of sexual orientation, peer support, and relationship with caregiver are all insignificant, as well as the interaction effects. Of our control variables, race, age, substantiated report, and maltreatment reports of sexual abuse were all associated with significantly lower log odds of reporting some chance of having a family compared to no chance.</w:t>
      </w:r>
    </w:p>
    <w:p w14:paraId="69F2DCF8" w14:textId="77777777"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Comparing a 50-50 chance of having a family to no chance, again our main effects of sexual orientation, peer support, and relationship with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were not significant. Our interaction terms for peer support and relationship with caregiver were also not significant. We see the same trends for race, age, and substantiated </w:t>
      </w:r>
      <w:proofErr w:type="gramStart"/>
      <w:r w:rsidRPr="00442034">
        <w:rPr>
          <w:rFonts w:ascii="Times New Roman" w:hAnsi="Times New Roman" w:cs="Times New Roman"/>
          <w:sz w:val="24"/>
          <w:szCs w:val="24"/>
        </w:rPr>
        <w:t>report</w:t>
      </w:r>
      <w:proofErr w:type="gramEnd"/>
      <w:r w:rsidRPr="00442034">
        <w:rPr>
          <w:rFonts w:ascii="Times New Roman" w:hAnsi="Times New Roman" w:cs="Times New Roman"/>
          <w:sz w:val="24"/>
          <w:szCs w:val="24"/>
        </w:rPr>
        <w:t xml:space="preserve"> all significantly lowering the log odds for youth indicating a 50-50 chance of having a family compared to no chance (see Table 3).</w:t>
      </w:r>
    </w:p>
    <w:tbl>
      <w:tblPr>
        <w:tblStyle w:val="TableGrid"/>
        <w:tblW w:w="9180" w:type="dxa"/>
        <w:tblLook w:val="04A0" w:firstRow="1" w:lastRow="0" w:firstColumn="1" w:lastColumn="0" w:noHBand="0" w:noVBand="1"/>
      </w:tblPr>
      <w:tblGrid>
        <w:gridCol w:w="1710"/>
        <w:gridCol w:w="1405"/>
        <w:gridCol w:w="2195"/>
        <w:gridCol w:w="1620"/>
        <w:gridCol w:w="2250"/>
      </w:tblGrid>
      <w:tr w:rsidR="0048282A" w:rsidRPr="00442034" w14:paraId="0B74F825" w14:textId="77777777" w:rsidTr="00352747">
        <w:tc>
          <w:tcPr>
            <w:tcW w:w="9180" w:type="dxa"/>
            <w:gridSpan w:val="5"/>
            <w:tcBorders>
              <w:top w:val="nil"/>
              <w:left w:val="nil"/>
              <w:bottom w:val="single" w:sz="4" w:space="0" w:color="auto"/>
              <w:right w:val="nil"/>
            </w:tcBorders>
          </w:tcPr>
          <w:p w14:paraId="251400F2" w14:textId="77777777" w:rsidR="0048282A" w:rsidRPr="00442034" w:rsidRDefault="0048282A" w:rsidP="00BE5E6D">
            <w:pPr>
              <w:rPr>
                <w:rFonts w:ascii="Times New Roman" w:hAnsi="Times New Roman" w:cs="Times New Roman"/>
                <w:b/>
                <w:bCs/>
                <w:sz w:val="22"/>
                <w:szCs w:val="22"/>
              </w:rPr>
            </w:pPr>
            <w:r w:rsidRPr="00442034">
              <w:rPr>
                <w:rFonts w:ascii="Times New Roman" w:hAnsi="Times New Roman" w:cs="Times New Roman"/>
                <w:b/>
                <w:bCs/>
                <w:sz w:val="22"/>
                <w:szCs w:val="22"/>
              </w:rPr>
              <w:lastRenderedPageBreak/>
              <w:t>Table 3. Multinomial Logistic Regression of Expectations for Having a Family on Sexual Orientation, Peer Support, and Relationship with Caregiver Compared to No Chance with Interactions</w:t>
            </w:r>
          </w:p>
        </w:tc>
      </w:tr>
      <w:tr w:rsidR="0048282A" w:rsidRPr="00442034" w14:paraId="7DD228E9" w14:textId="77777777" w:rsidTr="00352747">
        <w:tc>
          <w:tcPr>
            <w:tcW w:w="1710" w:type="dxa"/>
            <w:tcBorders>
              <w:left w:val="nil"/>
              <w:bottom w:val="single" w:sz="4" w:space="0" w:color="auto"/>
              <w:right w:val="nil"/>
            </w:tcBorders>
          </w:tcPr>
          <w:p w14:paraId="216047B5" w14:textId="77777777" w:rsidR="0048282A" w:rsidRPr="00442034" w:rsidRDefault="0048282A" w:rsidP="00BE5E6D">
            <w:pPr>
              <w:rPr>
                <w:rFonts w:ascii="Times New Roman" w:hAnsi="Times New Roman" w:cs="Times New Roman"/>
                <w:sz w:val="20"/>
                <w:szCs w:val="20"/>
              </w:rPr>
            </w:pPr>
          </w:p>
        </w:tc>
        <w:tc>
          <w:tcPr>
            <w:tcW w:w="1405" w:type="dxa"/>
            <w:tcBorders>
              <w:left w:val="nil"/>
              <w:bottom w:val="single" w:sz="4" w:space="0" w:color="auto"/>
              <w:right w:val="nil"/>
            </w:tcBorders>
          </w:tcPr>
          <w:p w14:paraId="05ABC14D"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Some Chance</w:t>
            </w:r>
          </w:p>
          <w:p w14:paraId="29235295" w14:textId="77777777" w:rsidR="0048282A" w:rsidRPr="00442034" w:rsidRDefault="0048282A" w:rsidP="00BE5E6D">
            <w:pPr>
              <w:jc w:val="center"/>
              <w:rPr>
                <w:rFonts w:ascii="Times New Roman" w:hAnsi="Times New Roman" w:cs="Times New Roman"/>
                <w:i/>
                <w:iCs/>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2195" w:type="dxa"/>
            <w:tcBorders>
              <w:left w:val="nil"/>
              <w:bottom w:val="single" w:sz="4" w:space="0" w:color="auto"/>
              <w:right w:val="nil"/>
            </w:tcBorders>
          </w:tcPr>
          <w:p w14:paraId="4B23ED0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About 50-50</w:t>
            </w:r>
          </w:p>
          <w:p w14:paraId="3C4909A6"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1620" w:type="dxa"/>
            <w:tcBorders>
              <w:left w:val="nil"/>
              <w:bottom w:val="single" w:sz="4" w:space="0" w:color="auto"/>
              <w:right w:val="nil"/>
            </w:tcBorders>
          </w:tcPr>
          <w:p w14:paraId="5903F28E"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Pretty Likely</w:t>
            </w:r>
          </w:p>
          <w:p w14:paraId="077D15D8"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2250" w:type="dxa"/>
            <w:tcBorders>
              <w:left w:val="nil"/>
              <w:bottom w:val="single" w:sz="4" w:space="0" w:color="auto"/>
              <w:right w:val="nil"/>
            </w:tcBorders>
          </w:tcPr>
          <w:p w14:paraId="64BBB44B"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It Will Happen</w:t>
            </w:r>
          </w:p>
          <w:p w14:paraId="10007D43"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r>
      <w:tr w:rsidR="0048282A" w:rsidRPr="00442034" w14:paraId="202DA37E" w14:textId="77777777" w:rsidTr="00352747">
        <w:tc>
          <w:tcPr>
            <w:tcW w:w="1710" w:type="dxa"/>
            <w:tcBorders>
              <w:top w:val="single" w:sz="4" w:space="0" w:color="auto"/>
              <w:left w:val="nil"/>
              <w:bottom w:val="nil"/>
              <w:right w:val="nil"/>
            </w:tcBorders>
          </w:tcPr>
          <w:p w14:paraId="02786DFB"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LGBQ Youth</w:t>
            </w:r>
          </w:p>
        </w:tc>
        <w:tc>
          <w:tcPr>
            <w:tcW w:w="1405" w:type="dxa"/>
            <w:tcBorders>
              <w:top w:val="single" w:sz="4" w:space="0" w:color="auto"/>
              <w:left w:val="nil"/>
              <w:bottom w:val="nil"/>
              <w:right w:val="nil"/>
            </w:tcBorders>
          </w:tcPr>
          <w:p w14:paraId="611FE8E9"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-9.92 (10.00)</w:t>
            </w:r>
          </w:p>
        </w:tc>
        <w:tc>
          <w:tcPr>
            <w:tcW w:w="2195" w:type="dxa"/>
            <w:tcBorders>
              <w:top w:val="single" w:sz="4" w:space="0" w:color="auto"/>
              <w:left w:val="nil"/>
              <w:bottom w:val="nil"/>
              <w:right w:val="nil"/>
            </w:tcBorders>
          </w:tcPr>
          <w:p w14:paraId="20370B5D"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4.76 (9.77)</w:t>
            </w:r>
          </w:p>
        </w:tc>
        <w:tc>
          <w:tcPr>
            <w:tcW w:w="1620" w:type="dxa"/>
            <w:tcBorders>
              <w:top w:val="single" w:sz="4" w:space="0" w:color="auto"/>
              <w:left w:val="nil"/>
              <w:bottom w:val="nil"/>
              <w:right w:val="nil"/>
            </w:tcBorders>
          </w:tcPr>
          <w:p w14:paraId="7ABBBBA9"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-7.92 (9.60)</w:t>
            </w:r>
          </w:p>
        </w:tc>
        <w:tc>
          <w:tcPr>
            <w:tcW w:w="2250" w:type="dxa"/>
            <w:tcBorders>
              <w:top w:val="single" w:sz="4" w:space="0" w:color="auto"/>
              <w:left w:val="nil"/>
              <w:bottom w:val="nil"/>
              <w:right w:val="nil"/>
            </w:tcBorders>
          </w:tcPr>
          <w:p w14:paraId="0F1B2A2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-12.2 (10.6)</w:t>
            </w:r>
          </w:p>
        </w:tc>
      </w:tr>
      <w:tr w:rsidR="0048282A" w:rsidRPr="00442034" w14:paraId="335B460D" w14:textId="77777777" w:rsidTr="00352747">
        <w:tc>
          <w:tcPr>
            <w:tcW w:w="1710" w:type="dxa"/>
            <w:tcBorders>
              <w:top w:val="nil"/>
              <w:left w:val="nil"/>
              <w:bottom w:val="nil"/>
              <w:right w:val="nil"/>
            </w:tcBorders>
          </w:tcPr>
          <w:p w14:paraId="11E5D385"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Peer Support</w:t>
            </w:r>
          </w:p>
        </w:tc>
        <w:tc>
          <w:tcPr>
            <w:tcW w:w="1405" w:type="dxa"/>
            <w:tcBorders>
              <w:top w:val="nil"/>
              <w:left w:val="nil"/>
              <w:bottom w:val="nil"/>
              <w:right w:val="nil"/>
            </w:tcBorders>
          </w:tcPr>
          <w:p w14:paraId="38F05861"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0.007 (.04)</w:t>
            </w:r>
          </w:p>
        </w:tc>
        <w:tc>
          <w:tcPr>
            <w:tcW w:w="2195" w:type="dxa"/>
            <w:tcBorders>
              <w:top w:val="nil"/>
              <w:left w:val="nil"/>
              <w:bottom w:val="nil"/>
              <w:right w:val="nil"/>
            </w:tcBorders>
          </w:tcPr>
          <w:p w14:paraId="777B4A84"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0.022 (.04)</w:t>
            </w:r>
          </w:p>
        </w:tc>
        <w:tc>
          <w:tcPr>
            <w:tcW w:w="1620" w:type="dxa"/>
            <w:tcBorders>
              <w:top w:val="nil"/>
              <w:left w:val="nil"/>
              <w:bottom w:val="nil"/>
              <w:right w:val="nil"/>
            </w:tcBorders>
          </w:tcPr>
          <w:p w14:paraId="4FE69C85"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0.052 (.04)</w:t>
            </w:r>
          </w:p>
        </w:tc>
        <w:tc>
          <w:tcPr>
            <w:tcW w:w="2250" w:type="dxa"/>
            <w:tcBorders>
              <w:top w:val="nil"/>
              <w:left w:val="nil"/>
              <w:bottom w:val="nil"/>
              <w:right w:val="nil"/>
            </w:tcBorders>
          </w:tcPr>
          <w:p w14:paraId="5D0F69D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0.014 (.04)</w:t>
            </w:r>
          </w:p>
        </w:tc>
      </w:tr>
      <w:tr w:rsidR="0048282A" w:rsidRPr="00442034" w14:paraId="4699D560" w14:textId="77777777" w:rsidTr="00352747">
        <w:tc>
          <w:tcPr>
            <w:tcW w:w="1710" w:type="dxa"/>
            <w:tcBorders>
              <w:top w:val="nil"/>
              <w:left w:val="nil"/>
              <w:bottom w:val="nil"/>
              <w:right w:val="nil"/>
            </w:tcBorders>
          </w:tcPr>
          <w:p w14:paraId="4F9B335E" w14:textId="77777777" w:rsidR="0048282A" w:rsidRPr="00442034" w:rsidRDefault="0048282A" w:rsidP="00BE5E6D">
            <w:pPr>
              <w:ind w:left="66" w:hanging="66"/>
              <w:rPr>
                <w:rFonts w:ascii="Times New Roman" w:hAnsi="Times New Roman" w:cs="Times New Roman"/>
                <w:sz w:val="20"/>
                <w:szCs w:val="20"/>
              </w:rPr>
            </w:pPr>
            <w:r w:rsidRPr="00442034">
              <w:rPr>
                <w:rFonts w:ascii="Times New Roman" w:hAnsi="Times New Roman" w:cs="Times New Roman"/>
                <w:sz w:val="20"/>
                <w:szCs w:val="20"/>
              </w:rPr>
              <w:t>Relationship with Caregiver</w:t>
            </w:r>
          </w:p>
        </w:tc>
        <w:tc>
          <w:tcPr>
            <w:tcW w:w="1405" w:type="dxa"/>
            <w:tcBorders>
              <w:top w:val="nil"/>
              <w:left w:val="nil"/>
              <w:bottom w:val="nil"/>
              <w:right w:val="nil"/>
            </w:tcBorders>
          </w:tcPr>
          <w:p w14:paraId="100E8467"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-0.093 (.07)</w:t>
            </w:r>
          </w:p>
        </w:tc>
        <w:tc>
          <w:tcPr>
            <w:tcW w:w="2195" w:type="dxa"/>
            <w:tcBorders>
              <w:top w:val="nil"/>
              <w:left w:val="nil"/>
              <w:bottom w:val="nil"/>
              <w:right w:val="nil"/>
            </w:tcBorders>
          </w:tcPr>
          <w:p w14:paraId="17FA226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.0045 (.08)</w:t>
            </w:r>
          </w:p>
        </w:tc>
        <w:tc>
          <w:tcPr>
            <w:tcW w:w="1620" w:type="dxa"/>
            <w:tcBorders>
              <w:top w:val="nil"/>
              <w:left w:val="nil"/>
              <w:bottom w:val="nil"/>
              <w:right w:val="nil"/>
            </w:tcBorders>
          </w:tcPr>
          <w:p w14:paraId="7207CCF2"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-0.0035 (.07)</w:t>
            </w:r>
          </w:p>
        </w:tc>
        <w:tc>
          <w:tcPr>
            <w:tcW w:w="2250" w:type="dxa"/>
            <w:tcBorders>
              <w:top w:val="nil"/>
              <w:left w:val="nil"/>
              <w:bottom w:val="nil"/>
              <w:right w:val="nil"/>
            </w:tcBorders>
          </w:tcPr>
          <w:p w14:paraId="304E4AD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-0.024 (.07)</w:t>
            </w:r>
          </w:p>
        </w:tc>
      </w:tr>
      <w:tr w:rsidR="0048282A" w:rsidRPr="00442034" w14:paraId="12B83BDD" w14:textId="77777777" w:rsidTr="00352747">
        <w:tc>
          <w:tcPr>
            <w:tcW w:w="1710" w:type="dxa"/>
            <w:tcBorders>
              <w:top w:val="nil"/>
              <w:left w:val="nil"/>
              <w:bottom w:val="nil"/>
              <w:right w:val="nil"/>
            </w:tcBorders>
          </w:tcPr>
          <w:p w14:paraId="169B915B" w14:textId="77777777" w:rsidR="0048282A" w:rsidRPr="00442034" w:rsidRDefault="0048282A" w:rsidP="00BE5E6D">
            <w:pPr>
              <w:rPr>
                <w:rFonts w:ascii="Times New Roman" w:hAnsi="Times New Roman" w:cs="Times New Roman"/>
                <w:sz w:val="20"/>
                <w:szCs w:val="20"/>
              </w:rPr>
            </w:pPr>
          </w:p>
        </w:tc>
        <w:tc>
          <w:tcPr>
            <w:tcW w:w="1405" w:type="dxa"/>
            <w:tcBorders>
              <w:top w:val="nil"/>
              <w:left w:val="nil"/>
              <w:bottom w:val="nil"/>
              <w:right w:val="nil"/>
            </w:tcBorders>
          </w:tcPr>
          <w:p w14:paraId="6923FC7D" w14:textId="77777777" w:rsidR="0048282A" w:rsidRPr="00442034" w:rsidRDefault="0048282A" w:rsidP="00BE5E6D">
            <w:pPr>
              <w:rPr>
                <w:rFonts w:ascii="Times New Roman" w:hAnsi="Times New Roman" w:cs="Times New Roman"/>
                <w:sz w:val="20"/>
                <w:szCs w:val="20"/>
              </w:rPr>
            </w:pPr>
          </w:p>
        </w:tc>
        <w:tc>
          <w:tcPr>
            <w:tcW w:w="2195" w:type="dxa"/>
            <w:tcBorders>
              <w:top w:val="nil"/>
              <w:left w:val="nil"/>
              <w:bottom w:val="nil"/>
              <w:right w:val="nil"/>
            </w:tcBorders>
          </w:tcPr>
          <w:p w14:paraId="249A3C9A" w14:textId="77777777" w:rsidR="0048282A" w:rsidRPr="00442034" w:rsidRDefault="0048282A" w:rsidP="00BE5E6D">
            <w:pPr>
              <w:jc w:val="center"/>
              <w:rPr>
                <w:rFonts w:ascii="Times New Roman" w:hAnsi="Times New Roman" w:cs="Times New Roman"/>
                <w:sz w:val="20"/>
                <w:szCs w:val="20"/>
              </w:rPr>
            </w:pPr>
          </w:p>
        </w:tc>
        <w:tc>
          <w:tcPr>
            <w:tcW w:w="1620" w:type="dxa"/>
            <w:tcBorders>
              <w:top w:val="nil"/>
              <w:left w:val="nil"/>
              <w:bottom w:val="nil"/>
              <w:right w:val="nil"/>
            </w:tcBorders>
          </w:tcPr>
          <w:p w14:paraId="4C1396B8" w14:textId="77777777" w:rsidR="0048282A" w:rsidRPr="00442034" w:rsidRDefault="0048282A" w:rsidP="00BE5E6D">
            <w:pPr>
              <w:jc w:val="center"/>
              <w:rPr>
                <w:rFonts w:ascii="Times New Roman" w:hAnsi="Times New Roman" w:cs="Times New Roman"/>
                <w:sz w:val="20"/>
                <w:szCs w:val="20"/>
              </w:rPr>
            </w:pPr>
          </w:p>
        </w:tc>
        <w:tc>
          <w:tcPr>
            <w:tcW w:w="2250" w:type="dxa"/>
            <w:tcBorders>
              <w:top w:val="nil"/>
              <w:left w:val="nil"/>
              <w:bottom w:val="nil"/>
              <w:right w:val="nil"/>
            </w:tcBorders>
          </w:tcPr>
          <w:p w14:paraId="2689E238" w14:textId="77777777" w:rsidR="0048282A" w:rsidRPr="00442034" w:rsidRDefault="0048282A" w:rsidP="00BE5E6D">
            <w:pPr>
              <w:jc w:val="center"/>
              <w:rPr>
                <w:rFonts w:ascii="Times New Roman" w:hAnsi="Times New Roman" w:cs="Times New Roman"/>
                <w:sz w:val="20"/>
                <w:szCs w:val="20"/>
              </w:rPr>
            </w:pPr>
          </w:p>
        </w:tc>
      </w:tr>
      <w:tr w:rsidR="0048282A" w:rsidRPr="00442034" w14:paraId="4F411A73" w14:textId="77777777" w:rsidTr="00352747">
        <w:tc>
          <w:tcPr>
            <w:tcW w:w="1710" w:type="dxa"/>
            <w:tcBorders>
              <w:top w:val="nil"/>
              <w:left w:val="nil"/>
              <w:bottom w:val="nil"/>
              <w:right w:val="nil"/>
            </w:tcBorders>
          </w:tcPr>
          <w:p w14:paraId="40DD45A2" w14:textId="77777777" w:rsidR="0048282A" w:rsidRPr="00442034" w:rsidRDefault="0048282A" w:rsidP="00BE5E6D">
            <w:pPr>
              <w:rPr>
                <w:rFonts w:ascii="Times New Roman" w:hAnsi="Times New Roman" w:cs="Times New Roman"/>
                <w:i/>
                <w:iCs/>
                <w:sz w:val="20"/>
                <w:szCs w:val="20"/>
              </w:rPr>
            </w:pPr>
            <w:r w:rsidRPr="00442034">
              <w:rPr>
                <w:rFonts w:ascii="Times New Roman" w:hAnsi="Times New Roman" w:cs="Times New Roman"/>
                <w:i/>
                <w:iCs/>
                <w:sz w:val="20"/>
                <w:szCs w:val="20"/>
              </w:rPr>
              <w:t>Interaction Terms</w:t>
            </w:r>
          </w:p>
        </w:tc>
        <w:tc>
          <w:tcPr>
            <w:tcW w:w="1405" w:type="dxa"/>
            <w:tcBorders>
              <w:top w:val="nil"/>
              <w:left w:val="nil"/>
              <w:bottom w:val="nil"/>
              <w:right w:val="nil"/>
            </w:tcBorders>
          </w:tcPr>
          <w:p w14:paraId="03C5221C" w14:textId="77777777" w:rsidR="0048282A" w:rsidRPr="00442034" w:rsidRDefault="0048282A" w:rsidP="00BE5E6D">
            <w:pPr>
              <w:rPr>
                <w:rFonts w:ascii="Times New Roman" w:hAnsi="Times New Roman" w:cs="Times New Roman"/>
                <w:sz w:val="20"/>
                <w:szCs w:val="20"/>
              </w:rPr>
            </w:pPr>
          </w:p>
        </w:tc>
        <w:tc>
          <w:tcPr>
            <w:tcW w:w="2195" w:type="dxa"/>
            <w:tcBorders>
              <w:top w:val="nil"/>
              <w:left w:val="nil"/>
              <w:bottom w:val="nil"/>
              <w:right w:val="nil"/>
            </w:tcBorders>
          </w:tcPr>
          <w:p w14:paraId="3CBA3FDF" w14:textId="77777777" w:rsidR="0048282A" w:rsidRPr="00442034" w:rsidRDefault="0048282A" w:rsidP="00BE5E6D">
            <w:pPr>
              <w:jc w:val="center"/>
              <w:rPr>
                <w:rFonts w:ascii="Times New Roman" w:hAnsi="Times New Roman" w:cs="Times New Roman"/>
                <w:sz w:val="20"/>
                <w:szCs w:val="20"/>
              </w:rPr>
            </w:pPr>
          </w:p>
        </w:tc>
        <w:tc>
          <w:tcPr>
            <w:tcW w:w="1620" w:type="dxa"/>
            <w:tcBorders>
              <w:top w:val="nil"/>
              <w:left w:val="nil"/>
              <w:bottom w:val="nil"/>
              <w:right w:val="nil"/>
            </w:tcBorders>
          </w:tcPr>
          <w:p w14:paraId="50313496" w14:textId="77777777" w:rsidR="0048282A" w:rsidRPr="00442034" w:rsidRDefault="0048282A" w:rsidP="00BE5E6D">
            <w:pPr>
              <w:jc w:val="center"/>
              <w:rPr>
                <w:rFonts w:ascii="Times New Roman" w:hAnsi="Times New Roman" w:cs="Times New Roman"/>
                <w:sz w:val="20"/>
                <w:szCs w:val="20"/>
              </w:rPr>
            </w:pPr>
          </w:p>
        </w:tc>
        <w:tc>
          <w:tcPr>
            <w:tcW w:w="2250" w:type="dxa"/>
            <w:tcBorders>
              <w:top w:val="nil"/>
              <w:left w:val="nil"/>
              <w:bottom w:val="nil"/>
              <w:right w:val="nil"/>
            </w:tcBorders>
          </w:tcPr>
          <w:p w14:paraId="0ABB51E3" w14:textId="77777777" w:rsidR="0048282A" w:rsidRPr="00442034" w:rsidRDefault="0048282A" w:rsidP="00BE5E6D">
            <w:pPr>
              <w:jc w:val="center"/>
              <w:rPr>
                <w:rFonts w:ascii="Times New Roman" w:hAnsi="Times New Roman" w:cs="Times New Roman"/>
                <w:sz w:val="20"/>
                <w:szCs w:val="20"/>
              </w:rPr>
            </w:pPr>
          </w:p>
        </w:tc>
      </w:tr>
      <w:tr w:rsidR="0048282A" w:rsidRPr="00442034" w14:paraId="450F5E28" w14:textId="77777777" w:rsidTr="00352747">
        <w:tc>
          <w:tcPr>
            <w:tcW w:w="1710" w:type="dxa"/>
            <w:tcBorders>
              <w:top w:val="nil"/>
              <w:left w:val="nil"/>
              <w:bottom w:val="nil"/>
              <w:right w:val="nil"/>
            </w:tcBorders>
          </w:tcPr>
          <w:p w14:paraId="0FA09555"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LGBQ Youth * Peer Support</w:t>
            </w:r>
          </w:p>
        </w:tc>
        <w:tc>
          <w:tcPr>
            <w:tcW w:w="1405" w:type="dxa"/>
            <w:tcBorders>
              <w:top w:val="nil"/>
              <w:left w:val="nil"/>
              <w:bottom w:val="nil"/>
              <w:right w:val="nil"/>
            </w:tcBorders>
          </w:tcPr>
          <w:p w14:paraId="1E8D9268"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0.046 (.10)</w:t>
            </w:r>
          </w:p>
        </w:tc>
        <w:tc>
          <w:tcPr>
            <w:tcW w:w="2195" w:type="dxa"/>
            <w:tcBorders>
              <w:top w:val="nil"/>
              <w:left w:val="nil"/>
              <w:bottom w:val="nil"/>
              <w:right w:val="nil"/>
            </w:tcBorders>
          </w:tcPr>
          <w:p w14:paraId="38365FE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-0.074 (.09)</w:t>
            </w:r>
          </w:p>
        </w:tc>
        <w:tc>
          <w:tcPr>
            <w:tcW w:w="1620" w:type="dxa"/>
            <w:tcBorders>
              <w:top w:val="nil"/>
              <w:left w:val="nil"/>
              <w:bottom w:val="nil"/>
              <w:right w:val="nil"/>
            </w:tcBorders>
          </w:tcPr>
          <w:p w14:paraId="190AA6C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-0.074 (.08)</w:t>
            </w:r>
          </w:p>
        </w:tc>
        <w:tc>
          <w:tcPr>
            <w:tcW w:w="2250" w:type="dxa"/>
            <w:tcBorders>
              <w:top w:val="nil"/>
              <w:left w:val="nil"/>
              <w:bottom w:val="nil"/>
              <w:right w:val="nil"/>
            </w:tcBorders>
          </w:tcPr>
          <w:p w14:paraId="48AD8D3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0.009 (.08)</w:t>
            </w:r>
          </w:p>
        </w:tc>
      </w:tr>
      <w:tr w:rsidR="0048282A" w:rsidRPr="00442034" w14:paraId="3716E257" w14:textId="77777777" w:rsidTr="00352747">
        <w:tc>
          <w:tcPr>
            <w:tcW w:w="1710" w:type="dxa"/>
            <w:tcBorders>
              <w:top w:val="nil"/>
              <w:left w:val="nil"/>
              <w:bottom w:val="nil"/>
              <w:right w:val="nil"/>
            </w:tcBorders>
          </w:tcPr>
          <w:p w14:paraId="799C02F0"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LGBQ Youth * Relationship with Caregiver</w:t>
            </w:r>
          </w:p>
        </w:tc>
        <w:tc>
          <w:tcPr>
            <w:tcW w:w="1405" w:type="dxa"/>
            <w:tcBorders>
              <w:top w:val="nil"/>
              <w:left w:val="nil"/>
              <w:bottom w:val="nil"/>
              <w:right w:val="nil"/>
            </w:tcBorders>
          </w:tcPr>
          <w:p w14:paraId="7129AC4B"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0.20 (.16)</w:t>
            </w:r>
          </w:p>
        </w:tc>
        <w:tc>
          <w:tcPr>
            <w:tcW w:w="2195" w:type="dxa"/>
            <w:tcBorders>
              <w:top w:val="nil"/>
              <w:left w:val="nil"/>
              <w:bottom w:val="nil"/>
              <w:right w:val="nil"/>
            </w:tcBorders>
          </w:tcPr>
          <w:p w14:paraId="66C3A3DE"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-0.048 (.18)</w:t>
            </w:r>
          </w:p>
        </w:tc>
        <w:tc>
          <w:tcPr>
            <w:tcW w:w="1620" w:type="dxa"/>
            <w:tcBorders>
              <w:top w:val="nil"/>
              <w:left w:val="nil"/>
              <w:bottom w:val="nil"/>
              <w:right w:val="nil"/>
            </w:tcBorders>
          </w:tcPr>
          <w:p w14:paraId="7A7267C4"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0.29 (.18)</w:t>
            </w:r>
            <w:r w:rsidRPr="00442034">
              <w:rPr>
                <w:rFonts w:ascii="Times New Roman" w:hAnsi="Times New Roman" w:cs="Times New Roman"/>
                <w:sz w:val="20"/>
                <w:szCs w:val="20"/>
                <w:vertAlign w:val="superscript"/>
              </w:rPr>
              <w:t xml:space="preserve"> †</w:t>
            </w:r>
          </w:p>
        </w:tc>
        <w:tc>
          <w:tcPr>
            <w:tcW w:w="2250" w:type="dxa"/>
            <w:tcBorders>
              <w:top w:val="nil"/>
              <w:left w:val="nil"/>
              <w:bottom w:val="nil"/>
              <w:right w:val="nil"/>
            </w:tcBorders>
          </w:tcPr>
          <w:p w14:paraId="1203CE88"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0.26 (.19)</w:t>
            </w:r>
          </w:p>
        </w:tc>
      </w:tr>
      <w:tr w:rsidR="0048282A" w:rsidRPr="00442034" w14:paraId="7C1406B4" w14:textId="77777777" w:rsidTr="00352747">
        <w:tc>
          <w:tcPr>
            <w:tcW w:w="1710" w:type="dxa"/>
            <w:tcBorders>
              <w:top w:val="nil"/>
              <w:left w:val="nil"/>
              <w:bottom w:val="nil"/>
              <w:right w:val="nil"/>
            </w:tcBorders>
          </w:tcPr>
          <w:p w14:paraId="03F60085" w14:textId="77777777" w:rsidR="0048282A" w:rsidRPr="00442034" w:rsidRDefault="0048282A" w:rsidP="00BE5E6D">
            <w:pPr>
              <w:rPr>
                <w:rFonts w:ascii="Times New Roman" w:hAnsi="Times New Roman" w:cs="Times New Roman"/>
                <w:i/>
                <w:iCs/>
                <w:sz w:val="20"/>
                <w:szCs w:val="20"/>
              </w:rPr>
            </w:pPr>
          </w:p>
        </w:tc>
        <w:tc>
          <w:tcPr>
            <w:tcW w:w="1405" w:type="dxa"/>
            <w:tcBorders>
              <w:top w:val="nil"/>
              <w:left w:val="nil"/>
              <w:bottom w:val="nil"/>
              <w:right w:val="nil"/>
            </w:tcBorders>
          </w:tcPr>
          <w:p w14:paraId="0F7EAAC9" w14:textId="77777777" w:rsidR="0048282A" w:rsidRPr="00442034" w:rsidRDefault="0048282A" w:rsidP="00BE5E6D">
            <w:pPr>
              <w:rPr>
                <w:rFonts w:ascii="Times New Roman" w:hAnsi="Times New Roman" w:cs="Times New Roman"/>
                <w:sz w:val="20"/>
                <w:szCs w:val="20"/>
              </w:rPr>
            </w:pPr>
          </w:p>
        </w:tc>
        <w:tc>
          <w:tcPr>
            <w:tcW w:w="2195" w:type="dxa"/>
            <w:tcBorders>
              <w:top w:val="nil"/>
              <w:left w:val="nil"/>
              <w:bottom w:val="nil"/>
              <w:right w:val="nil"/>
            </w:tcBorders>
          </w:tcPr>
          <w:p w14:paraId="096AAAE7" w14:textId="77777777" w:rsidR="0048282A" w:rsidRPr="00442034" w:rsidRDefault="0048282A" w:rsidP="00BE5E6D">
            <w:pPr>
              <w:jc w:val="center"/>
              <w:rPr>
                <w:rFonts w:ascii="Times New Roman" w:hAnsi="Times New Roman" w:cs="Times New Roman"/>
                <w:sz w:val="20"/>
                <w:szCs w:val="20"/>
              </w:rPr>
            </w:pPr>
          </w:p>
        </w:tc>
        <w:tc>
          <w:tcPr>
            <w:tcW w:w="1620" w:type="dxa"/>
            <w:tcBorders>
              <w:top w:val="nil"/>
              <w:left w:val="nil"/>
              <w:bottom w:val="nil"/>
              <w:right w:val="nil"/>
            </w:tcBorders>
          </w:tcPr>
          <w:p w14:paraId="5C2B1724" w14:textId="77777777" w:rsidR="0048282A" w:rsidRPr="00442034" w:rsidRDefault="0048282A" w:rsidP="00BE5E6D">
            <w:pPr>
              <w:jc w:val="center"/>
              <w:rPr>
                <w:rFonts w:ascii="Times New Roman" w:hAnsi="Times New Roman" w:cs="Times New Roman"/>
                <w:sz w:val="20"/>
                <w:szCs w:val="20"/>
              </w:rPr>
            </w:pPr>
          </w:p>
        </w:tc>
        <w:tc>
          <w:tcPr>
            <w:tcW w:w="2250" w:type="dxa"/>
            <w:tcBorders>
              <w:top w:val="nil"/>
              <w:left w:val="nil"/>
              <w:bottom w:val="nil"/>
              <w:right w:val="nil"/>
            </w:tcBorders>
          </w:tcPr>
          <w:p w14:paraId="7C2394E5" w14:textId="77777777" w:rsidR="0048282A" w:rsidRPr="00442034" w:rsidRDefault="0048282A" w:rsidP="00BE5E6D">
            <w:pPr>
              <w:jc w:val="center"/>
              <w:rPr>
                <w:rFonts w:ascii="Times New Roman" w:hAnsi="Times New Roman" w:cs="Times New Roman"/>
                <w:sz w:val="20"/>
                <w:szCs w:val="20"/>
              </w:rPr>
            </w:pPr>
          </w:p>
        </w:tc>
      </w:tr>
      <w:tr w:rsidR="0048282A" w:rsidRPr="00442034" w14:paraId="47C82B1C" w14:textId="77777777" w:rsidTr="00352747">
        <w:tc>
          <w:tcPr>
            <w:tcW w:w="1710" w:type="dxa"/>
            <w:tcBorders>
              <w:top w:val="nil"/>
              <w:left w:val="nil"/>
              <w:bottom w:val="nil"/>
              <w:right w:val="nil"/>
            </w:tcBorders>
          </w:tcPr>
          <w:p w14:paraId="27522ECA" w14:textId="77777777" w:rsidR="0048282A" w:rsidRPr="00442034" w:rsidRDefault="0048282A" w:rsidP="00BE5E6D">
            <w:pPr>
              <w:rPr>
                <w:rFonts w:ascii="Times New Roman" w:hAnsi="Times New Roman" w:cs="Times New Roman"/>
                <w:i/>
                <w:iCs/>
                <w:sz w:val="20"/>
                <w:szCs w:val="20"/>
              </w:rPr>
            </w:pPr>
            <w:r w:rsidRPr="00442034">
              <w:rPr>
                <w:rFonts w:ascii="Times New Roman" w:hAnsi="Times New Roman" w:cs="Times New Roman"/>
                <w:i/>
                <w:iCs/>
                <w:sz w:val="20"/>
                <w:szCs w:val="20"/>
              </w:rPr>
              <w:t>Controls</w:t>
            </w:r>
          </w:p>
        </w:tc>
        <w:tc>
          <w:tcPr>
            <w:tcW w:w="1405" w:type="dxa"/>
            <w:tcBorders>
              <w:top w:val="nil"/>
              <w:left w:val="nil"/>
              <w:bottom w:val="nil"/>
              <w:right w:val="nil"/>
            </w:tcBorders>
          </w:tcPr>
          <w:p w14:paraId="16D9B78E" w14:textId="77777777" w:rsidR="0048282A" w:rsidRPr="00442034" w:rsidRDefault="0048282A" w:rsidP="00BE5E6D">
            <w:pPr>
              <w:rPr>
                <w:rFonts w:ascii="Times New Roman" w:hAnsi="Times New Roman" w:cs="Times New Roman"/>
                <w:sz w:val="20"/>
                <w:szCs w:val="20"/>
              </w:rPr>
            </w:pPr>
          </w:p>
        </w:tc>
        <w:tc>
          <w:tcPr>
            <w:tcW w:w="2195" w:type="dxa"/>
            <w:tcBorders>
              <w:top w:val="nil"/>
              <w:left w:val="nil"/>
              <w:bottom w:val="nil"/>
              <w:right w:val="nil"/>
            </w:tcBorders>
          </w:tcPr>
          <w:p w14:paraId="39637098" w14:textId="77777777" w:rsidR="0048282A" w:rsidRPr="00442034" w:rsidRDefault="0048282A" w:rsidP="00BE5E6D">
            <w:pPr>
              <w:jc w:val="center"/>
              <w:rPr>
                <w:rFonts w:ascii="Times New Roman" w:hAnsi="Times New Roman" w:cs="Times New Roman"/>
                <w:sz w:val="20"/>
                <w:szCs w:val="20"/>
              </w:rPr>
            </w:pPr>
          </w:p>
        </w:tc>
        <w:tc>
          <w:tcPr>
            <w:tcW w:w="1620" w:type="dxa"/>
            <w:tcBorders>
              <w:top w:val="nil"/>
              <w:left w:val="nil"/>
              <w:bottom w:val="nil"/>
              <w:right w:val="nil"/>
            </w:tcBorders>
          </w:tcPr>
          <w:p w14:paraId="36E33EED" w14:textId="77777777" w:rsidR="0048282A" w:rsidRPr="00442034" w:rsidRDefault="0048282A" w:rsidP="00BE5E6D">
            <w:pPr>
              <w:jc w:val="center"/>
              <w:rPr>
                <w:rFonts w:ascii="Times New Roman" w:hAnsi="Times New Roman" w:cs="Times New Roman"/>
                <w:sz w:val="20"/>
                <w:szCs w:val="20"/>
              </w:rPr>
            </w:pPr>
          </w:p>
        </w:tc>
        <w:tc>
          <w:tcPr>
            <w:tcW w:w="2250" w:type="dxa"/>
            <w:tcBorders>
              <w:top w:val="nil"/>
              <w:left w:val="nil"/>
              <w:bottom w:val="nil"/>
              <w:right w:val="nil"/>
            </w:tcBorders>
          </w:tcPr>
          <w:p w14:paraId="46F1DD6B" w14:textId="77777777" w:rsidR="0048282A" w:rsidRPr="00442034" w:rsidRDefault="0048282A" w:rsidP="00BE5E6D">
            <w:pPr>
              <w:jc w:val="center"/>
              <w:rPr>
                <w:rFonts w:ascii="Times New Roman" w:hAnsi="Times New Roman" w:cs="Times New Roman"/>
                <w:sz w:val="20"/>
                <w:szCs w:val="20"/>
              </w:rPr>
            </w:pPr>
          </w:p>
        </w:tc>
      </w:tr>
      <w:tr w:rsidR="0048282A" w:rsidRPr="00442034" w14:paraId="36CB2BC9" w14:textId="77777777" w:rsidTr="00352747">
        <w:tc>
          <w:tcPr>
            <w:tcW w:w="1710" w:type="dxa"/>
            <w:tcBorders>
              <w:top w:val="nil"/>
              <w:left w:val="nil"/>
              <w:bottom w:val="nil"/>
              <w:right w:val="nil"/>
            </w:tcBorders>
          </w:tcPr>
          <w:p w14:paraId="652AB7D2" w14:textId="30E6BE14"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 xml:space="preserve">Black </w:t>
            </w:r>
            <w:r w:rsidR="00400E0F" w:rsidRPr="00442034">
              <w:rPr>
                <w:rFonts w:ascii="Times New Roman" w:hAnsi="Times New Roman" w:cs="Times New Roman"/>
                <w:sz w:val="20"/>
                <w:szCs w:val="20"/>
              </w:rPr>
              <w:t>non-Hispanic</w:t>
            </w:r>
          </w:p>
        </w:tc>
        <w:tc>
          <w:tcPr>
            <w:tcW w:w="1405" w:type="dxa"/>
            <w:tcBorders>
              <w:top w:val="nil"/>
              <w:left w:val="nil"/>
              <w:bottom w:val="nil"/>
              <w:right w:val="nil"/>
            </w:tcBorders>
          </w:tcPr>
          <w:p w14:paraId="32DAEDA6"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-2.03 (1.31)</w:t>
            </w:r>
          </w:p>
        </w:tc>
        <w:tc>
          <w:tcPr>
            <w:tcW w:w="2195" w:type="dxa"/>
            <w:tcBorders>
              <w:top w:val="nil"/>
              <w:left w:val="nil"/>
              <w:bottom w:val="nil"/>
              <w:right w:val="nil"/>
            </w:tcBorders>
          </w:tcPr>
          <w:p w14:paraId="13DBC489"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-3.43 (</w:t>
            </w:r>
            <w:proofErr w:type="gramStart"/>
            <w:r w:rsidRPr="00442034">
              <w:rPr>
                <w:rFonts w:ascii="Times New Roman" w:hAnsi="Times New Roman" w:cs="Times New Roman"/>
                <w:sz w:val="20"/>
                <w:szCs w:val="20"/>
              </w:rPr>
              <w:t>1.33)</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1620" w:type="dxa"/>
            <w:tcBorders>
              <w:top w:val="nil"/>
              <w:left w:val="nil"/>
              <w:bottom w:val="nil"/>
              <w:right w:val="nil"/>
            </w:tcBorders>
          </w:tcPr>
          <w:p w14:paraId="710F7D54"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-3.30 (</w:t>
            </w:r>
            <w:proofErr w:type="gramStart"/>
            <w:r w:rsidRPr="00442034">
              <w:rPr>
                <w:rFonts w:ascii="Times New Roman" w:hAnsi="Times New Roman" w:cs="Times New Roman"/>
                <w:sz w:val="20"/>
                <w:szCs w:val="20"/>
              </w:rPr>
              <w:t>1.35)</w:t>
            </w:r>
            <w:r w:rsidRPr="00442034">
              <w:rPr>
                <w:rFonts w:ascii="Times New Roman" w:hAnsi="Times New Roman" w:cs="Times New Roman"/>
                <w:sz w:val="20"/>
                <w:szCs w:val="20"/>
                <w:vertAlign w:val="superscript"/>
              </w:rPr>
              <w:t>*</w:t>
            </w:r>
            <w:proofErr w:type="gramEnd"/>
          </w:p>
        </w:tc>
        <w:tc>
          <w:tcPr>
            <w:tcW w:w="2250" w:type="dxa"/>
            <w:tcBorders>
              <w:top w:val="nil"/>
              <w:left w:val="nil"/>
              <w:bottom w:val="nil"/>
              <w:right w:val="nil"/>
            </w:tcBorders>
          </w:tcPr>
          <w:p w14:paraId="7A47FD3E"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-2.31 (1.32)</w:t>
            </w:r>
            <w:r w:rsidRPr="00442034">
              <w:rPr>
                <w:rFonts w:ascii="Times New Roman" w:hAnsi="Times New Roman" w:cs="Times New Roman"/>
                <w:sz w:val="20"/>
                <w:szCs w:val="20"/>
                <w:vertAlign w:val="superscript"/>
              </w:rPr>
              <w:t xml:space="preserve"> †</w:t>
            </w:r>
          </w:p>
        </w:tc>
      </w:tr>
      <w:tr w:rsidR="0048282A" w:rsidRPr="00442034" w14:paraId="776951D5" w14:textId="77777777" w:rsidTr="00352747">
        <w:tc>
          <w:tcPr>
            <w:tcW w:w="1710" w:type="dxa"/>
            <w:tcBorders>
              <w:top w:val="nil"/>
              <w:left w:val="nil"/>
              <w:bottom w:val="nil"/>
              <w:right w:val="nil"/>
            </w:tcBorders>
          </w:tcPr>
          <w:p w14:paraId="2B5B8607"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 xml:space="preserve">Hispanic </w:t>
            </w:r>
          </w:p>
        </w:tc>
        <w:tc>
          <w:tcPr>
            <w:tcW w:w="1405" w:type="dxa"/>
            <w:tcBorders>
              <w:top w:val="nil"/>
              <w:left w:val="nil"/>
              <w:bottom w:val="nil"/>
              <w:right w:val="nil"/>
            </w:tcBorders>
          </w:tcPr>
          <w:p w14:paraId="7131835F"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-0.18 (1.43)</w:t>
            </w:r>
          </w:p>
        </w:tc>
        <w:tc>
          <w:tcPr>
            <w:tcW w:w="2195" w:type="dxa"/>
            <w:tcBorders>
              <w:top w:val="nil"/>
              <w:left w:val="nil"/>
              <w:bottom w:val="nil"/>
              <w:right w:val="nil"/>
            </w:tcBorders>
          </w:tcPr>
          <w:p w14:paraId="1389C2A2"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0.057 (1.39)</w:t>
            </w:r>
          </w:p>
        </w:tc>
        <w:tc>
          <w:tcPr>
            <w:tcW w:w="1620" w:type="dxa"/>
            <w:tcBorders>
              <w:top w:val="nil"/>
              <w:left w:val="nil"/>
              <w:bottom w:val="nil"/>
              <w:right w:val="nil"/>
            </w:tcBorders>
          </w:tcPr>
          <w:p w14:paraId="26FC82B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0.30 (1.43)</w:t>
            </w:r>
          </w:p>
        </w:tc>
        <w:tc>
          <w:tcPr>
            <w:tcW w:w="2250" w:type="dxa"/>
            <w:tcBorders>
              <w:top w:val="nil"/>
              <w:left w:val="nil"/>
              <w:bottom w:val="nil"/>
              <w:right w:val="nil"/>
            </w:tcBorders>
          </w:tcPr>
          <w:p w14:paraId="402F735B"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0.33 (1.35)</w:t>
            </w:r>
          </w:p>
        </w:tc>
      </w:tr>
      <w:tr w:rsidR="0048282A" w:rsidRPr="00442034" w14:paraId="57D7266F" w14:textId="77777777" w:rsidTr="00352747">
        <w:tc>
          <w:tcPr>
            <w:tcW w:w="1710" w:type="dxa"/>
            <w:tcBorders>
              <w:top w:val="nil"/>
              <w:left w:val="nil"/>
              <w:bottom w:val="nil"/>
              <w:right w:val="nil"/>
            </w:tcBorders>
          </w:tcPr>
          <w:p w14:paraId="1E75482D"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Other Race</w:t>
            </w:r>
          </w:p>
        </w:tc>
        <w:tc>
          <w:tcPr>
            <w:tcW w:w="1405" w:type="dxa"/>
            <w:tcBorders>
              <w:top w:val="nil"/>
              <w:left w:val="nil"/>
              <w:bottom w:val="nil"/>
              <w:right w:val="nil"/>
            </w:tcBorders>
          </w:tcPr>
          <w:p w14:paraId="145E9A20" w14:textId="77777777" w:rsidR="0048282A" w:rsidRPr="00442034" w:rsidRDefault="0048282A" w:rsidP="00BE5E6D">
            <w:pPr>
              <w:rPr>
                <w:rFonts w:ascii="Times New Roman" w:hAnsi="Times New Roman" w:cs="Times New Roman"/>
                <w:sz w:val="20"/>
                <w:szCs w:val="20"/>
                <w:vertAlign w:val="superscript"/>
              </w:rPr>
            </w:pPr>
            <w:r w:rsidRPr="00442034">
              <w:rPr>
                <w:rFonts w:ascii="Times New Roman" w:hAnsi="Times New Roman" w:cs="Times New Roman"/>
                <w:sz w:val="20"/>
                <w:szCs w:val="20"/>
              </w:rPr>
              <w:t>-6.14 (</w:t>
            </w:r>
            <w:proofErr w:type="gramStart"/>
            <w:r w:rsidRPr="00442034">
              <w:rPr>
                <w:rFonts w:ascii="Times New Roman" w:hAnsi="Times New Roman" w:cs="Times New Roman"/>
                <w:sz w:val="20"/>
                <w:szCs w:val="20"/>
              </w:rPr>
              <w:t>1.59)</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195" w:type="dxa"/>
            <w:tcBorders>
              <w:top w:val="nil"/>
              <w:left w:val="nil"/>
              <w:bottom w:val="nil"/>
              <w:right w:val="nil"/>
            </w:tcBorders>
          </w:tcPr>
          <w:p w14:paraId="0C4B84CF"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-6.41 (</w:t>
            </w:r>
            <w:proofErr w:type="gramStart"/>
            <w:r w:rsidRPr="00442034">
              <w:rPr>
                <w:rFonts w:ascii="Times New Roman" w:hAnsi="Times New Roman" w:cs="Times New Roman"/>
                <w:sz w:val="20"/>
                <w:szCs w:val="20"/>
              </w:rPr>
              <w:t>1.22)</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1620" w:type="dxa"/>
            <w:tcBorders>
              <w:top w:val="nil"/>
              <w:left w:val="nil"/>
              <w:bottom w:val="nil"/>
              <w:right w:val="nil"/>
            </w:tcBorders>
          </w:tcPr>
          <w:p w14:paraId="4832C21B"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-3.37 (</w:t>
            </w:r>
            <w:proofErr w:type="gramStart"/>
            <w:r w:rsidRPr="00442034">
              <w:rPr>
                <w:rFonts w:ascii="Times New Roman" w:hAnsi="Times New Roman" w:cs="Times New Roman"/>
                <w:sz w:val="20"/>
                <w:szCs w:val="20"/>
              </w:rPr>
              <w:t>1.19)</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250" w:type="dxa"/>
            <w:tcBorders>
              <w:top w:val="nil"/>
              <w:left w:val="nil"/>
              <w:bottom w:val="nil"/>
              <w:right w:val="nil"/>
            </w:tcBorders>
          </w:tcPr>
          <w:p w14:paraId="5E4D5588"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-2.84 (</w:t>
            </w:r>
            <w:proofErr w:type="gramStart"/>
            <w:r w:rsidRPr="00442034">
              <w:rPr>
                <w:rFonts w:ascii="Times New Roman" w:hAnsi="Times New Roman" w:cs="Times New Roman"/>
                <w:sz w:val="20"/>
                <w:szCs w:val="20"/>
              </w:rPr>
              <w:t>1.05)</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r>
      <w:tr w:rsidR="0048282A" w:rsidRPr="00442034" w14:paraId="4F8E9BB8" w14:textId="77777777" w:rsidTr="00352747">
        <w:tc>
          <w:tcPr>
            <w:tcW w:w="1710" w:type="dxa"/>
            <w:tcBorders>
              <w:top w:val="nil"/>
              <w:left w:val="nil"/>
              <w:bottom w:val="nil"/>
              <w:right w:val="nil"/>
            </w:tcBorders>
          </w:tcPr>
          <w:p w14:paraId="73EA5CF8"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Female</w:t>
            </w:r>
          </w:p>
        </w:tc>
        <w:tc>
          <w:tcPr>
            <w:tcW w:w="1405" w:type="dxa"/>
            <w:tcBorders>
              <w:top w:val="nil"/>
              <w:left w:val="nil"/>
              <w:bottom w:val="nil"/>
              <w:right w:val="nil"/>
            </w:tcBorders>
          </w:tcPr>
          <w:p w14:paraId="00FD7E79"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-1.53 (1.08)</w:t>
            </w:r>
          </w:p>
        </w:tc>
        <w:tc>
          <w:tcPr>
            <w:tcW w:w="2195" w:type="dxa"/>
            <w:tcBorders>
              <w:top w:val="nil"/>
              <w:left w:val="nil"/>
              <w:bottom w:val="nil"/>
              <w:right w:val="nil"/>
            </w:tcBorders>
          </w:tcPr>
          <w:p w14:paraId="17E99C7C"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-1.69 (1.02)</w:t>
            </w:r>
            <w:r w:rsidRPr="00442034">
              <w:rPr>
                <w:rFonts w:ascii="Times New Roman" w:hAnsi="Times New Roman" w:cs="Times New Roman"/>
                <w:sz w:val="20"/>
                <w:szCs w:val="20"/>
                <w:vertAlign w:val="superscript"/>
              </w:rPr>
              <w:t xml:space="preserve"> †</w:t>
            </w:r>
          </w:p>
        </w:tc>
        <w:tc>
          <w:tcPr>
            <w:tcW w:w="1620" w:type="dxa"/>
            <w:tcBorders>
              <w:top w:val="nil"/>
              <w:left w:val="nil"/>
              <w:bottom w:val="nil"/>
              <w:right w:val="nil"/>
            </w:tcBorders>
          </w:tcPr>
          <w:p w14:paraId="7825012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-1.33 (1.05)</w:t>
            </w:r>
          </w:p>
        </w:tc>
        <w:tc>
          <w:tcPr>
            <w:tcW w:w="2250" w:type="dxa"/>
            <w:tcBorders>
              <w:top w:val="nil"/>
              <w:left w:val="nil"/>
              <w:bottom w:val="nil"/>
              <w:right w:val="nil"/>
            </w:tcBorders>
          </w:tcPr>
          <w:p w14:paraId="3EAB5FF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-1.31 (1.06)</w:t>
            </w:r>
          </w:p>
        </w:tc>
      </w:tr>
      <w:tr w:rsidR="0048282A" w:rsidRPr="00442034" w14:paraId="01E20006" w14:textId="77777777" w:rsidTr="00352747">
        <w:tc>
          <w:tcPr>
            <w:tcW w:w="1710" w:type="dxa"/>
            <w:tcBorders>
              <w:top w:val="nil"/>
              <w:left w:val="nil"/>
              <w:bottom w:val="nil"/>
              <w:right w:val="nil"/>
            </w:tcBorders>
          </w:tcPr>
          <w:p w14:paraId="2CF8B2C5"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Age</w:t>
            </w:r>
          </w:p>
        </w:tc>
        <w:tc>
          <w:tcPr>
            <w:tcW w:w="1405" w:type="dxa"/>
            <w:tcBorders>
              <w:top w:val="nil"/>
              <w:left w:val="nil"/>
              <w:bottom w:val="nil"/>
              <w:right w:val="nil"/>
            </w:tcBorders>
          </w:tcPr>
          <w:p w14:paraId="5BEEE9A2" w14:textId="77777777" w:rsidR="0048282A" w:rsidRPr="00442034" w:rsidRDefault="0048282A" w:rsidP="00BE5E6D">
            <w:pPr>
              <w:rPr>
                <w:rFonts w:ascii="Times New Roman" w:hAnsi="Times New Roman" w:cs="Times New Roman"/>
                <w:sz w:val="20"/>
                <w:szCs w:val="20"/>
                <w:vertAlign w:val="superscript"/>
              </w:rPr>
            </w:pPr>
            <w:r w:rsidRPr="00442034">
              <w:rPr>
                <w:rFonts w:ascii="Times New Roman" w:hAnsi="Times New Roman" w:cs="Times New Roman"/>
                <w:sz w:val="20"/>
                <w:szCs w:val="20"/>
              </w:rPr>
              <w:t>-0.74 (.</w:t>
            </w:r>
            <w:proofErr w:type="gramStart"/>
            <w:r w:rsidRPr="00442034">
              <w:rPr>
                <w:rFonts w:ascii="Times New Roman" w:hAnsi="Times New Roman" w:cs="Times New Roman"/>
                <w:sz w:val="20"/>
                <w:szCs w:val="20"/>
              </w:rPr>
              <w:t>21)</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195" w:type="dxa"/>
            <w:tcBorders>
              <w:top w:val="nil"/>
              <w:left w:val="nil"/>
              <w:bottom w:val="nil"/>
              <w:right w:val="nil"/>
            </w:tcBorders>
          </w:tcPr>
          <w:p w14:paraId="7785E349"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-0.54 (.</w:t>
            </w:r>
            <w:proofErr w:type="gramStart"/>
            <w:r w:rsidRPr="00442034">
              <w:rPr>
                <w:rFonts w:ascii="Times New Roman" w:hAnsi="Times New Roman" w:cs="Times New Roman"/>
                <w:sz w:val="20"/>
                <w:szCs w:val="20"/>
              </w:rPr>
              <w:t>21)</w:t>
            </w:r>
            <w:r w:rsidRPr="00442034">
              <w:rPr>
                <w:rFonts w:ascii="Times New Roman" w:hAnsi="Times New Roman" w:cs="Times New Roman"/>
                <w:sz w:val="20"/>
                <w:szCs w:val="20"/>
                <w:vertAlign w:val="superscript"/>
              </w:rPr>
              <w:t>*</w:t>
            </w:r>
            <w:proofErr w:type="gramEnd"/>
          </w:p>
        </w:tc>
        <w:tc>
          <w:tcPr>
            <w:tcW w:w="1620" w:type="dxa"/>
            <w:tcBorders>
              <w:top w:val="nil"/>
              <w:left w:val="nil"/>
              <w:bottom w:val="nil"/>
              <w:right w:val="nil"/>
            </w:tcBorders>
          </w:tcPr>
          <w:p w14:paraId="666D55E3"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-0.70 (.</w:t>
            </w:r>
            <w:proofErr w:type="gramStart"/>
            <w:r w:rsidRPr="00442034">
              <w:rPr>
                <w:rFonts w:ascii="Times New Roman" w:hAnsi="Times New Roman" w:cs="Times New Roman"/>
                <w:sz w:val="20"/>
                <w:szCs w:val="20"/>
              </w:rPr>
              <w:t>21)</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250" w:type="dxa"/>
            <w:tcBorders>
              <w:top w:val="nil"/>
              <w:left w:val="nil"/>
              <w:bottom w:val="nil"/>
              <w:right w:val="nil"/>
            </w:tcBorders>
          </w:tcPr>
          <w:p w14:paraId="0B84D4BD"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-0.56 (.</w:t>
            </w:r>
            <w:proofErr w:type="gramStart"/>
            <w:r w:rsidRPr="00442034">
              <w:rPr>
                <w:rFonts w:ascii="Times New Roman" w:hAnsi="Times New Roman" w:cs="Times New Roman"/>
                <w:sz w:val="20"/>
                <w:szCs w:val="20"/>
              </w:rPr>
              <w:t>19)</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r>
      <w:tr w:rsidR="0048282A" w:rsidRPr="00442034" w14:paraId="37E44F10" w14:textId="77777777" w:rsidTr="00352747">
        <w:tc>
          <w:tcPr>
            <w:tcW w:w="1710" w:type="dxa"/>
            <w:tcBorders>
              <w:top w:val="nil"/>
              <w:left w:val="nil"/>
              <w:bottom w:val="nil"/>
              <w:right w:val="nil"/>
            </w:tcBorders>
          </w:tcPr>
          <w:p w14:paraId="5627A3D8"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Urban</w:t>
            </w:r>
          </w:p>
        </w:tc>
        <w:tc>
          <w:tcPr>
            <w:tcW w:w="1405" w:type="dxa"/>
            <w:tcBorders>
              <w:top w:val="nil"/>
              <w:left w:val="nil"/>
              <w:bottom w:val="nil"/>
              <w:right w:val="nil"/>
            </w:tcBorders>
          </w:tcPr>
          <w:p w14:paraId="49C5821E"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-1.14 (1.04)</w:t>
            </w:r>
          </w:p>
        </w:tc>
        <w:tc>
          <w:tcPr>
            <w:tcW w:w="2195" w:type="dxa"/>
            <w:tcBorders>
              <w:top w:val="nil"/>
              <w:left w:val="nil"/>
              <w:bottom w:val="nil"/>
              <w:right w:val="nil"/>
            </w:tcBorders>
          </w:tcPr>
          <w:p w14:paraId="391D91EA"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-0.36 (.88)</w:t>
            </w:r>
          </w:p>
        </w:tc>
        <w:tc>
          <w:tcPr>
            <w:tcW w:w="1620" w:type="dxa"/>
            <w:tcBorders>
              <w:top w:val="nil"/>
              <w:left w:val="nil"/>
              <w:bottom w:val="nil"/>
              <w:right w:val="nil"/>
            </w:tcBorders>
          </w:tcPr>
          <w:p w14:paraId="3E738FC1"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-0.37 (.85)</w:t>
            </w:r>
          </w:p>
        </w:tc>
        <w:tc>
          <w:tcPr>
            <w:tcW w:w="2250" w:type="dxa"/>
            <w:tcBorders>
              <w:top w:val="nil"/>
              <w:left w:val="nil"/>
              <w:bottom w:val="nil"/>
              <w:right w:val="nil"/>
            </w:tcBorders>
          </w:tcPr>
          <w:p w14:paraId="725EBF78"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0.19 (.86)</w:t>
            </w:r>
          </w:p>
        </w:tc>
      </w:tr>
      <w:tr w:rsidR="0048282A" w:rsidRPr="00442034" w14:paraId="4F82ACA3" w14:textId="77777777" w:rsidTr="00352747">
        <w:tc>
          <w:tcPr>
            <w:tcW w:w="1710" w:type="dxa"/>
            <w:tcBorders>
              <w:top w:val="nil"/>
              <w:left w:val="nil"/>
              <w:bottom w:val="nil"/>
              <w:right w:val="nil"/>
            </w:tcBorders>
          </w:tcPr>
          <w:p w14:paraId="4CB9E504"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Below Poverty</w:t>
            </w:r>
          </w:p>
        </w:tc>
        <w:tc>
          <w:tcPr>
            <w:tcW w:w="1405" w:type="dxa"/>
            <w:tcBorders>
              <w:top w:val="nil"/>
              <w:left w:val="nil"/>
              <w:bottom w:val="nil"/>
              <w:right w:val="nil"/>
            </w:tcBorders>
          </w:tcPr>
          <w:p w14:paraId="129399E1"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-0.95 (1.00)</w:t>
            </w:r>
          </w:p>
        </w:tc>
        <w:tc>
          <w:tcPr>
            <w:tcW w:w="2195" w:type="dxa"/>
            <w:tcBorders>
              <w:top w:val="nil"/>
              <w:left w:val="nil"/>
              <w:bottom w:val="nil"/>
              <w:right w:val="nil"/>
            </w:tcBorders>
          </w:tcPr>
          <w:p w14:paraId="438314E5"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-0.78 (.97)</w:t>
            </w:r>
          </w:p>
        </w:tc>
        <w:tc>
          <w:tcPr>
            <w:tcW w:w="1620" w:type="dxa"/>
            <w:tcBorders>
              <w:top w:val="nil"/>
              <w:left w:val="nil"/>
              <w:bottom w:val="nil"/>
              <w:right w:val="nil"/>
            </w:tcBorders>
          </w:tcPr>
          <w:p w14:paraId="16C56BF6"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-1.66 (.98)</w:t>
            </w:r>
            <w:r w:rsidRPr="00442034">
              <w:rPr>
                <w:rFonts w:ascii="Times New Roman" w:hAnsi="Times New Roman" w:cs="Times New Roman"/>
                <w:sz w:val="20"/>
                <w:szCs w:val="20"/>
                <w:vertAlign w:val="superscript"/>
              </w:rPr>
              <w:t xml:space="preserve"> †</w:t>
            </w:r>
          </w:p>
        </w:tc>
        <w:tc>
          <w:tcPr>
            <w:tcW w:w="2250" w:type="dxa"/>
            <w:tcBorders>
              <w:top w:val="nil"/>
              <w:left w:val="nil"/>
              <w:bottom w:val="nil"/>
              <w:right w:val="nil"/>
            </w:tcBorders>
          </w:tcPr>
          <w:p w14:paraId="2ECB7CE2"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-1.04 (.94)</w:t>
            </w:r>
          </w:p>
        </w:tc>
      </w:tr>
      <w:tr w:rsidR="0048282A" w:rsidRPr="00442034" w14:paraId="00CB8AC0" w14:textId="77777777" w:rsidTr="00352747">
        <w:tc>
          <w:tcPr>
            <w:tcW w:w="1710" w:type="dxa"/>
            <w:tcBorders>
              <w:top w:val="nil"/>
              <w:left w:val="nil"/>
              <w:bottom w:val="nil"/>
              <w:right w:val="nil"/>
            </w:tcBorders>
          </w:tcPr>
          <w:p w14:paraId="6325CE71"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Foster Parents</w:t>
            </w:r>
          </w:p>
        </w:tc>
        <w:tc>
          <w:tcPr>
            <w:tcW w:w="1405" w:type="dxa"/>
            <w:tcBorders>
              <w:top w:val="nil"/>
              <w:left w:val="nil"/>
              <w:bottom w:val="nil"/>
              <w:right w:val="nil"/>
            </w:tcBorders>
          </w:tcPr>
          <w:p w14:paraId="3C6DAE1A"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4.35 (3.06)</w:t>
            </w:r>
          </w:p>
        </w:tc>
        <w:tc>
          <w:tcPr>
            <w:tcW w:w="2195" w:type="dxa"/>
            <w:tcBorders>
              <w:top w:val="nil"/>
              <w:left w:val="nil"/>
              <w:bottom w:val="nil"/>
              <w:right w:val="nil"/>
            </w:tcBorders>
          </w:tcPr>
          <w:p w14:paraId="56BCE83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4.30 (2.77)</w:t>
            </w:r>
          </w:p>
        </w:tc>
        <w:tc>
          <w:tcPr>
            <w:tcW w:w="1620" w:type="dxa"/>
            <w:tcBorders>
              <w:top w:val="nil"/>
              <w:left w:val="nil"/>
              <w:bottom w:val="nil"/>
              <w:right w:val="nil"/>
            </w:tcBorders>
          </w:tcPr>
          <w:p w14:paraId="282699B2"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3.77 (2.86)</w:t>
            </w:r>
          </w:p>
        </w:tc>
        <w:tc>
          <w:tcPr>
            <w:tcW w:w="2250" w:type="dxa"/>
            <w:tcBorders>
              <w:top w:val="nil"/>
              <w:left w:val="nil"/>
              <w:bottom w:val="nil"/>
              <w:right w:val="nil"/>
            </w:tcBorders>
          </w:tcPr>
          <w:p w14:paraId="6BE30F36"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2.14 (2.86)</w:t>
            </w:r>
          </w:p>
        </w:tc>
      </w:tr>
      <w:tr w:rsidR="0048282A" w:rsidRPr="00442034" w14:paraId="1FA258C8" w14:textId="77777777" w:rsidTr="00352747">
        <w:tc>
          <w:tcPr>
            <w:tcW w:w="1710" w:type="dxa"/>
            <w:tcBorders>
              <w:top w:val="nil"/>
              <w:left w:val="nil"/>
              <w:bottom w:val="nil"/>
              <w:right w:val="nil"/>
            </w:tcBorders>
          </w:tcPr>
          <w:p w14:paraId="1B968C18"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Kinship Care</w:t>
            </w:r>
          </w:p>
        </w:tc>
        <w:tc>
          <w:tcPr>
            <w:tcW w:w="1405" w:type="dxa"/>
            <w:tcBorders>
              <w:top w:val="nil"/>
              <w:left w:val="nil"/>
              <w:bottom w:val="nil"/>
              <w:right w:val="nil"/>
            </w:tcBorders>
          </w:tcPr>
          <w:p w14:paraId="79892BDD"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0.74 (2.52)</w:t>
            </w:r>
          </w:p>
        </w:tc>
        <w:tc>
          <w:tcPr>
            <w:tcW w:w="2195" w:type="dxa"/>
            <w:tcBorders>
              <w:top w:val="nil"/>
              <w:left w:val="nil"/>
              <w:bottom w:val="nil"/>
              <w:right w:val="nil"/>
            </w:tcBorders>
          </w:tcPr>
          <w:p w14:paraId="1E64BD01"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1.33 (2.23)</w:t>
            </w:r>
          </w:p>
        </w:tc>
        <w:tc>
          <w:tcPr>
            <w:tcW w:w="1620" w:type="dxa"/>
            <w:tcBorders>
              <w:top w:val="nil"/>
              <w:left w:val="nil"/>
              <w:bottom w:val="nil"/>
              <w:right w:val="nil"/>
            </w:tcBorders>
          </w:tcPr>
          <w:p w14:paraId="19B386E3"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0.63 (2.35)</w:t>
            </w:r>
          </w:p>
        </w:tc>
        <w:tc>
          <w:tcPr>
            <w:tcW w:w="2250" w:type="dxa"/>
            <w:tcBorders>
              <w:top w:val="nil"/>
              <w:left w:val="nil"/>
              <w:bottom w:val="nil"/>
              <w:right w:val="nil"/>
            </w:tcBorders>
          </w:tcPr>
          <w:p w14:paraId="174A7CC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0.35 (2.24)</w:t>
            </w:r>
          </w:p>
        </w:tc>
      </w:tr>
      <w:tr w:rsidR="0048282A" w:rsidRPr="00442034" w14:paraId="37ACEEB9" w14:textId="77777777" w:rsidTr="00352747">
        <w:tc>
          <w:tcPr>
            <w:tcW w:w="1710" w:type="dxa"/>
            <w:tcBorders>
              <w:top w:val="nil"/>
              <w:left w:val="nil"/>
              <w:bottom w:val="nil"/>
              <w:right w:val="nil"/>
            </w:tcBorders>
          </w:tcPr>
          <w:p w14:paraId="3234ACC0"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Substantiated Report</w:t>
            </w:r>
          </w:p>
        </w:tc>
        <w:tc>
          <w:tcPr>
            <w:tcW w:w="1405" w:type="dxa"/>
            <w:tcBorders>
              <w:top w:val="nil"/>
              <w:left w:val="nil"/>
              <w:bottom w:val="nil"/>
              <w:right w:val="nil"/>
            </w:tcBorders>
          </w:tcPr>
          <w:p w14:paraId="29D40F27" w14:textId="77777777" w:rsidR="0048282A" w:rsidRPr="00442034" w:rsidRDefault="0048282A" w:rsidP="00BE5E6D">
            <w:pPr>
              <w:rPr>
                <w:rFonts w:ascii="Times New Roman" w:hAnsi="Times New Roman" w:cs="Times New Roman"/>
                <w:sz w:val="20"/>
                <w:szCs w:val="20"/>
                <w:vertAlign w:val="superscript"/>
              </w:rPr>
            </w:pPr>
            <w:r w:rsidRPr="00442034">
              <w:rPr>
                <w:rFonts w:ascii="Times New Roman" w:hAnsi="Times New Roman" w:cs="Times New Roman"/>
                <w:sz w:val="20"/>
                <w:szCs w:val="20"/>
              </w:rPr>
              <w:t>-2.20 (.</w:t>
            </w:r>
            <w:proofErr w:type="gramStart"/>
            <w:r w:rsidRPr="00442034">
              <w:rPr>
                <w:rFonts w:ascii="Times New Roman" w:hAnsi="Times New Roman" w:cs="Times New Roman"/>
                <w:sz w:val="20"/>
                <w:szCs w:val="20"/>
              </w:rPr>
              <w:t>72)</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195" w:type="dxa"/>
            <w:tcBorders>
              <w:top w:val="nil"/>
              <w:left w:val="nil"/>
              <w:bottom w:val="nil"/>
              <w:right w:val="nil"/>
            </w:tcBorders>
          </w:tcPr>
          <w:p w14:paraId="475616FF"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-1.85 (.</w:t>
            </w:r>
            <w:proofErr w:type="gramStart"/>
            <w:r w:rsidRPr="00442034">
              <w:rPr>
                <w:rFonts w:ascii="Times New Roman" w:hAnsi="Times New Roman" w:cs="Times New Roman"/>
                <w:sz w:val="20"/>
                <w:szCs w:val="20"/>
              </w:rPr>
              <w:t>69)</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1620" w:type="dxa"/>
            <w:tcBorders>
              <w:top w:val="nil"/>
              <w:left w:val="nil"/>
              <w:bottom w:val="nil"/>
              <w:right w:val="nil"/>
            </w:tcBorders>
          </w:tcPr>
          <w:p w14:paraId="4CBD0795"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-1.98 (.</w:t>
            </w:r>
            <w:proofErr w:type="gramStart"/>
            <w:r w:rsidRPr="00442034">
              <w:rPr>
                <w:rFonts w:ascii="Times New Roman" w:hAnsi="Times New Roman" w:cs="Times New Roman"/>
                <w:sz w:val="20"/>
                <w:szCs w:val="20"/>
              </w:rPr>
              <w:t>67)</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250" w:type="dxa"/>
            <w:tcBorders>
              <w:top w:val="nil"/>
              <w:left w:val="nil"/>
              <w:bottom w:val="nil"/>
              <w:right w:val="nil"/>
            </w:tcBorders>
          </w:tcPr>
          <w:p w14:paraId="0AD8BBE5"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-2.51 (.</w:t>
            </w:r>
            <w:proofErr w:type="gramStart"/>
            <w:r w:rsidRPr="00442034">
              <w:rPr>
                <w:rFonts w:ascii="Times New Roman" w:hAnsi="Times New Roman" w:cs="Times New Roman"/>
                <w:sz w:val="20"/>
                <w:szCs w:val="20"/>
              </w:rPr>
              <w:t>66)</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r>
      <w:tr w:rsidR="0048282A" w:rsidRPr="00442034" w14:paraId="76FEA4C1" w14:textId="77777777" w:rsidTr="00352747">
        <w:tc>
          <w:tcPr>
            <w:tcW w:w="1710" w:type="dxa"/>
            <w:tcBorders>
              <w:top w:val="nil"/>
              <w:left w:val="nil"/>
              <w:bottom w:val="nil"/>
              <w:right w:val="nil"/>
            </w:tcBorders>
          </w:tcPr>
          <w:p w14:paraId="004F0155"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Neglect</w:t>
            </w:r>
          </w:p>
        </w:tc>
        <w:tc>
          <w:tcPr>
            <w:tcW w:w="1405" w:type="dxa"/>
            <w:tcBorders>
              <w:top w:val="nil"/>
              <w:left w:val="nil"/>
              <w:bottom w:val="nil"/>
              <w:right w:val="nil"/>
            </w:tcBorders>
          </w:tcPr>
          <w:p w14:paraId="71F2D059"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0.30 (.81)</w:t>
            </w:r>
          </w:p>
        </w:tc>
        <w:tc>
          <w:tcPr>
            <w:tcW w:w="2195" w:type="dxa"/>
            <w:tcBorders>
              <w:top w:val="nil"/>
              <w:left w:val="nil"/>
              <w:bottom w:val="nil"/>
              <w:right w:val="nil"/>
            </w:tcBorders>
          </w:tcPr>
          <w:p w14:paraId="0B2FE89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-1.41 (.87)</w:t>
            </w:r>
          </w:p>
        </w:tc>
        <w:tc>
          <w:tcPr>
            <w:tcW w:w="1620" w:type="dxa"/>
            <w:tcBorders>
              <w:top w:val="nil"/>
              <w:left w:val="nil"/>
              <w:bottom w:val="nil"/>
              <w:right w:val="nil"/>
            </w:tcBorders>
          </w:tcPr>
          <w:p w14:paraId="47F99256"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-0.83 (.90)</w:t>
            </w:r>
          </w:p>
        </w:tc>
        <w:tc>
          <w:tcPr>
            <w:tcW w:w="2250" w:type="dxa"/>
            <w:tcBorders>
              <w:top w:val="nil"/>
              <w:left w:val="nil"/>
              <w:bottom w:val="nil"/>
              <w:right w:val="nil"/>
            </w:tcBorders>
          </w:tcPr>
          <w:p w14:paraId="4C6FC5A8"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-1.24 (.83)</w:t>
            </w:r>
          </w:p>
        </w:tc>
      </w:tr>
      <w:tr w:rsidR="0048282A" w:rsidRPr="00442034" w14:paraId="72E12796" w14:textId="77777777" w:rsidTr="00352747">
        <w:tc>
          <w:tcPr>
            <w:tcW w:w="1710" w:type="dxa"/>
            <w:tcBorders>
              <w:top w:val="nil"/>
              <w:left w:val="nil"/>
              <w:bottom w:val="nil"/>
              <w:right w:val="nil"/>
            </w:tcBorders>
          </w:tcPr>
          <w:p w14:paraId="22038171"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Substance Related</w:t>
            </w:r>
          </w:p>
        </w:tc>
        <w:tc>
          <w:tcPr>
            <w:tcW w:w="1405" w:type="dxa"/>
            <w:tcBorders>
              <w:top w:val="nil"/>
              <w:left w:val="nil"/>
              <w:bottom w:val="nil"/>
              <w:right w:val="nil"/>
            </w:tcBorders>
          </w:tcPr>
          <w:p w14:paraId="7B899328"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-1.22 (1.65)</w:t>
            </w:r>
          </w:p>
        </w:tc>
        <w:tc>
          <w:tcPr>
            <w:tcW w:w="2195" w:type="dxa"/>
            <w:tcBorders>
              <w:top w:val="nil"/>
              <w:left w:val="nil"/>
              <w:bottom w:val="nil"/>
              <w:right w:val="nil"/>
            </w:tcBorders>
          </w:tcPr>
          <w:p w14:paraId="67DF4DD4"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-2.54 (1.30)</w:t>
            </w:r>
            <w:r w:rsidRPr="00442034">
              <w:rPr>
                <w:rFonts w:ascii="Times New Roman" w:hAnsi="Times New Roman" w:cs="Times New Roman"/>
                <w:sz w:val="20"/>
                <w:szCs w:val="20"/>
                <w:vertAlign w:val="superscript"/>
              </w:rPr>
              <w:t xml:space="preserve"> †</w:t>
            </w:r>
          </w:p>
        </w:tc>
        <w:tc>
          <w:tcPr>
            <w:tcW w:w="1620" w:type="dxa"/>
            <w:tcBorders>
              <w:top w:val="nil"/>
              <w:left w:val="nil"/>
              <w:bottom w:val="nil"/>
              <w:right w:val="nil"/>
            </w:tcBorders>
          </w:tcPr>
          <w:p w14:paraId="7CB9B838"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-2.28 (1.16)</w:t>
            </w:r>
            <w:r w:rsidRPr="00442034">
              <w:rPr>
                <w:rFonts w:ascii="Times New Roman" w:hAnsi="Times New Roman" w:cs="Times New Roman"/>
                <w:sz w:val="20"/>
                <w:szCs w:val="20"/>
                <w:vertAlign w:val="superscript"/>
              </w:rPr>
              <w:t xml:space="preserve"> †</w:t>
            </w:r>
          </w:p>
        </w:tc>
        <w:tc>
          <w:tcPr>
            <w:tcW w:w="2250" w:type="dxa"/>
            <w:tcBorders>
              <w:top w:val="nil"/>
              <w:left w:val="nil"/>
              <w:bottom w:val="nil"/>
              <w:right w:val="nil"/>
            </w:tcBorders>
          </w:tcPr>
          <w:p w14:paraId="7BDD465C"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-2.58 (</w:t>
            </w:r>
            <w:proofErr w:type="gramStart"/>
            <w:r w:rsidRPr="00442034">
              <w:rPr>
                <w:rFonts w:ascii="Times New Roman" w:hAnsi="Times New Roman" w:cs="Times New Roman"/>
                <w:sz w:val="20"/>
                <w:szCs w:val="20"/>
              </w:rPr>
              <w:t>1.23)</w:t>
            </w:r>
            <w:r w:rsidRPr="00442034">
              <w:rPr>
                <w:rFonts w:ascii="Times New Roman" w:hAnsi="Times New Roman" w:cs="Times New Roman"/>
                <w:sz w:val="20"/>
                <w:szCs w:val="20"/>
                <w:vertAlign w:val="superscript"/>
              </w:rPr>
              <w:t>*</w:t>
            </w:r>
            <w:proofErr w:type="gramEnd"/>
          </w:p>
        </w:tc>
      </w:tr>
      <w:tr w:rsidR="0048282A" w:rsidRPr="00442034" w14:paraId="32D1F018" w14:textId="77777777" w:rsidTr="00352747">
        <w:tc>
          <w:tcPr>
            <w:tcW w:w="1710" w:type="dxa"/>
            <w:tcBorders>
              <w:top w:val="nil"/>
              <w:left w:val="nil"/>
              <w:bottom w:val="nil"/>
              <w:right w:val="nil"/>
            </w:tcBorders>
          </w:tcPr>
          <w:p w14:paraId="42B8A28C"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Domestic Violence</w:t>
            </w:r>
          </w:p>
        </w:tc>
        <w:tc>
          <w:tcPr>
            <w:tcW w:w="1405" w:type="dxa"/>
            <w:tcBorders>
              <w:top w:val="nil"/>
              <w:left w:val="nil"/>
              <w:bottom w:val="nil"/>
              <w:right w:val="nil"/>
            </w:tcBorders>
          </w:tcPr>
          <w:p w14:paraId="4040B4D8"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0.66 (1.42)</w:t>
            </w:r>
          </w:p>
        </w:tc>
        <w:tc>
          <w:tcPr>
            <w:tcW w:w="2195" w:type="dxa"/>
            <w:tcBorders>
              <w:top w:val="nil"/>
              <w:left w:val="nil"/>
              <w:bottom w:val="nil"/>
              <w:right w:val="nil"/>
            </w:tcBorders>
          </w:tcPr>
          <w:p w14:paraId="0D669019"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-1.86 (1.19)</w:t>
            </w:r>
          </w:p>
        </w:tc>
        <w:tc>
          <w:tcPr>
            <w:tcW w:w="1620" w:type="dxa"/>
            <w:tcBorders>
              <w:top w:val="nil"/>
              <w:left w:val="nil"/>
              <w:bottom w:val="nil"/>
              <w:right w:val="nil"/>
            </w:tcBorders>
          </w:tcPr>
          <w:p w14:paraId="32B2C974"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-1.77 (1.17)</w:t>
            </w:r>
          </w:p>
        </w:tc>
        <w:tc>
          <w:tcPr>
            <w:tcW w:w="2250" w:type="dxa"/>
            <w:tcBorders>
              <w:top w:val="nil"/>
              <w:left w:val="nil"/>
              <w:bottom w:val="nil"/>
              <w:right w:val="nil"/>
            </w:tcBorders>
          </w:tcPr>
          <w:p w14:paraId="0FE72DBA"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-2.30 (1.25)</w:t>
            </w:r>
            <w:r w:rsidRPr="00442034">
              <w:rPr>
                <w:rFonts w:ascii="Times New Roman" w:hAnsi="Times New Roman" w:cs="Times New Roman"/>
                <w:sz w:val="20"/>
                <w:szCs w:val="20"/>
                <w:vertAlign w:val="superscript"/>
              </w:rPr>
              <w:t xml:space="preserve"> †</w:t>
            </w:r>
          </w:p>
        </w:tc>
      </w:tr>
      <w:tr w:rsidR="0048282A" w:rsidRPr="00442034" w14:paraId="5AB95DC2" w14:textId="77777777" w:rsidTr="00352747">
        <w:tc>
          <w:tcPr>
            <w:tcW w:w="1710" w:type="dxa"/>
            <w:tcBorders>
              <w:top w:val="nil"/>
              <w:left w:val="nil"/>
              <w:bottom w:val="nil"/>
              <w:right w:val="nil"/>
            </w:tcBorders>
          </w:tcPr>
          <w:p w14:paraId="3AF4930C"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Sexual Abuse</w:t>
            </w:r>
          </w:p>
        </w:tc>
        <w:tc>
          <w:tcPr>
            <w:tcW w:w="1405" w:type="dxa"/>
            <w:tcBorders>
              <w:top w:val="nil"/>
              <w:left w:val="nil"/>
              <w:bottom w:val="nil"/>
              <w:right w:val="nil"/>
            </w:tcBorders>
          </w:tcPr>
          <w:p w14:paraId="53BA1464" w14:textId="77777777" w:rsidR="0048282A" w:rsidRPr="00442034" w:rsidRDefault="0048282A" w:rsidP="00BE5E6D">
            <w:pPr>
              <w:rPr>
                <w:rFonts w:ascii="Times New Roman" w:hAnsi="Times New Roman" w:cs="Times New Roman"/>
                <w:sz w:val="20"/>
                <w:szCs w:val="20"/>
                <w:vertAlign w:val="superscript"/>
              </w:rPr>
            </w:pPr>
            <w:r w:rsidRPr="00442034">
              <w:rPr>
                <w:rFonts w:ascii="Times New Roman" w:hAnsi="Times New Roman" w:cs="Times New Roman"/>
                <w:sz w:val="20"/>
                <w:szCs w:val="20"/>
              </w:rPr>
              <w:t>-2.73 (</w:t>
            </w:r>
            <w:proofErr w:type="gramStart"/>
            <w:r w:rsidRPr="00442034">
              <w:rPr>
                <w:rFonts w:ascii="Times New Roman" w:hAnsi="Times New Roman" w:cs="Times New Roman"/>
                <w:sz w:val="20"/>
                <w:szCs w:val="20"/>
              </w:rPr>
              <w:t>1.20)</w:t>
            </w:r>
            <w:r w:rsidRPr="00442034">
              <w:rPr>
                <w:rFonts w:ascii="Times New Roman" w:hAnsi="Times New Roman" w:cs="Times New Roman"/>
                <w:sz w:val="20"/>
                <w:szCs w:val="20"/>
                <w:vertAlign w:val="superscript"/>
              </w:rPr>
              <w:t>*</w:t>
            </w:r>
            <w:proofErr w:type="gramEnd"/>
          </w:p>
        </w:tc>
        <w:tc>
          <w:tcPr>
            <w:tcW w:w="2195" w:type="dxa"/>
            <w:tcBorders>
              <w:top w:val="nil"/>
              <w:left w:val="nil"/>
              <w:bottom w:val="nil"/>
              <w:right w:val="nil"/>
            </w:tcBorders>
          </w:tcPr>
          <w:p w14:paraId="24AD22C9"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-1.70 (1.09)</w:t>
            </w:r>
          </w:p>
        </w:tc>
        <w:tc>
          <w:tcPr>
            <w:tcW w:w="1620" w:type="dxa"/>
            <w:tcBorders>
              <w:top w:val="nil"/>
              <w:left w:val="nil"/>
              <w:bottom w:val="nil"/>
              <w:right w:val="nil"/>
            </w:tcBorders>
          </w:tcPr>
          <w:p w14:paraId="211C466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-2.12 (1.08)</w:t>
            </w:r>
            <w:r w:rsidRPr="00442034">
              <w:rPr>
                <w:rFonts w:ascii="Times New Roman" w:hAnsi="Times New Roman" w:cs="Times New Roman"/>
                <w:sz w:val="20"/>
                <w:szCs w:val="20"/>
                <w:vertAlign w:val="superscript"/>
              </w:rPr>
              <w:t xml:space="preserve"> †</w:t>
            </w:r>
          </w:p>
        </w:tc>
        <w:tc>
          <w:tcPr>
            <w:tcW w:w="2250" w:type="dxa"/>
            <w:tcBorders>
              <w:top w:val="nil"/>
              <w:left w:val="nil"/>
              <w:bottom w:val="nil"/>
              <w:right w:val="nil"/>
            </w:tcBorders>
          </w:tcPr>
          <w:p w14:paraId="54C66910"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-2.91 (</w:t>
            </w:r>
            <w:proofErr w:type="gramStart"/>
            <w:r w:rsidRPr="00442034">
              <w:rPr>
                <w:rFonts w:ascii="Times New Roman" w:hAnsi="Times New Roman" w:cs="Times New Roman"/>
                <w:sz w:val="20"/>
                <w:szCs w:val="20"/>
              </w:rPr>
              <w:t>1.21)</w:t>
            </w:r>
            <w:r w:rsidRPr="00442034">
              <w:rPr>
                <w:rFonts w:ascii="Times New Roman" w:hAnsi="Times New Roman" w:cs="Times New Roman"/>
                <w:sz w:val="20"/>
                <w:szCs w:val="20"/>
                <w:vertAlign w:val="superscript"/>
              </w:rPr>
              <w:t>*</w:t>
            </w:r>
            <w:proofErr w:type="gramEnd"/>
          </w:p>
        </w:tc>
      </w:tr>
      <w:tr w:rsidR="0048282A" w:rsidRPr="00442034" w14:paraId="4D037E58" w14:textId="77777777" w:rsidTr="00352747">
        <w:tc>
          <w:tcPr>
            <w:tcW w:w="1710" w:type="dxa"/>
            <w:tcBorders>
              <w:top w:val="nil"/>
              <w:left w:val="nil"/>
              <w:bottom w:val="nil"/>
              <w:right w:val="nil"/>
            </w:tcBorders>
          </w:tcPr>
          <w:p w14:paraId="144EB83E"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Other</w:t>
            </w:r>
          </w:p>
        </w:tc>
        <w:tc>
          <w:tcPr>
            <w:tcW w:w="1405" w:type="dxa"/>
            <w:tcBorders>
              <w:top w:val="nil"/>
              <w:left w:val="nil"/>
              <w:bottom w:val="nil"/>
              <w:right w:val="nil"/>
            </w:tcBorders>
          </w:tcPr>
          <w:p w14:paraId="2AFED10E"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1.75 (1.44)</w:t>
            </w:r>
          </w:p>
        </w:tc>
        <w:tc>
          <w:tcPr>
            <w:tcW w:w="2195" w:type="dxa"/>
            <w:tcBorders>
              <w:top w:val="nil"/>
              <w:left w:val="nil"/>
              <w:bottom w:val="nil"/>
              <w:right w:val="nil"/>
            </w:tcBorders>
          </w:tcPr>
          <w:p w14:paraId="0CA6D836"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0.56 (1.54)</w:t>
            </w:r>
          </w:p>
        </w:tc>
        <w:tc>
          <w:tcPr>
            <w:tcW w:w="1620" w:type="dxa"/>
            <w:tcBorders>
              <w:top w:val="nil"/>
              <w:left w:val="nil"/>
              <w:bottom w:val="nil"/>
              <w:right w:val="nil"/>
            </w:tcBorders>
          </w:tcPr>
          <w:p w14:paraId="77C14616"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1.57 (1.28)</w:t>
            </w:r>
          </w:p>
        </w:tc>
        <w:tc>
          <w:tcPr>
            <w:tcW w:w="2250" w:type="dxa"/>
            <w:tcBorders>
              <w:top w:val="nil"/>
              <w:left w:val="nil"/>
              <w:bottom w:val="nil"/>
              <w:right w:val="nil"/>
            </w:tcBorders>
          </w:tcPr>
          <w:p w14:paraId="4CAABC38"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1.97 (1.30)</w:t>
            </w:r>
          </w:p>
        </w:tc>
      </w:tr>
      <w:tr w:rsidR="0048282A" w:rsidRPr="00442034" w14:paraId="590E1E6E" w14:textId="77777777" w:rsidTr="00352747">
        <w:tc>
          <w:tcPr>
            <w:tcW w:w="1710" w:type="dxa"/>
            <w:tcBorders>
              <w:top w:val="nil"/>
              <w:left w:val="nil"/>
              <w:bottom w:val="nil"/>
              <w:right w:val="nil"/>
            </w:tcBorders>
          </w:tcPr>
          <w:p w14:paraId="1A12D32F"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Out-of-Home Care</w:t>
            </w:r>
          </w:p>
        </w:tc>
        <w:tc>
          <w:tcPr>
            <w:tcW w:w="1405" w:type="dxa"/>
            <w:tcBorders>
              <w:top w:val="nil"/>
              <w:left w:val="nil"/>
              <w:bottom w:val="nil"/>
              <w:right w:val="nil"/>
            </w:tcBorders>
          </w:tcPr>
          <w:p w14:paraId="5F3C640D"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-3.72 (2.67)</w:t>
            </w:r>
          </w:p>
        </w:tc>
        <w:tc>
          <w:tcPr>
            <w:tcW w:w="2195" w:type="dxa"/>
            <w:tcBorders>
              <w:top w:val="nil"/>
              <w:left w:val="nil"/>
              <w:bottom w:val="nil"/>
              <w:right w:val="nil"/>
            </w:tcBorders>
          </w:tcPr>
          <w:p w14:paraId="2AD7267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-2.48 (2.19)</w:t>
            </w:r>
          </w:p>
        </w:tc>
        <w:tc>
          <w:tcPr>
            <w:tcW w:w="1620" w:type="dxa"/>
            <w:tcBorders>
              <w:top w:val="nil"/>
              <w:left w:val="nil"/>
              <w:bottom w:val="nil"/>
              <w:right w:val="nil"/>
            </w:tcBorders>
          </w:tcPr>
          <w:p w14:paraId="1AEC1BC5"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-1.77 (2.33)</w:t>
            </w:r>
          </w:p>
        </w:tc>
        <w:tc>
          <w:tcPr>
            <w:tcW w:w="2250" w:type="dxa"/>
            <w:tcBorders>
              <w:top w:val="nil"/>
              <w:left w:val="nil"/>
              <w:bottom w:val="nil"/>
              <w:right w:val="nil"/>
            </w:tcBorders>
          </w:tcPr>
          <w:p w14:paraId="6EF21B4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-0.89 (2.43)</w:t>
            </w:r>
          </w:p>
        </w:tc>
      </w:tr>
      <w:tr w:rsidR="0048282A" w:rsidRPr="00442034" w14:paraId="0FE91775" w14:textId="77777777" w:rsidTr="00352747">
        <w:tc>
          <w:tcPr>
            <w:tcW w:w="1710" w:type="dxa"/>
            <w:tcBorders>
              <w:top w:val="nil"/>
              <w:left w:val="nil"/>
              <w:bottom w:val="single" w:sz="4" w:space="0" w:color="auto"/>
              <w:right w:val="nil"/>
            </w:tcBorders>
          </w:tcPr>
          <w:p w14:paraId="0DB24A7D"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Constant</w:t>
            </w:r>
          </w:p>
        </w:tc>
        <w:tc>
          <w:tcPr>
            <w:tcW w:w="1405" w:type="dxa"/>
            <w:tcBorders>
              <w:top w:val="nil"/>
              <w:left w:val="nil"/>
              <w:bottom w:val="single" w:sz="4" w:space="0" w:color="auto"/>
              <w:right w:val="nil"/>
            </w:tcBorders>
          </w:tcPr>
          <w:p w14:paraId="0BE05FCD" w14:textId="77777777" w:rsidR="0048282A" w:rsidRPr="00442034" w:rsidRDefault="0048282A" w:rsidP="00BE5E6D">
            <w:pPr>
              <w:rPr>
                <w:rFonts w:ascii="Times New Roman" w:hAnsi="Times New Roman" w:cs="Times New Roman"/>
                <w:sz w:val="20"/>
                <w:szCs w:val="20"/>
                <w:vertAlign w:val="superscript"/>
              </w:rPr>
            </w:pPr>
            <w:r w:rsidRPr="00442034">
              <w:rPr>
                <w:rFonts w:ascii="Times New Roman" w:hAnsi="Times New Roman" w:cs="Times New Roman"/>
                <w:sz w:val="20"/>
                <w:szCs w:val="20"/>
              </w:rPr>
              <w:t>20.6 (</w:t>
            </w:r>
            <w:proofErr w:type="gramStart"/>
            <w:r w:rsidRPr="00442034">
              <w:rPr>
                <w:rFonts w:ascii="Times New Roman" w:hAnsi="Times New Roman" w:cs="Times New Roman"/>
                <w:sz w:val="20"/>
                <w:szCs w:val="20"/>
              </w:rPr>
              <w:t>6.88)</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2195" w:type="dxa"/>
            <w:tcBorders>
              <w:top w:val="nil"/>
              <w:left w:val="nil"/>
              <w:bottom w:val="single" w:sz="4" w:space="0" w:color="auto"/>
              <w:right w:val="nil"/>
            </w:tcBorders>
          </w:tcPr>
          <w:p w14:paraId="39C7EC67"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14.4 (</w:t>
            </w:r>
            <w:proofErr w:type="gramStart"/>
            <w:r w:rsidRPr="00442034">
              <w:rPr>
                <w:rFonts w:ascii="Times New Roman" w:hAnsi="Times New Roman" w:cs="Times New Roman"/>
                <w:sz w:val="20"/>
                <w:szCs w:val="20"/>
              </w:rPr>
              <w:t>6.44)</w:t>
            </w:r>
            <w:r w:rsidRPr="00442034">
              <w:rPr>
                <w:rFonts w:ascii="Times New Roman" w:hAnsi="Times New Roman" w:cs="Times New Roman"/>
                <w:sz w:val="20"/>
                <w:szCs w:val="20"/>
                <w:vertAlign w:val="superscript"/>
              </w:rPr>
              <w:t>*</w:t>
            </w:r>
            <w:proofErr w:type="gramEnd"/>
          </w:p>
        </w:tc>
        <w:tc>
          <w:tcPr>
            <w:tcW w:w="1620" w:type="dxa"/>
            <w:tcBorders>
              <w:top w:val="nil"/>
              <w:left w:val="nil"/>
              <w:bottom w:val="single" w:sz="4" w:space="0" w:color="auto"/>
              <w:right w:val="nil"/>
            </w:tcBorders>
          </w:tcPr>
          <w:p w14:paraId="45C4F659"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15.2 (</w:t>
            </w:r>
            <w:proofErr w:type="gramStart"/>
            <w:r w:rsidRPr="00442034">
              <w:rPr>
                <w:rFonts w:ascii="Times New Roman" w:hAnsi="Times New Roman" w:cs="Times New Roman"/>
                <w:sz w:val="20"/>
                <w:szCs w:val="20"/>
              </w:rPr>
              <w:t>6.07)</w:t>
            </w:r>
            <w:r w:rsidRPr="00442034">
              <w:rPr>
                <w:rFonts w:ascii="Times New Roman" w:hAnsi="Times New Roman" w:cs="Times New Roman"/>
                <w:sz w:val="20"/>
                <w:szCs w:val="20"/>
                <w:vertAlign w:val="superscript"/>
              </w:rPr>
              <w:t>*</w:t>
            </w:r>
            <w:proofErr w:type="gramEnd"/>
          </w:p>
        </w:tc>
        <w:tc>
          <w:tcPr>
            <w:tcW w:w="2250" w:type="dxa"/>
            <w:tcBorders>
              <w:top w:val="nil"/>
              <w:left w:val="nil"/>
              <w:bottom w:val="single" w:sz="4" w:space="0" w:color="auto"/>
              <w:right w:val="nil"/>
            </w:tcBorders>
          </w:tcPr>
          <w:p w14:paraId="302B8063"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16.1 (</w:t>
            </w:r>
            <w:proofErr w:type="gramStart"/>
            <w:r w:rsidRPr="00442034">
              <w:rPr>
                <w:rFonts w:ascii="Times New Roman" w:hAnsi="Times New Roman" w:cs="Times New Roman"/>
                <w:sz w:val="20"/>
                <w:szCs w:val="20"/>
              </w:rPr>
              <w:t>5.82)</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r>
      <w:tr w:rsidR="0048282A" w:rsidRPr="00442034" w14:paraId="6D1E2129" w14:textId="77777777" w:rsidTr="00352747">
        <w:tc>
          <w:tcPr>
            <w:tcW w:w="1710" w:type="dxa"/>
            <w:tcBorders>
              <w:top w:val="single" w:sz="4" w:space="0" w:color="auto"/>
              <w:left w:val="nil"/>
              <w:bottom w:val="single" w:sz="4" w:space="0" w:color="auto"/>
              <w:right w:val="nil"/>
            </w:tcBorders>
          </w:tcPr>
          <w:p w14:paraId="7C358D89"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Observations</w:t>
            </w:r>
          </w:p>
        </w:tc>
        <w:tc>
          <w:tcPr>
            <w:tcW w:w="1405" w:type="dxa"/>
            <w:tcBorders>
              <w:top w:val="single" w:sz="4" w:space="0" w:color="auto"/>
              <w:left w:val="nil"/>
              <w:bottom w:val="single" w:sz="4" w:space="0" w:color="auto"/>
              <w:right w:val="nil"/>
            </w:tcBorders>
          </w:tcPr>
          <w:p w14:paraId="2D83BD2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491</w:t>
            </w:r>
          </w:p>
        </w:tc>
        <w:tc>
          <w:tcPr>
            <w:tcW w:w="2195" w:type="dxa"/>
            <w:tcBorders>
              <w:top w:val="single" w:sz="4" w:space="0" w:color="auto"/>
              <w:left w:val="nil"/>
              <w:bottom w:val="single" w:sz="4" w:space="0" w:color="auto"/>
              <w:right w:val="nil"/>
            </w:tcBorders>
          </w:tcPr>
          <w:p w14:paraId="31FC48BA"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491</w:t>
            </w:r>
          </w:p>
        </w:tc>
        <w:tc>
          <w:tcPr>
            <w:tcW w:w="1620" w:type="dxa"/>
            <w:tcBorders>
              <w:top w:val="single" w:sz="4" w:space="0" w:color="auto"/>
              <w:left w:val="nil"/>
              <w:bottom w:val="single" w:sz="4" w:space="0" w:color="auto"/>
              <w:right w:val="nil"/>
            </w:tcBorders>
          </w:tcPr>
          <w:p w14:paraId="367ECCF4"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491</w:t>
            </w:r>
          </w:p>
        </w:tc>
        <w:tc>
          <w:tcPr>
            <w:tcW w:w="2250" w:type="dxa"/>
            <w:tcBorders>
              <w:top w:val="single" w:sz="4" w:space="0" w:color="auto"/>
              <w:left w:val="nil"/>
              <w:bottom w:val="single" w:sz="4" w:space="0" w:color="auto"/>
              <w:right w:val="nil"/>
            </w:tcBorders>
          </w:tcPr>
          <w:p w14:paraId="39898E2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491</w:t>
            </w:r>
          </w:p>
        </w:tc>
      </w:tr>
      <w:tr w:rsidR="0048282A" w:rsidRPr="00442034" w14:paraId="0A0EDB3A" w14:textId="77777777" w:rsidTr="00352747">
        <w:tc>
          <w:tcPr>
            <w:tcW w:w="9180" w:type="dxa"/>
            <w:gridSpan w:val="5"/>
            <w:tcBorders>
              <w:left w:val="nil"/>
              <w:bottom w:val="nil"/>
              <w:right w:val="nil"/>
            </w:tcBorders>
          </w:tcPr>
          <w:p w14:paraId="37EB234C" w14:textId="77777777" w:rsidR="0048282A" w:rsidRPr="00442034" w:rsidRDefault="0048282A" w:rsidP="00BE5E6D">
            <w:pPr>
              <w:widowControl w:val="0"/>
              <w:autoSpaceDE w:val="0"/>
              <w:autoSpaceDN w:val="0"/>
              <w:adjustRightInd w:val="0"/>
              <w:rPr>
                <w:rFonts w:ascii="Times New Roman" w:hAnsi="Times New Roman" w:cs="Times New Roman"/>
                <w:sz w:val="20"/>
                <w:szCs w:val="20"/>
              </w:rPr>
            </w:pPr>
            <w:r w:rsidRPr="00442034">
              <w:rPr>
                <w:rFonts w:ascii="Times New Roman" w:hAnsi="Times New Roman" w:cs="Times New Roman"/>
                <w:sz w:val="20"/>
                <w:szCs w:val="20"/>
              </w:rPr>
              <w:t>Source: National Survey of Child and Adolescent Well-Being (NSCAW II)</w:t>
            </w:r>
          </w:p>
          <w:p w14:paraId="52B5E8C2" w14:textId="77777777" w:rsidR="0048282A" w:rsidRPr="00442034" w:rsidRDefault="0048282A" w:rsidP="00BE5E6D">
            <w:pPr>
              <w:widowControl w:val="0"/>
              <w:autoSpaceDE w:val="0"/>
              <w:autoSpaceDN w:val="0"/>
              <w:adjustRightInd w:val="0"/>
              <w:rPr>
                <w:rFonts w:ascii="Times New Roman" w:hAnsi="Times New Roman" w:cs="Times New Roman"/>
                <w:sz w:val="20"/>
                <w:szCs w:val="20"/>
              </w:rPr>
            </w:pPr>
            <w:r w:rsidRPr="00442034">
              <w:rPr>
                <w:rFonts w:ascii="Times New Roman" w:hAnsi="Times New Roman" w:cs="Times New Roman"/>
                <w:sz w:val="20"/>
                <w:szCs w:val="20"/>
              </w:rPr>
              <w:t>Standard errors in parentheses</w:t>
            </w:r>
          </w:p>
          <w:p w14:paraId="27AF45A0"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0.10,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0.05,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0.01,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0.001</w:t>
            </w:r>
          </w:p>
        </w:tc>
      </w:tr>
    </w:tbl>
    <w:p w14:paraId="76FCFA36" w14:textId="77777777" w:rsidR="0048282A" w:rsidRPr="00442034" w:rsidRDefault="0048282A" w:rsidP="0048282A">
      <w:pPr>
        <w:contextualSpacing/>
        <w:rPr>
          <w:rFonts w:ascii="Times New Roman" w:hAnsi="Times New Roman" w:cs="Times New Roman"/>
          <w:sz w:val="24"/>
          <w:szCs w:val="24"/>
        </w:rPr>
      </w:pPr>
    </w:p>
    <w:p w14:paraId="6217E805" w14:textId="378B9936" w:rsidR="0048282A"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In our column comparing “Pretty Likely” chances for having a family compared to “No Chance,” we still see no significant differences in our main effects for sexual orientation, peer support, and relationship with caregiver. </w:t>
      </w:r>
      <w:r w:rsidR="00B34512" w:rsidRPr="00442034">
        <w:rPr>
          <w:rFonts w:ascii="Times New Roman" w:hAnsi="Times New Roman" w:cs="Times New Roman"/>
          <w:sz w:val="24"/>
          <w:szCs w:val="24"/>
        </w:rPr>
        <w:t xml:space="preserve">We again find significantly lower log odds for race, age, and substantiated report. We also found that youth living below poverty or having a maltreatment report for substance use or sexual abuse also had lower log odds of reporting having a family </w:t>
      </w:r>
      <w:r w:rsidR="00B34512" w:rsidRPr="00442034">
        <w:rPr>
          <w:rFonts w:ascii="Times New Roman" w:hAnsi="Times New Roman" w:cs="Times New Roman"/>
          <w:sz w:val="24"/>
          <w:szCs w:val="24"/>
        </w:rPr>
        <w:lastRenderedPageBreak/>
        <w:t xml:space="preserve">was </w:t>
      </w:r>
      <w:proofErr w:type="gramStart"/>
      <w:r w:rsidR="00B34512" w:rsidRPr="00442034">
        <w:rPr>
          <w:rFonts w:ascii="Times New Roman" w:hAnsi="Times New Roman" w:cs="Times New Roman"/>
          <w:sz w:val="24"/>
          <w:szCs w:val="24"/>
        </w:rPr>
        <w:t>pretty likely</w:t>
      </w:r>
      <w:proofErr w:type="gramEnd"/>
      <w:r w:rsidR="00B34512" w:rsidRPr="00442034">
        <w:rPr>
          <w:rFonts w:ascii="Times New Roman" w:hAnsi="Times New Roman" w:cs="Times New Roman"/>
          <w:sz w:val="24"/>
          <w:szCs w:val="24"/>
        </w:rPr>
        <w:t xml:space="preserve"> compared to no chance, though these were marginally significant. </w:t>
      </w:r>
      <w:r w:rsidRPr="00442034">
        <w:rPr>
          <w:rFonts w:ascii="Times New Roman" w:hAnsi="Times New Roman" w:cs="Times New Roman"/>
          <w:sz w:val="24"/>
          <w:szCs w:val="24"/>
        </w:rPr>
        <w:t xml:space="preserve">However, our interaction effect on sexual orientation and relationship with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was marginally significant. This effect shows that LGBQ youth with better relationships with their caregivers have slightly higher log odds for reporting a pretty likely chance for having a family compared to no chance, in comparison to heterosexual youth with lower scores for relationship with caregiver. </w:t>
      </w:r>
    </w:p>
    <w:p w14:paraId="4A2CF224" w14:textId="4804FA28"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To examine this effect further, we analyzed the predicted probabilities of reporting a pretty likely chance of having a family for both LGBQ youth and heterosexual youth based on their relationship with caregiver score, holding all other variables at their mean. We found that for LGBQ youth with lower scores for relationship with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the predicted probability for reporting </w:t>
      </w:r>
      <w:proofErr w:type="gramStart"/>
      <w:r w:rsidRPr="00442034">
        <w:rPr>
          <w:rFonts w:ascii="Times New Roman" w:hAnsi="Times New Roman" w:cs="Times New Roman"/>
          <w:sz w:val="24"/>
          <w:szCs w:val="24"/>
        </w:rPr>
        <w:t>pretty likely</w:t>
      </w:r>
      <w:proofErr w:type="gramEnd"/>
      <w:r w:rsidRPr="00442034">
        <w:rPr>
          <w:rFonts w:ascii="Times New Roman" w:hAnsi="Times New Roman" w:cs="Times New Roman"/>
          <w:sz w:val="24"/>
          <w:szCs w:val="24"/>
        </w:rPr>
        <w:t xml:space="preserve"> chances for having a family was less than 1%, compared to nearly 22% for heterosexual youth. For LGBQ youth who reported high relationships with their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their predicted probability for reporting </w:t>
      </w:r>
      <w:proofErr w:type="gramStart"/>
      <w:r w:rsidRPr="00442034">
        <w:rPr>
          <w:rFonts w:ascii="Times New Roman" w:hAnsi="Times New Roman" w:cs="Times New Roman"/>
          <w:sz w:val="24"/>
          <w:szCs w:val="24"/>
        </w:rPr>
        <w:t>pretty likely</w:t>
      </w:r>
      <w:proofErr w:type="gramEnd"/>
      <w:r w:rsidRPr="00442034">
        <w:rPr>
          <w:rFonts w:ascii="Times New Roman" w:hAnsi="Times New Roman" w:cs="Times New Roman"/>
          <w:sz w:val="24"/>
          <w:szCs w:val="24"/>
        </w:rPr>
        <w:t xml:space="preserve"> chances for having a family increased to 37% compared to 35% for heterosexual youth. </w:t>
      </w:r>
    </w:p>
    <w:p w14:paraId="5735BA76" w14:textId="549C5360" w:rsidR="00C37F60"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The final column in Table 3 compares expectations that having a family “Will Happen” compared to “No Chance.” There are no significant differences </w:t>
      </w:r>
      <w:proofErr w:type="gramStart"/>
      <w:r w:rsidRPr="00442034">
        <w:rPr>
          <w:rFonts w:ascii="Times New Roman" w:hAnsi="Times New Roman" w:cs="Times New Roman"/>
          <w:sz w:val="24"/>
          <w:szCs w:val="24"/>
        </w:rPr>
        <w:t>by</w:t>
      </w:r>
      <w:proofErr w:type="gramEnd"/>
      <w:r w:rsidRPr="00442034">
        <w:rPr>
          <w:rFonts w:ascii="Times New Roman" w:hAnsi="Times New Roman" w:cs="Times New Roman"/>
          <w:sz w:val="24"/>
          <w:szCs w:val="24"/>
        </w:rPr>
        <w:t xml:space="preserve"> sexual orientation, peer support, or relationship with caregiver, nor their interactions.  We continue to find similar patterns for race, age, substantiated </w:t>
      </w:r>
      <w:proofErr w:type="gramStart"/>
      <w:r w:rsidRPr="00442034">
        <w:rPr>
          <w:rFonts w:ascii="Times New Roman" w:hAnsi="Times New Roman" w:cs="Times New Roman"/>
          <w:sz w:val="24"/>
          <w:szCs w:val="24"/>
        </w:rPr>
        <w:t>report</w:t>
      </w:r>
      <w:proofErr w:type="gramEnd"/>
      <w:r w:rsidRPr="00442034">
        <w:rPr>
          <w:rFonts w:ascii="Times New Roman" w:hAnsi="Times New Roman" w:cs="Times New Roman"/>
          <w:sz w:val="24"/>
          <w:szCs w:val="24"/>
        </w:rPr>
        <w:t xml:space="preserve">, substance-related maltreatment reports, and sexual abuse maltreatment reports, all significantly lowering the log odds that youth report having a family will happen for them. </w:t>
      </w:r>
    </w:p>
    <w:p w14:paraId="1E85C1BA" w14:textId="77777777" w:rsidR="0048282A" w:rsidRPr="00442034" w:rsidRDefault="0048282A" w:rsidP="00C37F60">
      <w:pPr>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t>Multinomial Regression Analyses for Getting Married by Twenty-Five</w:t>
      </w:r>
    </w:p>
    <w:p w14:paraId="6FBA0BE3" w14:textId="753073E4" w:rsidR="00C37F60"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Table 4 illustrates the expectations for getting married by twenty-five, without our interaction terms. One youth was excluded for the “Already Happened” expectation for marriage. Across models, we find that sexual orientation was associated with lower log odds of reporting </w:t>
      </w:r>
      <w:r w:rsidRPr="00442034">
        <w:rPr>
          <w:rFonts w:ascii="Times New Roman" w:hAnsi="Times New Roman" w:cs="Times New Roman"/>
          <w:sz w:val="24"/>
          <w:szCs w:val="24"/>
        </w:rPr>
        <w:lastRenderedPageBreak/>
        <w:t xml:space="preserve">increased expectations for marriage, though these were not significant. In all models, peer support was significant in predicting higher log odds for reporting some chance, a 50-50 chance, </w:t>
      </w:r>
      <w:proofErr w:type="gramStart"/>
      <w:r w:rsidRPr="00442034">
        <w:rPr>
          <w:rFonts w:ascii="Times New Roman" w:hAnsi="Times New Roman" w:cs="Times New Roman"/>
          <w:sz w:val="24"/>
          <w:szCs w:val="24"/>
        </w:rPr>
        <w:t>pretty likely</w:t>
      </w:r>
      <w:proofErr w:type="gramEnd"/>
      <w:r w:rsidRPr="00442034">
        <w:rPr>
          <w:rFonts w:ascii="Times New Roman" w:hAnsi="Times New Roman" w:cs="Times New Roman"/>
          <w:sz w:val="24"/>
          <w:szCs w:val="24"/>
        </w:rPr>
        <w:t xml:space="preserve"> chances, and expectations that marriage will happen compared to no chance. Relationship with caregiver was not significant for any of the expectations for marriage by twenty-five. We also found that female youth in all models had significantly lower log odds for expectations for marriage compared to males. Youth residing with foster parents had significantly higher log odds of reporting increased expectations for marriage compared to youth living with their biological parents. For expectations that marriage will happen compared to no chance, youth in urban areas had 2.33 higher log odds compared to youth in non-urban areas.</w:t>
      </w:r>
    </w:p>
    <w:tbl>
      <w:tblPr>
        <w:tblStyle w:val="TableGrid"/>
        <w:tblW w:w="9180" w:type="dxa"/>
        <w:tblLook w:val="04A0" w:firstRow="1" w:lastRow="0" w:firstColumn="1" w:lastColumn="0" w:noHBand="0" w:noVBand="1"/>
      </w:tblPr>
      <w:tblGrid>
        <w:gridCol w:w="1708"/>
        <w:gridCol w:w="1410"/>
        <w:gridCol w:w="1922"/>
        <w:gridCol w:w="1979"/>
        <w:gridCol w:w="2161"/>
      </w:tblGrid>
      <w:tr w:rsidR="0048282A" w:rsidRPr="00442034" w14:paraId="43AAB3A2" w14:textId="77777777" w:rsidTr="00352747">
        <w:tc>
          <w:tcPr>
            <w:tcW w:w="9180" w:type="dxa"/>
            <w:gridSpan w:val="5"/>
            <w:tcBorders>
              <w:top w:val="nil"/>
              <w:left w:val="nil"/>
              <w:bottom w:val="single" w:sz="4" w:space="0" w:color="auto"/>
              <w:right w:val="nil"/>
            </w:tcBorders>
          </w:tcPr>
          <w:p w14:paraId="38FC3609" w14:textId="77777777" w:rsidR="0048282A" w:rsidRPr="00442034" w:rsidRDefault="0048282A" w:rsidP="00BE5E6D">
            <w:pPr>
              <w:ind w:right="-1637"/>
              <w:rPr>
                <w:rFonts w:ascii="Times New Roman" w:hAnsi="Times New Roman" w:cs="Times New Roman"/>
                <w:b/>
                <w:bCs/>
                <w:sz w:val="20"/>
                <w:szCs w:val="20"/>
              </w:rPr>
            </w:pPr>
            <w:r w:rsidRPr="00442034">
              <w:rPr>
                <w:rFonts w:ascii="Times New Roman" w:hAnsi="Times New Roman" w:cs="Times New Roman"/>
                <w:b/>
                <w:bCs/>
                <w:sz w:val="20"/>
                <w:szCs w:val="20"/>
              </w:rPr>
              <w:t xml:space="preserve">Table 4. Main Effects Multinomial Logistic Regression of Expectations for Getting Married by </w:t>
            </w:r>
          </w:p>
          <w:p w14:paraId="3EB1BCF4" w14:textId="388FFB2C" w:rsidR="0048282A" w:rsidRPr="00442034" w:rsidRDefault="0048282A" w:rsidP="00BE5E6D">
            <w:pPr>
              <w:ind w:right="-1637"/>
              <w:rPr>
                <w:rFonts w:ascii="Times New Roman" w:hAnsi="Times New Roman" w:cs="Times New Roman"/>
                <w:b/>
                <w:bCs/>
                <w:sz w:val="20"/>
                <w:szCs w:val="20"/>
              </w:rPr>
            </w:pPr>
            <w:r w:rsidRPr="00442034">
              <w:rPr>
                <w:rFonts w:ascii="Times New Roman" w:hAnsi="Times New Roman" w:cs="Times New Roman"/>
                <w:b/>
                <w:bCs/>
                <w:sz w:val="20"/>
                <w:szCs w:val="20"/>
              </w:rPr>
              <w:t xml:space="preserve">Twenty-Five on Sexual Orientation, Peer Support, and </w:t>
            </w:r>
            <w:r w:rsidR="004079CD">
              <w:rPr>
                <w:rFonts w:ascii="Times New Roman" w:hAnsi="Times New Roman" w:cs="Times New Roman"/>
                <w:b/>
                <w:bCs/>
                <w:sz w:val="20"/>
                <w:szCs w:val="20"/>
              </w:rPr>
              <w:t>Caregiver Support</w:t>
            </w:r>
            <w:r w:rsidRPr="00442034">
              <w:rPr>
                <w:rFonts w:ascii="Times New Roman" w:hAnsi="Times New Roman" w:cs="Times New Roman"/>
                <w:b/>
                <w:bCs/>
                <w:sz w:val="20"/>
                <w:szCs w:val="20"/>
              </w:rPr>
              <w:t xml:space="preserve"> Compared to No Chance</w:t>
            </w:r>
          </w:p>
        </w:tc>
      </w:tr>
      <w:tr w:rsidR="0048282A" w:rsidRPr="00442034" w14:paraId="1D47AE0E" w14:textId="77777777" w:rsidTr="00352747">
        <w:tc>
          <w:tcPr>
            <w:tcW w:w="1708" w:type="dxa"/>
            <w:tcBorders>
              <w:left w:val="nil"/>
              <w:bottom w:val="single" w:sz="4" w:space="0" w:color="auto"/>
              <w:right w:val="nil"/>
            </w:tcBorders>
          </w:tcPr>
          <w:p w14:paraId="06BA2346" w14:textId="77777777" w:rsidR="0048282A" w:rsidRPr="00442034" w:rsidRDefault="0048282A" w:rsidP="00BE5E6D">
            <w:pPr>
              <w:rPr>
                <w:rFonts w:ascii="Times New Roman" w:hAnsi="Times New Roman" w:cs="Times New Roman"/>
                <w:sz w:val="20"/>
                <w:szCs w:val="20"/>
              </w:rPr>
            </w:pPr>
          </w:p>
        </w:tc>
        <w:tc>
          <w:tcPr>
            <w:tcW w:w="1410" w:type="dxa"/>
            <w:tcBorders>
              <w:left w:val="nil"/>
              <w:bottom w:val="single" w:sz="4" w:space="0" w:color="auto"/>
              <w:right w:val="nil"/>
            </w:tcBorders>
          </w:tcPr>
          <w:p w14:paraId="2DE7EA9B"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Some Chance</w:t>
            </w:r>
          </w:p>
          <w:p w14:paraId="351FFC4C" w14:textId="77777777" w:rsidR="0048282A" w:rsidRPr="00442034" w:rsidRDefault="0048282A" w:rsidP="00BE5E6D">
            <w:pPr>
              <w:tabs>
                <w:tab w:val="decimal" w:pos="672"/>
              </w:tabs>
              <w:jc w:val="center"/>
              <w:rPr>
                <w:rFonts w:ascii="Times New Roman" w:hAnsi="Times New Roman" w:cs="Times New Roman"/>
                <w:i/>
                <w:iCs/>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1922" w:type="dxa"/>
            <w:tcBorders>
              <w:left w:val="nil"/>
              <w:bottom w:val="single" w:sz="4" w:space="0" w:color="auto"/>
              <w:right w:val="nil"/>
            </w:tcBorders>
          </w:tcPr>
          <w:p w14:paraId="271ECE19"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About 50-50</w:t>
            </w:r>
          </w:p>
          <w:p w14:paraId="63D54A6E"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1979" w:type="dxa"/>
            <w:tcBorders>
              <w:left w:val="nil"/>
              <w:bottom w:val="single" w:sz="4" w:space="0" w:color="auto"/>
              <w:right w:val="nil"/>
            </w:tcBorders>
          </w:tcPr>
          <w:p w14:paraId="08954464"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Pretty Likely</w:t>
            </w:r>
          </w:p>
          <w:p w14:paraId="616D6F6B"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2161" w:type="dxa"/>
            <w:tcBorders>
              <w:left w:val="nil"/>
              <w:bottom w:val="single" w:sz="4" w:space="0" w:color="auto"/>
              <w:right w:val="nil"/>
            </w:tcBorders>
          </w:tcPr>
          <w:p w14:paraId="3E583376"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It Will Happen</w:t>
            </w:r>
          </w:p>
          <w:p w14:paraId="58BB1CAB"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r>
      <w:tr w:rsidR="0048282A" w:rsidRPr="00442034" w14:paraId="6C392DF3" w14:textId="77777777" w:rsidTr="00352747">
        <w:tc>
          <w:tcPr>
            <w:tcW w:w="1708" w:type="dxa"/>
            <w:tcBorders>
              <w:top w:val="single" w:sz="4" w:space="0" w:color="auto"/>
              <w:left w:val="nil"/>
              <w:bottom w:val="nil"/>
              <w:right w:val="nil"/>
            </w:tcBorders>
          </w:tcPr>
          <w:p w14:paraId="61ED1212"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LGBQ Youth</w:t>
            </w:r>
          </w:p>
        </w:tc>
        <w:tc>
          <w:tcPr>
            <w:tcW w:w="1410" w:type="dxa"/>
            <w:tcBorders>
              <w:top w:val="single" w:sz="4" w:space="0" w:color="auto"/>
              <w:left w:val="nil"/>
              <w:bottom w:val="nil"/>
              <w:right w:val="nil"/>
            </w:tcBorders>
          </w:tcPr>
          <w:p w14:paraId="5EDB2536" w14:textId="77777777" w:rsidR="0048282A" w:rsidRPr="00442034" w:rsidRDefault="0048282A" w:rsidP="00BE5E6D">
            <w:pPr>
              <w:tabs>
                <w:tab w:val="decimal" w:pos="672"/>
              </w:tabs>
              <w:jc w:val="center"/>
              <w:rPr>
                <w:rFonts w:ascii="Times New Roman" w:hAnsi="Times New Roman" w:cs="Times New Roman"/>
                <w:sz w:val="20"/>
                <w:szCs w:val="20"/>
              </w:rPr>
            </w:pPr>
            <w:r w:rsidRPr="00442034">
              <w:rPr>
                <w:rFonts w:ascii="Times New Roman" w:hAnsi="Times New Roman" w:cs="Times New Roman"/>
                <w:sz w:val="20"/>
                <w:szCs w:val="20"/>
              </w:rPr>
              <w:t>-0.014 (.78)</w:t>
            </w:r>
          </w:p>
        </w:tc>
        <w:tc>
          <w:tcPr>
            <w:tcW w:w="1922" w:type="dxa"/>
            <w:tcBorders>
              <w:top w:val="single" w:sz="4" w:space="0" w:color="auto"/>
              <w:left w:val="nil"/>
              <w:bottom w:val="nil"/>
              <w:right w:val="nil"/>
            </w:tcBorders>
          </w:tcPr>
          <w:p w14:paraId="182F7F4E" w14:textId="77777777" w:rsidR="0048282A" w:rsidRPr="00442034" w:rsidRDefault="0048282A" w:rsidP="00BE5E6D">
            <w:pPr>
              <w:tabs>
                <w:tab w:val="decimal" w:pos="738"/>
              </w:tabs>
              <w:rPr>
                <w:rFonts w:ascii="Times New Roman" w:hAnsi="Times New Roman" w:cs="Times New Roman"/>
                <w:sz w:val="20"/>
                <w:szCs w:val="20"/>
              </w:rPr>
            </w:pPr>
            <w:r w:rsidRPr="00442034">
              <w:rPr>
                <w:rFonts w:ascii="Times New Roman" w:hAnsi="Times New Roman" w:cs="Times New Roman"/>
                <w:sz w:val="20"/>
                <w:szCs w:val="20"/>
              </w:rPr>
              <w:t>-0.24 (.81)</w:t>
            </w:r>
          </w:p>
        </w:tc>
        <w:tc>
          <w:tcPr>
            <w:tcW w:w="1979" w:type="dxa"/>
            <w:tcBorders>
              <w:top w:val="single" w:sz="4" w:space="0" w:color="auto"/>
              <w:left w:val="nil"/>
              <w:bottom w:val="nil"/>
              <w:right w:val="nil"/>
            </w:tcBorders>
          </w:tcPr>
          <w:p w14:paraId="7133A262"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-0.37 (.85)</w:t>
            </w:r>
          </w:p>
        </w:tc>
        <w:tc>
          <w:tcPr>
            <w:tcW w:w="2161" w:type="dxa"/>
            <w:tcBorders>
              <w:top w:val="single" w:sz="4" w:space="0" w:color="auto"/>
              <w:left w:val="nil"/>
              <w:bottom w:val="nil"/>
              <w:right w:val="nil"/>
            </w:tcBorders>
          </w:tcPr>
          <w:p w14:paraId="64E97BA4" w14:textId="77777777" w:rsidR="0048282A" w:rsidRPr="00442034" w:rsidRDefault="0048282A" w:rsidP="00BE5E6D">
            <w:pPr>
              <w:tabs>
                <w:tab w:val="decimal" w:pos="611"/>
              </w:tabs>
              <w:rPr>
                <w:rFonts w:ascii="Times New Roman" w:hAnsi="Times New Roman" w:cs="Times New Roman"/>
                <w:sz w:val="20"/>
                <w:szCs w:val="20"/>
                <w:vertAlign w:val="superscript"/>
              </w:rPr>
            </w:pPr>
            <w:r w:rsidRPr="00442034">
              <w:rPr>
                <w:rFonts w:ascii="Times New Roman" w:hAnsi="Times New Roman" w:cs="Times New Roman"/>
                <w:sz w:val="20"/>
                <w:szCs w:val="20"/>
              </w:rPr>
              <w:t>-1.58 (1.10)</w:t>
            </w:r>
          </w:p>
        </w:tc>
      </w:tr>
      <w:tr w:rsidR="0048282A" w:rsidRPr="00442034" w14:paraId="2D0C62D7" w14:textId="77777777" w:rsidTr="00352747">
        <w:tc>
          <w:tcPr>
            <w:tcW w:w="1708" w:type="dxa"/>
            <w:tcBorders>
              <w:top w:val="nil"/>
              <w:left w:val="nil"/>
              <w:bottom w:val="nil"/>
              <w:right w:val="nil"/>
            </w:tcBorders>
          </w:tcPr>
          <w:p w14:paraId="68A4A847"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Peer Support</w:t>
            </w:r>
          </w:p>
        </w:tc>
        <w:tc>
          <w:tcPr>
            <w:tcW w:w="1410" w:type="dxa"/>
            <w:tcBorders>
              <w:top w:val="nil"/>
              <w:left w:val="nil"/>
              <w:bottom w:val="nil"/>
              <w:right w:val="nil"/>
            </w:tcBorders>
          </w:tcPr>
          <w:p w14:paraId="0FD8A64E" w14:textId="77777777" w:rsidR="0048282A" w:rsidRPr="00442034" w:rsidRDefault="0048282A" w:rsidP="00BE5E6D">
            <w:pPr>
              <w:tabs>
                <w:tab w:val="decimal" w:pos="672"/>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0.06 (.</w:t>
            </w:r>
            <w:proofErr w:type="gramStart"/>
            <w:r w:rsidRPr="00442034">
              <w:rPr>
                <w:rFonts w:ascii="Times New Roman" w:hAnsi="Times New Roman" w:cs="Times New Roman"/>
                <w:sz w:val="20"/>
                <w:szCs w:val="20"/>
              </w:rPr>
              <w:t>03)</w:t>
            </w:r>
            <w:r w:rsidRPr="00442034">
              <w:rPr>
                <w:rFonts w:ascii="Times New Roman" w:hAnsi="Times New Roman" w:cs="Times New Roman"/>
                <w:sz w:val="20"/>
                <w:szCs w:val="20"/>
                <w:vertAlign w:val="superscript"/>
              </w:rPr>
              <w:t>*</w:t>
            </w:r>
            <w:proofErr w:type="gramEnd"/>
          </w:p>
        </w:tc>
        <w:tc>
          <w:tcPr>
            <w:tcW w:w="1922" w:type="dxa"/>
            <w:tcBorders>
              <w:top w:val="nil"/>
              <w:left w:val="nil"/>
              <w:bottom w:val="nil"/>
              <w:right w:val="nil"/>
            </w:tcBorders>
          </w:tcPr>
          <w:p w14:paraId="0570B124" w14:textId="77777777" w:rsidR="0048282A" w:rsidRPr="00442034" w:rsidRDefault="0048282A" w:rsidP="00BE5E6D">
            <w:pPr>
              <w:tabs>
                <w:tab w:val="decimal" w:pos="738"/>
              </w:tabs>
              <w:rPr>
                <w:rFonts w:ascii="Times New Roman" w:hAnsi="Times New Roman" w:cs="Times New Roman"/>
                <w:sz w:val="20"/>
                <w:szCs w:val="20"/>
                <w:vertAlign w:val="superscript"/>
              </w:rPr>
            </w:pPr>
            <w:r w:rsidRPr="00442034">
              <w:rPr>
                <w:rFonts w:ascii="Times New Roman" w:hAnsi="Times New Roman" w:cs="Times New Roman"/>
                <w:sz w:val="20"/>
                <w:szCs w:val="20"/>
              </w:rPr>
              <w:t>0.11 (.</w:t>
            </w:r>
            <w:proofErr w:type="gramStart"/>
            <w:r w:rsidRPr="00442034">
              <w:rPr>
                <w:rFonts w:ascii="Times New Roman" w:hAnsi="Times New Roman" w:cs="Times New Roman"/>
                <w:sz w:val="20"/>
                <w:szCs w:val="20"/>
              </w:rPr>
              <w:t>03)</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1979" w:type="dxa"/>
            <w:tcBorders>
              <w:top w:val="nil"/>
              <w:left w:val="nil"/>
              <w:bottom w:val="nil"/>
              <w:right w:val="nil"/>
            </w:tcBorders>
          </w:tcPr>
          <w:p w14:paraId="4F486B66"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0.069 (.</w:t>
            </w:r>
            <w:proofErr w:type="gramStart"/>
            <w:r w:rsidRPr="00442034">
              <w:rPr>
                <w:rFonts w:ascii="Times New Roman" w:hAnsi="Times New Roman" w:cs="Times New Roman"/>
                <w:sz w:val="20"/>
                <w:szCs w:val="20"/>
              </w:rPr>
              <w:t>03)</w:t>
            </w:r>
            <w:r w:rsidRPr="00442034">
              <w:rPr>
                <w:rFonts w:ascii="Times New Roman" w:hAnsi="Times New Roman" w:cs="Times New Roman"/>
                <w:sz w:val="20"/>
                <w:szCs w:val="20"/>
                <w:vertAlign w:val="superscript"/>
              </w:rPr>
              <w:t>*</w:t>
            </w:r>
            <w:proofErr w:type="gramEnd"/>
          </w:p>
        </w:tc>
        <w:tc>
          <w:tcPr>
            <w:tcW w:w="2161" w:type="dxa"/>
            <w:tcBorders>
              <w:top w:val="nil"/>
              <w:left w:val="nil"/>
              <w:bottom w:val="nil"/>
              <w:right w:val="nil"/>
            </w:tcBorders>
          </w:tcPr>
          <w:p w14:paraId="284D002C" w14:textId="77777777" w:rsidR="0048282A" w:rsidRPr="00442034" w:rsidRDefault="0048282A" w:rsidP="00BE5E6D">
            <w:pPr>
              <w:tabs>
                <w:tab w:val="decimal" w:pos="611"/>
              </w:tabs>
              <w:rPr>
                <w:rFonts w:ascii="Times New Roman" w:hAnsi="Times New Roman" w:cs="Times New Roman"/>
                <w:sz w:val="20"/>
                <w:szCs w:val="20"/>
                <w:vertAlign w:val="superscript"/>
              </w:rPr>
            </w:pPr>
            <w:r w:rsidRPr="00442034">
              <w:rPr>
                <w:rFonts w:ascii="Times New Roman" w:hAnsi="Times New Roman" w:cs="Times New Roman"/>
                <w:sz w:val="20"/>
                <w:szCs w:val="20"/>
              </w:rPr>
              <w:t>0.067 (.04)</w:t>
            </w:r>
            <w:r w:rsidRPr="00442034">
              <w:rPr>
                <w:rFonts w:ascii="Times New Roman" w:hAnsi="Times New Roman" w:cs="Times New Roman"/>
                <w:sz w:val="20"/>
                <w:szCs w:val="20"/>
                <w:vertAlign w:val="superscript"/>
              </w:rPr>
              <w:t xml:space="preserve"> †</w:t>
            </w:r>
          </w:p>
        </w:tc>
      </w:tr>
      <w:tr w:rsidR="0048282A" w:rsidRPr="00442034" w14:paraId="4CEE76F6" w14:textId="77777777" w:rsidTr="00352747">
        <w:tc>
          <w:tcPr>
            <w:tcW w:w="1708" w:type="dxa"/>
            <w:tcBorders>
              <w:top w:val="nil"/>
              <w:left w:val="nil"/>
              <w:bottom w:val="nil"/>
              <w:right w:val="nil"/>
            </w:tcBorders>
          </w:tcPr>
          <w:p w14:paraId="4F389730" w14:textId="77777777" w:rsidR="0048282A" w:rsidRPr="00442034" w:rsidRDefault="0048282A" w:rsidP="00BE5E6D">
            <w:pPr>
              <w:ind w:left="66" w:hanging="66"/>
              <w:rPr>
                <w:rFonts w:ascii="Times New Roman" w:hAnsi="Times New Roman" w:cs="Times New Roman"/>
                <w:sz w:val="20"/>
                <w:szCs w:val="20"/>
              </w:rPr>
            </w:pPr>
            <w:r w:rsidRPr="00442034">
              <w:rPr>
                <w:rFonts w:ascii="Times New Roman" w:hAnsi="Times New Roman" w:cs="Times New Roman"/>
                <w:sz w:val="20"/>
                <w:szCs w:val="20"/>
              </w:rPr>
              <w:t>Relationship with Caregiver</w:t>
            </w:r>
          </w:p>
        </w:tc>
        <w:tc>
          <w:tcPr>
            <w:tcW w:w="1410" w:type="dxa"/>
            <w:tcBorders>
              <w:top w:val="nil"/>
              <w:left w:val="nil"/>
              <w:bottom w:val="nil"/>
              <w:right w:val="nil"/>
            </w:tcBorders>
          </w:tcPr>
          <w:p w14:paraId="490CF869" w14:textId="77777777" w:rsidR="0048282A" w:rsidRPr="00442034" w:rsidRDefault="0048282A" w:rsidP="00BE5E6D">
            <w:pPr>
              <w:tabs>
                <w:tab w:val="decimal" w:pos="672"/>
              </w:tabs>
              <w:jc w:val="center"/>
              <w:rPr>
                <w:rFonts w:ascii="Times New Roman" w:hAnsi="Times New Roman" w:cs="Times New Roman"/>
                <w:sz w:val="20"/>
                <w:szCs w:val="20"/>
              </w:rPr>
            </w:pPr>
            <w:r w:rsidRPr="00442034">
              <w:rPr>
                <w:rFonts w:ascii="Times New Roman" w:hAnsi="Times New Roman" w:cs="Times New Roman"/>
                <w:sz w:val="20"/>
                <w:szCs w:val="20"/>
              </w:rPr>
              <w:t>-0.022 (.05)</w:t>
            </w:r>
          </w:p>
        </w:tc>
        <w:tc>
          <w:tcPr>
            <w:tcW w:w="1922" w:type="dxa"/>
            <w:tcBorders>
              <w:top w:val="nil"/>
              <w:left w:val="nil"/>
              <w:bottom w:val="nil"/>
              <w:right w:val="nil"/>
            </w:tcBorders>
          </w:tcPr>
          <w:p w14:paraId="11A2A42C" w14:textId="77777777" w:rsidR="0048282A" w:rsidRPr="00442034" w:rsidRDefault="0048282A" w:rsidP="00BE5E6D">
            <w:pPr>
              <w:tabs>
                <w:tab w:val="decimal" w:pos="738"/>
              </w:tabs>
              <w:rPr>
                <w:rFonts w:ascii="Times New Roman" w:hAnsi="Times New Roman" w:cs="Times New Roman"/>
                <w:sz w:val="20"/>
                <w:szCs w:val="20"/>
              </w:rPr>
            </w:pPr>
            <w:r w:rsidRPr="00442034">
              <w:rPr>
                <w:rFonts w:ascii="Times New Roman" w:hAnsi="Times New Roman" w:cs="Times New Roman"/>
                <w:sz w:val="20"/>
                <w:szCs w:val="20"/>
              </w:rPr>
              <w:t>-0.023 (.04)</w:t>
            </w:r>
          </w:p>
        </w:tc>
        <w:tc>
          <w:tcPr>
            <w:tcW w:w="1979" w:type="dxa"/>
            <w:tcBorders>
              <w:top w:val="nil"/>
              <w:left w:val="nil"/>
              <w:bottom w:val="nil"/>
              <w:right w:val="nil"/>
            </w:tcBorders>
          </w:tcPr>
          <w:p w14:paraId="2780DF2A"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-0.013 (.07)</w:t>
            </w:r>
          </w:p>
        </w:tc>
        <w:tc>
          <w:tcPr>
            <w:tcW w:w="2161" w:type="dxa"/>
            <w:tcBorders>
              <w:top w:val="nil"/>
              <w:left w:val="nil"/>
              <w:bottom w:val="nil"/>
              <w:right w:val="nil"/>
            </w:tcBorders>
          </w:tcPr>
          <w:p w14:paraId="15FE040F" w14:textId="77777777" w:rsidR="0048282A" w:rsidRPr="00442034" w:rsidRDefault="0048282A" w:rsidP="00BE5E6D">
            <w:pPr>
              <w:tabs>
                <w:tab w:val="decimal" w:pos="611"/>
              </w:tabs>
              <w:rPr>
                <w:rFonts w:ascii="Times New Roman" w:hAnsi="Times New Roman" w:cs="Times New Roman"/>
                <w:sz w:val="20"/>
                <w:szCs w:val="20"/>
              </w:rPr>
            </w:pPr>
            <w:r w:rsidRPr="00442034">
              <w:rPr>
                <w:rFonts w:ascii="Times New Roman" w:hAnsi="Times New Roman" w:cs="Times New Roman"/>
                <w:sz w:val="20"/>
                <w:szCs w:val="20"/>
              </w:rPr>
              <w:t>-0.027 (.05)</w:t>
            </w:r>
          </w:p>
        </w:tc>
      </w:tr>
      <w:tr w:rsidR="0048282A" w:rsidRPr="00442034" w14:paraId="1E8196B9" w14:textId="77777777" w:rsidTr="00352747">
        <w:trPr>
          <w:trHeight w:val="243"/>
        </w:trPr>
        <w:tc>
          <w:tcPr>
            <w:tcW w:w="1708" w:type="dxa"/>
            <w:tcBorders>
              <w:top w:val="nil"/>
              <w:left w:val="nil"/>
              <w:bottom w:val="nil"/>
              <w:right w:val="nil"/>
            </w:tcBorders>
          </w:tcPr>
          <w:p w14:paraId="73568817" w14:textId="77777777" w:rsidR="0048282A" w:rsidRPr="00442034" w:rsidRDefault="0048282A" w:rsidP="00BE5E6D">
            <w:pPr>
              <w:rPr>
                <w:rFonts w:ascii="Times New Roman" w:hAnsi="Times New Roman" w:cs="Times New Roman"/>
                <w:i/>
                <w:iCs/>
                <w:sz w:val="20"/>
                <w:szCs w:val="20"/>
              </w:rPr>
            </w:pPr>
            <w:r w:rsidRPr="00442034">
              <w:rPr>
                <w:rFonts w:ascii="Times New Roman" w:hAnsi="Times New Roman" w:cs="Times New Roman"/>
                <w:i/>
                <w:iCs/>
                <w:sz w:val="20"/>
                <w:szCs w:val="20"/>
              </w:rPr>
              <w:t>Controls</w:t>
            </w:r>
          </w:p>
        </w:tc>
        <w:tc>
          <w:tcPr>
            <w:tcW w:w="1410" w:type="dxa"/>
            <w:tcBorders>
              <w:top w:val="nil"/>
              <w:left w:val="nil"/>
              <w:bottom w:val="nil"/>
              <w:right w:val="nil"/>
            </w:tcBorders>
          </w:tcPr>
          <w:p w14:paraId="59AFDA8E" w14:textId="77777777" w:rsidR="0048282A" w:rsidRPr="00442034" w:rsidRDefault="0048282A" w:rsidP="00BE5E6D">
            <w:pPr>
              <w:tabs>
                <w:tab w:val="decimal" w:pos="672"/>
              </w:tabs>
              <w:jc w:val="center"/>
              <w:rPr>
                <w:rFonts w:ascii="Times New Roman" w:hAnsi="Times New Roman" w:cs="Times New Roman"/>
                <w:sz w:val="20"/>
                <w:szCs w:val="20"/>
              </w:rPr>
            </w:pPr>
          </w:p>
        </w:tc>
        <w:tc>
          <w:tcPr>
            <w:tcW w:w="1922" w:type="dxa"/>
            <w:tcBorders>
              <w:top w:val="nil"/>
              <w:left w:val="nil"/>
              <w:bottom w:val="nil"/>
              <w:right w:val="nil"/>
            </w:tcBorders>
          </w:tcPr>
          <w:p w14:paraId="4A6071B2" w14:textId="77777777" w:rsidR="0048282A" w:rsidRPr="00442034" w:rsidRDefault="0048282A" w:rsidP="00BE5E6D">
            <w:pPr>
              <w:tabs>
                <w:tab w:val="decimal" w:pos="738"/>
              </w:tabs>
              <w:rPr>
                <w:rFonts w:ascii="Times New Roman" w:hAnsi="Times New Roman" w:cs="Times New Roman"/>
                <w:sz w:val="20"/>
                <w:szCs w:val="20"/>
              </w:rPr>
            </w:pPr>
          </w:p>
        </w:tc>
        <w:tc>
          <w:tcPr>
            <w:tcW w:w="1979" w:type="dxa"/>
            <w:tcBorders>
              <w:top w:val="nil"/>
              <w:left w:val="nil"/>
              <w:bottom w:val="nil"/>
              <w:right w:val="nil"/>
            </w:tcBorders>
          </w:tcPr>
          <w:p w14:paraId="70F69A05" w14:textId="77777777" w:rsidR="0048282A" w:rsidRPr="00442034" w:rsidRDefault="0048282A" w:rsidP="00BE5E6D">
            <w:pPr>
              <w:tabs>
                <w:tab w:val="decimal" w:pos="613"/>
              </w:tabs>
              <w:rPr>
                <w:rFonts w:ascii="Times New Roman" w:hAnsi="Times New Roman" w:cs="Times New Roman"/>
                <w:sz w:val="20"/>
                <w:szCs w:val="20"/>
              </w:rPr>
            </w:pPr>
          </w:p>
        </w:tc>
        <w:tc>
          <w:tcPr>
            <w:tcW w:w="2161" w:type="dxa"/>
            <w:tcBorders>
              <w:top w:val="nil"/>
              <w:left w:val="nil"/>
              <w:bottom w:val="nil"/>
              <w:right w:val="nil"/>
            </w:tcBorders>
          </w:tcPr>
          <w:p w14:paraId="3F7FA249" w14:textId="77777777" w:rsidR="0048282A" w:rsidRPr="00442034" w:rsidRDefault="0048282A" w:rsidP="00BE5E6D">
            <w:pPr>
              <w:tabs>
                <w:tab w:val="decimal" w:pos="611"/>
              </w:tabs>
              <w:rPr>
                <w:rFonts w:ascii="Times New Roman" w:hAnsi="Times New Roman" w:cs="Times New Roman"/>
                <w:sz w:val="20"/>
                <w:szCs w:val="20"/>
              </w:rPr>
            </w:pPr>
          </w:p>
        </w:tc>
      </w:tr>
      <w:tr w:rsidR="0048282A" w:rsidRPr="00442034" w14:paraId="325E8953" w14:textId="77777777" w:rsidTr="00352747">
        <w:tc>
          <w:tcPr>
            <w:tcW w:w="1708" w:type="dxa"/>
            <w:tcBorders>
              <w:top w:val="nil"/>
              <w:left w:val="nil"/>
              <w:bottom w:val="nil"/>
              <w:right w:val="nil"/>
            </w:tcBorders>
          </w:tcPr>
          <w:p w14:paraId="6C8006A1"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 xml:space="preserve">Black </w:t>
            </w:r>
            <w:proofErr w:type="gramStart"/>
            <w:r w:rsidRPr="00442034">
              <w:rPr>
                <w:rFonts w:ascii="Times New Roman" w:hAnsi="Times New Roman" w:cs="Times New Roman"/>
                <w:sz w:val="20"/>
                <w:szCs w:val="20"/>
              </w:rPr>
              <w:t>Non-Hispanic</w:t>
            </w:r>
            <w:proofErr w:type="gramEnd"/>
          </w:p>
        </w:tc>
        <w:tc>
          <w:tcPr>
            <w:tcW w:w="1410" w:type="dxa"/>
            <w:tcBorders>
              <w:top w:val="nil"/>
              <w:left w:val="nil"/>
              <w:bottom w:val="nil"/>
              <w:right w:val="nil"/>
            </w:tcBorders>
          </w:tcPr>
          <w:p w14:paraId="068B3D03" w14:textId="77777777" w:rsidR="0048282A" w:rsidRPr="00442034" w:rsidRDefault="0048282A" w:rsidP="00BE5E6D">
            <w:pPr>
              <w:tabs>
                <w:tab w:val="decimal" w:pos="672"/>
              </w:tabs>
              <w:jc w:val="center"/>
              <w:rPr>
                <w:rFonts w:ascii="Times New Roman" w:hAnsi="Times New Roman" w:cs="Times New Roman"/>
                <w:sz w:val="20"/>
                <w:szCs w:val="20"/>
              </w:rPr>
            </w:pPr>
            <w:r w:rsidRPr="00442034">
              <w:rPr>
                <w:rFonts w:ascii="Times New Roman" w:hAnsi="Times New Roman" w:cs="Times New Roman"/>
                <w:sz w:val="20"/>
                <w:szCs w:val="20"/>
              </w:rPr>
              <w:t>-0.39 (.76)</w:t>
            </w:r>
          </w:p>
        </w:tc>
        <w:tc>
          <w:tcPr>
            <w:tcW w:w="1922" w:type="dxa"/>
            <w:tcBorders>
              <w:top w:val="nil"/>
              <w:left w:val="nil"/>
              <w:bottom w:val="nil"/>
              <w:right w:val="nil"/>
            </w:tcBorders>
          </w:tcPr>
          <w:p w14:paraId="26B04C92" w14:textId="77777777" w:rsidR="0048282A" w:rsidRPr="00442034" w:rsidRDefault="0048282A" w:rsidP="00BE5E6D">
            <w:pPr>
              <w:tabs>
                <w:tab w:val="decimal" w:pos="738"/>
              </w:tabs>
              <w:rPr>
                <w:rFonts w:ascii="Times New Roman" w:hAnsi="Times New Roman" w:cs="Times New Roman"/>
                <w:sz w:val="20"/>
                <w:szCs w:val="20"/>
                <w:vertAlign w:val="superscript"/>
              </w:rPr>
            </w:pPr>
            <w:r w:rsidRPr="00442034">
              <w:rPr>
                <w:rFonts w:ascii="Times New Roman" w:hAnsi="Times New Roman" w:cs="Times New Roman"/>
                <w:sz w:val="20"/>
                <w:szCs w:val="20"/>
              </w:rPr>
              <w:t>-1.17 (.75)</w:t>
            </w:r>
          </w:p>
        </w:tc>
        <w:tc>
          <w:tcPr>
            <w:tcW w:w="1979" w:type="dxa"/>
            <w:tcBorders>
              <w:top w:val="nil"/>
              <w:left w:val="nil"/>
              <w:bottom w:val="nil"/>
              <w:right w:val="nil"/>
            </w:tcBorders>
          </w:tcPr>
          <w:p w14:paraId="54764485"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-1.36 (.73)</w:t>
            </w:r>
            <w:r w:rsidRPr="00442034">
              <w:rPr>
                <w:rFonts w:ascii="Times New Roman" w:hAnsi="Times New Roman" w:cs="Times New Roman"/>
                <w:sz w:val="20"/>
                <w:szCs w:val="20"/>
                <w:vertAlign w:val="superscript"/>
              </w:rPr>
              <w:t xml:space="preserve"> †</w:t>
            </w:r>
          </w:p>
        </w:tc>
        <w:tc>
          <w:tcPr>
            <w:tcW w:w="2161" w:type="dxa"/>
            <w:tcBorders>
              <w:top w:val="nil"/>
              <w:left w:val="nil"/>
              <w:bottom w:val="nil"/>
              <w:right w:val="nil"/>
            </w:tcBorders>
          </w:tcPr>
          <w:p w14:paraId="582F8718" w14:textId="77777777" w:rsidR="0048282A" w:rsidRPr="00442034" w:rsidRDefault="0048282A" w:rsidP="00BE5E6D">
            <w:pPr>
              <w:tabs>
                <w:tab w:val="decimal" w:pos="611"/>
              </w:tabs>
              <w:rPr>
                <w:rFonts w:ascii="Times New Roman" w:hAnsi="Times New Roman" w:cs="Times New Roman"/>
                <w:sz w:val="20"/>
                <w:szCs w:val="20"/>
                <w:vertAlign w:val="superscript"/>
              </w:rPr>
            </w:pPr>
            <w:r w:rsidRPr="00442034">
              <w:rPr>
                <w:rFonts w:ascii="Times New Roman" w:hAnsi="Times New Roman" w:cs="Times New Roman"/>
                <w:sz w:val="20"/>
                <w:szCs w:val="20"/>
              </w:rPr>
              <w:t>-0.33 (.94)</w:t>
            </w:r>
          </w:p>
        </w:tc>
      </w:tr>
      <w:tr w:rsidR="0048282A" w:rsidRPr="00442034" w14:paraId="08165377" w14:textId="77777777" w:rsidTr="00352747">
        <w:tc>
          <w:tcPr>
            <w:tcW w:w="1708" w:type="dxa"/>
            <w:tcBorders>
              <w:top w:val="nil"/>
              <w:left w:val="nil"/>
              <w:bottom w:val="nil"/>
              <w:right w:val="nil"/>
            </w:tcBorders>
          </w:tcPr>
          <w:p w14:paraId="6FC6F450"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Hispanic</w:t>
            </w:r>
          </w:p>
        </w:tc>
        <w:tc>
          <w:tcPr>
            <w:tcW w:w="1410" w:type="dxa"/>
            <w:tcBorders>
              <w:top w:val="nil"/>
              <w:left w:val="nil"/>
              <w:bottom w:val="nil"/>
              <w:right w:val="nil"/>
            </w:tcBorders>
          </w:tcPr>
          <w:p w14:paraId="3E97A5FC" w14:textId="77777777" w:rsidR="0048282A" w:rsidRPr="00442034" w:rsidRDefault="0048282A" w:rsidP="00BE5E6D">
            <w:pPr>
              <w:tabs>
                <w:tab w:val="decimal" w:pos="672"/>
              </w:tabs>
              <w:jc w:val="center"/>
              <w:rPr>
                <w:rFonts w:ascii="Times New Roman" w:hAnsi="Times New Roman" w:cs="Times New Roman"/>
                <w:sz w:val="20"/>
                <w:szCs w:val="20"/>
              </w:rPr>
            </w:pPr>
            <w:r w:rsidRPr="00442034">
              <w:rPr>
                <w:rFonts w:ascii="Times New Roman" w:hAnsi="Times New Roman" w:cs="Times New Roman"/>
                <w:sz w:val="20"/>
                <w:szCs w:val="20"/>
              </w:rPr>
              <w:t>-0.18 (.80)</w:t>
            </w:r>
          </w:p>
        </w:tc>
        <w:tc>
          <w:tcPr>
            <w:tcW w:w="1922" w:type="dxa"/>
            <w:tcBorders>
              <w:top w:val="nil"/>
              <w:left w:val="nil"/>
              <w:bottom w:val="nil"/>
              <w:right w:val="nil"/>
            </w:tcBorders>
          </w:tcPr>
          <w:p w14:paraId="5AC7973A" w14:textId="77777777" w:rsidR="0048282A" w:rsidRPr="00442034" w:rsidRDefault="0048282A" w:rsidP="00BE5E6D">
            <w:pPr>
              <w:tabs>
                <w:tab w:val="decimal" w:pos="738"/>
              </w:tabs>
              <w:rPr>
                <w:rFonts w:ascii="Times New Roman" w:hAnsi="Times New Roman" w:cs="Times New Roman"/>
                <w:sz w:val="20"/>
                <w:szCs w:val="20"/>
              </w:rPr>
            </w:pPr>
            <w:r w:rsidRPr="00442034">
              <w:rPr>
                <w:rFonts w:ascii="Times New Roman" w:hAnsi="Times New Roman" w:cs="Times New Roman"/>
                <w:sz w:val="20"/>
                <w:szCs w:val="20"/>
              </w:rPr>
              <w:t>-0.97 (.81)</w:t>
            </w:r>
          </w:p>
        </w:tc>
        <w:tc>
          <w:tcPr>
            <w:tcW w:w="1979" w:type="dxa"/>
            <w:tcBorders>
              <w:top w:val="nil"/>
              <w:left w:val="nil"/>
              <w:bottom w:val="nil"/>
              <w:right w:val="nil"/>
            </w:tcBorders>
          </w:tcPr>
          <w:p w14:paraId="36016E61"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-1.14 (.67)</w:t>
            </w:r>
            <w:r w:rsidRPr="00442034">
              <w:rPr>
                <w:rFonts w:ascii="Times New Roman" w:hAnsi="Times New Roman" w:cs="Times New Roman"/>
                <w:sz w:val="20"/>
                <w:szCs w:val="20"/>
                <w:vertAlign w:val="superscript"/>
              </w:rPr>
              <w:t xml:space="preserve"> †</w:t>
            </w:r>
          </w:p>
        </w:tc>
        <w:tc>
          <w:tcPr>
            <w:tcW w:w="2161" w:type="dxa"/>
            <w:tcBorders>
              <w:top w:val="nil"/>
              <w:left w:val="nil"/>
              <w:bottom w:val="nil"/>
              <w:right w:val="nil"/>
            </w:tcBorders>
          </w:tcPr>
          <w:p w14:paraId="6FF43EB3" w14:textId="77777777" w:rsidR="0048282A" w:rsidRPr="00442034" w:rsidRDefault="0048282A" w:rsidP="00BE5E6D">
            <w:pPr>
              <w:tabs>
                <w:tab w:val="decimal" w:pos="611"/>
              </w:tabs>
              <w:rPr>
                <w:rFonts w:ascii="Times New Roman" w:hAnsi="Times New Roman" w:cs="Times New Roman"/>
                <w:sz w:val="20"/>
                <w:szCs w:val="20"/>
              </w:rPr>
            </w:pPr>
            <w:r w:rsidRPr="00442034">
              <w:rPr>
                <w:rFonts w:ascii="Times New Roman" w:hAnsi="Times New Roman" w:cs="Times New Roman"/>
                <w:sz w:val="20"/>
                <w:szCs w:val="20"/>
              </w:rPr>
              <w:t>-1.34 (.96)</w:t>
            </w:r>
          </w:p>
        </w:tc>
      </w:tr>
      <w:tr w:rsidR="0048282A" w:rsidRPr="00442034" w14:paraId="78EAE31C" w14:textId="77777777" w:rsidTr="00352747">
        <w:tc>
          <w:tcPr>
            <w:tcW w:w="1708" w:type="dxa"/>
            <w:tcBorders>
              <w:top w:val="nil"/>
              <w:left w:val="nil"/>
              <w:bottom w:val="nil"/>
              <w:right w:val="nil"/>
            </w:tcBorders>
          </w:tcPr>
          <w:p w14:paraId="5B8CA810"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Other Race</w:t>
            </w:r>
          </w:p>
        </w:tc>
        <w:tc>
          <w:tcPr>
            <w:tcW w:w="1410" w:type="dxa"/>
            <w:tcBorders>
              <w:top w:val="nil"/>
              <w:left w:val="nil"/>
              <w:bottom w:val="nil"/>
              <w:right w:val="nil"/>
            </w:tcBorders>
          </w:tcPr>
          <w:p w14:paraId="3E18519E" w14:textId="77777777" w:rsidR="0048282A" w:rsidRPr="00442034" w:rsidRDefault="0048282A" w:rsidP="00BE5E6D">
            <w:pPr>
              <w:tabs>
                <w:tab w:val="decimal" w:pos="672"/>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-0.53 (1.15)</w:t>
            </w:r>
          </w:p>
        </w:tc>
        <w:tc>
          <w:tcPr>
            <w:tcW w:w="1922" w:type="dxa"/>
            <w:tcBorders>
              <w:top w:val="nil"/>
              <w:left w:val="nil"/>
              <w:bottom w:val="nil"/>
              <w:right w:val="nil"/>
            </w:tcBorders>
          </w:tcPr>
          <w:p w14:paraId="45FFF224" w14:textId="77777777" w:rsidR="0048282A" w:rsidRPr="00442034" w:rsidRDefault="0048282A" w:rsidP="00BE5E6D">
            <w:pPr>
              <w:tabs>
                <w:tab w:val="decimal" w:pos="738"/>
              </w:tabs>
              <w:rPr>
                <w:rFonts w:ascii="Times New Roman" w:hAnsi="Times New Roman" w:cs="Times New Roman"/>
                <w:sz w:val="20"/>
                <w:szCs w:val="20"/>
                <w:vertAlign w:val="superscript"/>
              </w:rPr>
            </w:pPr>
            <w:r w:rsidRPr="00442034">
              <w:rPr>
                <w:rFonts w:ascii="Times New Roman" w:hAnsi="Times New Roman" w:cs="Times New Roman"/>
                <w:sz w:val="20"/>
                <w:szCs w:val="20"/>
              </w:rPr>
              <w:t>-0.80 (1.07)</w:t>
            </w:r>
          </w:p>
        </w:tc>
        <w:tc>
          <w:tcPr>
            <w:tcW w:w="1979" w:type="dxa"/>
            <w:tcBorders>
              <w:top w:val="nil"/>
              <w:left w:val="nil"/>
              <w:bottom w:val="nil"/>
              <w:right w:val="nil"/>
            </w:tcBorders>
          </w:tcPr>
          <w:p w14:paraId="06F91D75"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-0.14 (.90)</w:t>
            </w:r>
          </w:p>
        </w:tc>
        <w:tc>
          <w:tcPr>
            <w:tcW w:w="2161" w:type="dxa"/>
            <w:tcBorders>
              <w:top w:val="nil"/>
              <w:left w:val="nil"/>
              <w:bottom w:val="nil"/>
              <w:right w:val="nil"/>
            </w:tcBorders>
          </w:tcPr>
          <w:p w14:paraId="1DEBC4D5" w14:textId="77777777" w:rsidR="0048282A" w:rsidRPr="00442034" w:rsidRDefault="0048282A" w:rsidP="00BE5E6D">
            <w:pPr>
              <w:tabs>
                <w:tab w:val="decimal" w:pos="611"/>
              </w:tabs>
              <w:rPr>
                <w:rFonts w:ascii="Times New Roman" w:hAnsi="Times New Roman" w:cs="Times New Roman"/>
                <w:sz w:val="20"/>
                <w:szCs w:val="20"/>
                <w:vertAlign w:val="superscript"/>
              </w:rPr>
            </w:pPr>
            <w:r w:rsidRPr="00442034">
              <w:rPr>
                <w:rFonts w:ascii="Times New Roman" w:hAnsi="Times New Roman" w:cs="Times New Roman"/>
                <w:sz w:val="20"/>
                <w:szCs w:val="20"/>
              </w:rPr>
              <w:t>1.01 (1.25)</w:t>
            </w:r>
          </w:p>
        </w:tc>
      </w:tr>
      <w:tr w:rsidR="0048282A" w:rsidRPr="00442034" w14:paraId="31125F86" w14:textId="77777777" w:rsidTr="00352747">
        <w:tc>
          <w:tcPr>
            <w:tcW w:w="1708" w:type="dxa"/>
            <w:tcBorders>
              <w:top w:val="nil"/>
              <w:left w:val="nil"/>
              <w:bottom w:val="nil"/>
              <w:right w:val="nil"/>
            </w:tcBorders>
          </w:tcPr>
          <w:p w14:paraId="6617B12A"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Female</w:t>
            </w:r>
          </w:p>
        </w:tc>
        <w:tc>
          <w:tcPr>
            <w:tcW w:w="1410" w:type="dxa"/>
            <w:tcBorders>
              <w:top w:val="nil"/>
              <w:left w:val="nil"/>
              <w:bottom w:val="nil"/>
              <w:right w:val="nil"/>
            </w:tcBorders>
          </w:tcPr>
          <w:p w14:paraId="35F48C2C" w14:textId="77777777" w:rsidR="0048282A" w:rsidRPr="00442034" w:rsidRDefault="0048282A" w:rsidP="00BE5E6D">
            <w:pPr>
              <w:tabs>
                <w:tab w:val="decimal" w:pos="672"/>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-1.84 (.</w:t>
            </w:r>
            <w:proofErr w:type="gramStart"/>
            <w:r w:rsidRPr="00442034">
              <w:rPr>
                <w:rFonts w:ascii="Times New Roman" w:hAnsi="Times New Roman" w:cs="Times New Roman"/>
                <w:sz w:val="20"/>
                <w:szCs w:val="20"/>
              </w:rPr>
              <w:t>66)</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1922" w:type="dxa"/>
            <w:tcBorders>
              <w:top w:val="nil"/>
              <w:left w:val="nil"/>
              <w:bottom w:val="nil"/>
              <w:right w:val="nil"/>
            </w:tcBorders>
          </w:tcPr>
          <w:p w14:paraId="01B24DC1" w14:textId="77777777" w:rsidR="0048282A" w:rsidRPr="00442034" w:rsidRDefault="0048282A" w:rsidP="00BE5E6D">
            <w:pPr>
              <w:tabs>
                <w:tab w:val="decimal" w:pos="738"/>
              </w:tabs>
              <w:rPr>
                <w:rFonts w:ascii="Times New Roman" w:hAnsi="Times New Roman" w:cs="Times New Roman"/>
                <w:sz w:val="20"/>
                <w:szCs w:val="20"/>
                <w:vertAlign w:val="superscript"/>
              </w:rPr>
            </w:pPr>
            <w:r w:rsidRPr="00442034">
              <w:rPr>
                <w:rFonts w:ascii="Times New Roman" w:hAnsi="Times New Roman" w:cs="Times New Roman"/>
                <w:sz w:val="20"/>
                <w:szCs w:val="20"/>
              </w:rPr>
              <w:t>-1.36 (.</w:t>
            </w:r>
            <w:proofErr w:type="gramStart"/>
            <w:r w:rsidRPr="00442034">
              <w:rPr>
                <w:rFonts w:ascii="Times New Roman" w:hAnsi="Times New Roman" w:cs="Times New Roman"/>
                <w:sz w:val="20"/>
                <w:szCs w:val="20"/>
              </w:rPr>
              <w:t>61)</w:t>
            </w:r>
            <w:r w:rsidRPr="00442034">
              <w:rPr>
                <w:rFonts w:ascii="Times New Roman" w:hAnsi="Times New Roman" w:cs="Times New Roman"/>
                <w:sz w:val="20"/>
                <w:szCs w:val="20"/>
                <w:vertAlign w:val="superscript"/>
              </w:rPr>
              <w:t>*</w:t>
            </w:r>
            <w:proofErr w:type="gramEnd"/>
          </w:p>
        </w:tc>
        <w:tc>
          <w:tcPr>
            <w:tcW w:w="1979" w:type="dxa"/>
            <w:tcBorders>
              <w:top w:val="nil"/>
              <w:left w:val="nil"/>
              <w:bottom w:val="nil"/>
              <w:right w:val="nil"/>
            </w:tcBorders>
          </w:tcPr>
          <w:p w14:paraId="305D8974"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-0.95 (.57)</w:t>
            </w:r>
            <w:r w:rsidRPr="00442034">
              <w:rPr>
                <w:rFonts w:ascii="Times New Roman" w:hAnsi="Times New Roman" w:cs="Times New Roman"/>
                <w:sz w:val="20"/>
                <w:szCs w:val="20"/>
                <w:vertAlign w:val="superscript"/>
              </w:rPr>
              <w:t xml:space="preserve"> †</w:t>
            </w:r>
          </w:p>
        </w:tc>
        <w:tc>
          <w:tcPr>
            <w:tcW w:w="2161" w:type="dxa"/>
            <w:tcBorders>
              <w:top w:val="nil"/>
              <w:left w:val="nil"/>
              <w:bottom w:val="nil"/>
              <w:right w:val="nil"/>
            </w:tcBorders>
          </w:tcPr>
          <w:p w14:paraId="0F6F04A8" w14:textId="77777777" w:rsidR="0048282A" w:rsidRPr="00442034" w:rsidRDefault="0048282A" w:rsidP="00BE5E6D">
            <w:pPr>
              <w:tabs>
                <w:tab w:val="decimal" w:pos="611"/>
              </w:tabs>
              <w:rPr>
                <w:rFonts w:ascii="Times New Roman" w:hAnsi="Times New Roman" w:cs="Times New Roman"/>
                <w:sz w:val="20"/>
                <w:szCs w:val="20"/>
                <w:vertAlign w:val="superscript"/>
              </w:rPr>
            </w:pPr>
            <w:r w:rsidRPr="00442034">
              <w:rPr>
                <w:rFonts w:ascii="Times New Roman" w:hAnsi="Times New Roman" w:cs="Times New Roman"/>
                <w:sz w:val="20"/>
                <w:szCs w:val="20"/>
              </w:rPr>
              <w:t>-2.55 (.</w:t>
            </w:r>
            <w:proofErr w:type="gramStart"/>
            <w:r w:rsidRPr="00442034">
              <w:rPr>
                <w:rFonts w:ascii="Times New Roman" w:hAnsi="Times New Roman" w:cs="Times New Roman"/>
                <w:sz w:val="20"/>
                <w:szCs w:val="20"/>
              </w:rPr>
              <w:t>81)</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r>
      <w:tr w:rsidR="0048282A" w:rsidRPr="00442034" w14:paraId="07BB3FA6" w14:textId="77777777" w:rsidTr="00352747">
        <w:tc>
          <w:tcPr>
            <w:tcW w:w="1708" w:type="dxa"/>
            <w:tcBorders>
              <w:top w:val="nil"/>
              <w:left w:val="nil"/>
              <w:bottom w:val="nil"/>
              <w:right w:val="nil"/>
            </w:tcBorders>
          </w:tcPr>
          <w:p w14:paraId="28E75DE4"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Age</w:t>
            </w:r>
          </w:p>
        </w:tc>
        <w:tc>
          <w:tcPr>
            <w:tcW w:w="1410" w:type="dxa"/>
            <w:tcBorders>
              <w:top w:val="nil"/>
              <w:left w:val="nil"/>
              <w:bottom w:val="nil"/>
              <w:right w:val="nil"/>
            </w:tcBorders>
          </w:tcPr>
          <w:p w14:paraId="4F09AEDF" w14:textId="77777777" w:rsidR="0048282A" w:rsidRPr="00442034" w:rsidRDefault="0048282A" w:rsidP="00BE5E6D">
            <w:pPr>
              <w:tabs>
                <w:tab w:val="decimal" w:pos="672"/>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0.031 (.15)</w:t>
            </w:r>
          </w:p>
        </w:tc>
        <w:tc>
          <w:tcPr>
            <w:tcW w:w="1922" w:type="dxa"/>
            <w:tcBorders>
              <w:top w:val="nil"/>
              <w:left w:val="nil"/>
              <w:bottom w:val="nil"/>
              <w:right w:val="nil"/>
            </w:tcBorders>
          </w:tcPr>
          <w:p w14:paraId="41867FF2" w14:textId="77777777" w:rsidR="0048282A" w:rsidRPr="00442034" w:rsidRDefault="0048282A" w:rsidP="00BE5E6D">
            <w:pPr>
              <w:tabs>
                <w:tab w:val="decimal" w:pos="738"/>
              </w:tabs>
              <w:rPr>
                <w:rFonts w:ascii="Times New Roman" w:hAnsi="Times New Roman" w:cs="Times New Roman"/>
                <w:sz w:val="20"/>
                <w:szCs w:val="20"/>
                <w:vertAlign w:val="superscript"/>
              </w:rPr>
            </w:pPr>
            <w:r w:rsidRPr="00442034">
              <w:rPr>
                <w:rFonts w:ascii="Times New Roman" w:hAnsi="Times New Roman" w:cs="Times New Roman"/>
                <w:sz w:val="20"/>
                <w:szCs w:val="20"/>
              </w:rPr>
              <w:t>-0.015 (.16)</w:t>
            </w:r>
          </w:p>
        </w:tc>
        <w:tc>
          <w:tcPr>
            <w:tcW w:w="1979" w:type="dxa"/>
            <w:tcBorders>
              <w:top w:val="nil"/>
              <w:left w:val="nil"/>
              <w:bottom w:val="nil"/>
              <w:right w:val="nil"/>
            </w:tcBorders>
          </w:tcPr>
          <w:p w14:paraId="5FE74612"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-0.25 (.15)</w:t>
            </w:r>
          </w:p>
        </w:tc>
        <w:tc>
          <w:tcPr>
            <w:tcW w:w="2161" w:type="dxa"/>
            <w:tcBorders>
              <w:top w:val="nil"/>
              <w:left w:val="nil"/>
              <w:bottom w:val="nil"/>
              <w:right w:val="nil"/>
            </w:tcBorders>
          </w:tcPr>
          <w:p w14:paraId="4678149A" w14:textId="77777777" w:rsidR="0048282A" w:rsidRPr="00442034" w:rsidRDefault="0048282A" w:rsidP="00BE5E6D">
            <w:pPr>
              <w:tabs>
                <w:tab w:val="decimal" w:pos="611"/>
              </w:tabs>
              <w:rPr>
                <w:rFonts w:ascii="Times New Roman" w:hAnsi="Times New Roman" w:cs="Times New Roman"/>
                <w:sz w:val="20"/>
                <w:szCs w:val="20"/>
              </w:rPr>
            </w:pPr>
            <w:r w:rsidRPr="00442034">
              <w:rPr>
                <w:rFonts w:ascii="Times New Roman" w:hAnsi="Times New Roman" w:cs="Times New Roman"/>
                <w:sz w:val="20"/>
                <w:szCs w:val="20"/>
              </w:rPr>
              <w:t>-0.20 (.19)</w:t>
            </w:r>
          </w:p>
        </w:tc>
      </w:tr>
      <w:tr w:rsidR="0048282A" w:rsidRPr="00442034" w14:paraId="00FA1174" w14:textId="77777777" w:rsidTr="00352747">
        <w:tc>
          <w:tcPr>
            <w:tcW w:w="1708" w:type="dxa"/>
            <w:tcBorders>
              <w:top w:val="nil"/>
              <w:left w:val="nil"/>
              <w:bottom w:val="nil"/>
              <w:right w:val="nil"/>
            </w:tcBorders>
          </w:tcPr>
          <w:p w14:paraId="358585C4"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Urban</w:t>
            </w:r>
          </w:p>
        </w:tc>
        <w:tc>
          <w:tcPr>
            <w:tcW w:w="1410" w:type="dxa"/>
            <w:tcBorders>
              <w:top w:val="nil"/>
              <w:left w:val="nil"/>
              <w:bottom w:val="nil"/>
              <w:right w:val="nil"/>
            </w:tcBorders>
          </w:tcPr>
          <w:p w14:paraId="5E698E76" w14:textId="77777777" w:rsidR="0048282A" w:rsidRPr="00442034" w:rsidRDefault="0048282A" w:rsidP="00BE5E6D">
            <w:pPr>
              <w:tabs>
                <w:tab w:val="decimal" w:pos="672"/>
              </w:tabs>
              <w:jc w:val="center"/>
              <w:rPr>
                <w:rFonts w:ascii="Times New Roman" w:hAnsi="Times New Roman" w:cs="Times New Roman"/>
                <w:sz w:val="20"/>
                <w:szCs w:val="20"/>
              </w:rPr>
            </w:pPr>
            <w:r w:rsidRPr="00442034">
              <w:rPr>
                <w:rFonts w:ascii="Times New Roman" w:hAnsi="Times New Roman" w:cs="Times New Roman"/>
                <w:sz w:val="20"/>
                <w:szCs w:val="20"/>
              </w:rPr>
              <w:t>0.51 (.73)</w:t>
            </w:r>
          </w:p>
        </w:tc>
        <w:tc>
          <w:tcPr>
            <w:tcW w:w="1922" w:type="dxa"/>
            <w:tcBorders>
              <w:top w:val="nil"/>
              <w:left w:val="nil"/>
              <w:bottom w:val="nil"/>
              <w:right w:val="nil"/>
            </w:tcBorders>
          </w:tcPr>
          <w:p w14:paraId="128B320A" w14:textId="77777777" w:rsidR="0048282A" w:rsidRPr="00442034" w:rsidRDefault="0048282A" w:rsidP="00BE5E6D">
            <w:pPr>
              <w:tabs>
                <w:tab w:val="decimal" w:pos="738"/>
              </w:tabs>
              <w:rPr>
                <w:rFonts w:ascii="Times New Roman" w:hAnsi="Times New Roman" w:cs="Times New Roman"/>
                <w:sz w:val="20"/>
                <w:szCs w:val="20"/>
              </w:rPr>
            </w:pPr>
            <w:r w:rsidRPr="00442034">
              <w:rPr>
                <w:rFonts w:ascii="Times New Roman" w:hAnsi="Times New Roman" w:cs="Times New Roman"/>
                <w:sz w:val="20"/>
                <w:szCs w:val="20"/>
              </w:rPr>
              <w:t>1.17 (1.00)</w:t>
            </w:r>
          </w:p>
        </w:tc>
        <w:tc>
          <w:tcPr>
            <w:tcW w:w="1979" w:type="dxa"/>
            <w:tcBorders>
              <w:top w:val="nil"/>
              <w:left w:val="nil"/>
              <w:bottom w:val="nil"/>
              <w:right w:val="nil"/>
            </w:tcBorders>
          </w:tcPr>
          <w:p w14:paraId="010B7610"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0.091 (.69)</w:t>
            </w:r>
          </w:p>
        </w:tc>
        <w:tc>
          <w:tcPr>
            <w:tcW w:w="2161" w:type="dxa"/>
            <w:tcBorders>
              <w:top w:val="nil"/>
              <w:left w:val="nil"/>
              <w:bottom w:val="nil"/>
              <w:right w:val="nil"/>
            </w:tcBorders>
          </w:tcPr>
          <w:p w14:paraId="2FBD01C8" w14:textId="77777777" w:rsidR="0048282A" w:rsidRPr="00442034" w:rsidRDefault="0048282A" w:rsidP="00BE5E6D">
            <w:pPr>
              <w:tabs>
                <w:tab w:val="decimal" w:pos="611"/>
              </w:tabs>
              <w:rPr>
                <w:rFonts w:ascii="Times New Roman" w:hAnsi="Times New Roman" w:cs="Times New Roman"/>
                <w:sz w:val="20"/>
                <w:szCs w:val="20"/>
                <w:vertAlign w:val="superscript"/>
              </w:rPr>
            </w:pPr>
            <w:r w:rsidRPr="00442034">
              <w:rPr>
                <w:rFonts w:ascii="Times New Roman" w:hAnsi="Times New Roman" w:cs="Times New Roman"/>
                <w:sz w:val="20"/>
                <w:szCs w:val="20"/>
              </w:rPr>
              <w:t>2.33 (.</w:t>
            </w:r>
            <w:proofErr w:type="gramStart"/>
            <w:r w:rsidRPr="00442034">
              <w:rPr>
                <w:rFonts w:ascii="Times New Roman" w:hAnsi="Times New Roman" w:cs="Times New Roman"/>
                <w:sz w:val="20"/>
                <w:szCs w:val="20"/>
              </w:rPr>
              <w:t>75)</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r>
      <w:tr w:rsidR="0048282A" w:rsidRPr="00442034" w14:paraId="43E612F9" w14:textId="77777777" w:rsidTr="00352747">
        <w:tc>
          <w:tcPr>
            <w:tcW w:w="1708" w:type="dxa"/>
            <w:tcBorders>
              <w:top w:val="nil"/>
              <w:left w:val="nil"/>
              <w:bottom w:val="nil"/>
              <w:right w:val="nil"/>
            </w:tcBorders>
          </w:tcPr>
          <w:p w14:paraId="147C4C2C"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Below Poverty</w:t>
            </w:r>
          </w:p>
        </w:tc>
        <w:tc>
          <w:tcPr>
            <w:tcW w:w="1410" w:type="dxa"/>
            <w:tcBorders>
              <w:top w:val="nil"/>
              <w:left w:val="nil"/>
              <w:bottom w:val="nil"/>
              <w:right w:val="nil"/>
            </w:tcBorders>
          </w:tcPr>
          <w:p w14:paraId="7F82F894" w14:textId="77777777" w:rsidR="0048282A" w:rsidRPr="00442034" w:rsidRDefault="0048282A" w:rsidP="00BE5E6D">
            <w:pPr>
              <w:tabs>
                <w:tab w:val="decimal" w:pos="672"/>
              </w:tabs>
              <w:jc w:val="center"/>
              <w:rPr>
                <w:rFonts w:ascii="Times New Roman" w:hAnsi="Times New Roman" w:cs="Times New Roman"/>
                <w:sz w:val="20"/>
                <w:szCs w:val="20"/>
              </w:rPr>
            </w:pPr>
            <w:r w:rsidRPr="00442034">
              <w:rPr>
                <w:rFonts w:ascii="Times New Roman" w:hAnsi="Times New Roman" w:cs="Times New Roman"/>
                <w:sz w:val="20"/>
                <w:szCs w:val="20"/>
              </w:rPr>
              <w:t>-0.04 (.58)</w:t>
            </w:r>
          </w:p>
        </w:tc>
        <w:tc>
          <w:tcPr>
            <w:tcW w:w="1922" w:type="dxa"/>
            <w:tcBorders>
              <w:top w:val="nil"/>
              <w:left w:val="nil"/>
              <w:bottom w:val="nil"/>
              <w:right w:val="nil"/>
            </w:tcBorders>
          </w:tcPr>
          <w:p w14:paraId="5E87497D" w14:textId="77777777" w:rsidR="0048282A" w:rsidRPr="00442034" w:rsidRDefault="0048282A" w:rsidP="00BE5E6D">
            <w:pPr>
              <w:tabs>
                <w:tab w:val="decimal" w:pos="738"/>
              </w:tabs>
              <w:rPr>
                <w:rFonts w:ascii="Times New Roman" w:hAnsi="Times New Roman" w:cs="Times New Roman"/>
                <w:sz w:val="20"/>
                <w:szCs w:val="20"/>
              </w:rPr>
            </w:pPr>
            <w:r w:rsidRPr="00442034">
              <w:rPr>
                <w:rFonts w:ascii="Times New Roman" w:hAnsi="Times New Roman" w:cs="Times New Roman"/>
                <w:sz w:val="20"/>
                <w:szCs w:val="20"/>
              </w:rPr>
              <w:t>-0.35 (.48)</w:t>
            </w:r>
          </w:p>
        </w:tc>
        <w:tc>
          <w:tcPr>
            <w:tcW w:w="1979" w:type="dxa"/>
            <w:tcBorders>
              <w:top w:val="nil"/>
              <w:left w:val="nil"/>
              <w:bottom w:val="nil"/>
              <w:right w:val="nil"/>
            </w:tcBorders>
          </w:tcPr>
          <w:p w14:paraId="071B26B1"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-0.65 (.55)</w:t>
            </w:r>
          </w:p>
        </w:tc>
        <w:tc>
          <w:tcPr>
            <w:tcW w:w="2161" w:type="dxa"/>
            <w:tcBorders>
              <w:top w:val="nil"/>
              <w:left w:val="nil"/>
              <w:bottom w:val="nil"/>
              <w:right w:val="nil"/>
            </w:tcBorders>
          </w:tcPr>
          <w:p w14:paraId="37A80574" w14:textId="77777777" w:rsidR="0048282A" w:rsidRPr="00442034" w:rsidRDefault="0048282A" w:rsidP="00BE5E6D">
            <w:pPr>
              <w:tabs>
                <w:tab w:val="decimal" w:pos="611"/>
              </w:tabs>
              <w:rPr>
                <w:rFonts w:ascii="Times New Roman" w:hAnsi="Times New Roman" w:cs="Times New Roman"/>
                <w:sz w:val="20"/>
                <w:szCs w:val="20"/>
              </w:rPr>
            </w:pPr>
            <w:r w:rsidRPr="00442034">
              <w:rPr>
                <w:rFonts w:ascii="Times New Roman" w:hAnsi="Times New Roman" w:cs="Times New Roman"/>
                <w:sz w:val="20"/>
                <w:szCs w:val="20"/>
              </w:rPr>
              <w:t>0.40 (.64)</w:t>
            </w:r>
          </w:p>
        </w:tc>
      </w:tr>
      <w:tr w:rsidR="0048282A" w:rsidRPr="00442034" w14:paraId="74059950" w14:textId="77777777" w:rsidTr="00352747">
        <w:tc>
          <w:tcPr>
            <w:tcW w:w="1708" w:type="dxa"/>
            <w:tcBorders>
              <w:top w:val="nil"/>
              <w:left w:val="nil"/>
              <w:bottom w:val="nil"/>
              <w:right w:val="nil"/>
            </w:tcBorders>
          </w:tcPr>
          <w:p w14:paraId="6C72C082"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Foster Parents</w:t>
            </w:r>
          </w:p>
        </w:tc>
        <w:tc>
          <w:tcPr>
            <w:tcW w:w="1410" w:type="dxa"/>
            <w:tcBorders>
              <w:top w:val="nil"/>
              <w:left w:val="nil"/>
              <w:bottom w:val="nil"/>
              <w:right w:val="nil"/>
            </w:tcBorders>
          </w:tcPr>
          <w:p w14:paraId="09502434" w14:textId="77777777" w:rsidR="0048282A" w:rsidRPr="00442034" w:rsidRDefault="0048282A" w:rsidP="00BE5E6D">
            <w:pPr>
              <w:tabs>
                <w:tab w:val="decimal" w:pos="672"/>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3.87 (</w:t>
            </w:r>
            <w:proofErr w:type="gramStart"/>
            <w:r w:rsidRPr="00442034">
              <w:rPr>
                <w:rFonts w:ascii="Times New Roman" w:hAnsi="Times New Roman" w:cs="Times New Roman"/>
                <w:sz w:val="20"/>
                <w:szCs w:val="20"/>
              </w:rPr>
              <w:t>1.86)</w:t>
            </w:r>
            <w:r w:rsidRPr="00442034">
              <w:rPr>
                <w:rFonts w:ascii="Times New Roman" w:hAnsi="Times New Roman" w:cs="Times New Roman"/>
                <w:sz w:val="20"/>
                <w:szCs w:val="20"/>
                <w:vertAlign w:val="superscript"/>
              </w:rPr>
              <w:t>*</w:t>
            </w:r>
            <w:proofErr w:type="gramEnd"/>
          </w:p>
        </w:tc>
        <w:tc>
          <w:tcPr>
            <w:tcW w:w="1922" w:type="dxa"/>
            <w:tcBorders>
              <w:top w:val="nil"/>
              <w:left w:val="nil"/>
              <w:bottom w:val="nil"/>
              <w:right w:val="nil"/>
            </w:tcBorders>
          </w:tcPr>
          <w:p w14:paraId="6289A4CC" w14:textId="77777777" w:rsidR="0048282A" w:rsidRPr="00442034" w:rsidRDefault="0048282A" w:rsidP="00BE5E6D">
            <w:pPr>
              <w:tabs>
                <w:tab w:val="decimal" w:pos="738"/>
              </w:tabs>
              <w:rPr>
                <w:rFonts w:ascii="Times New Roman" w:hAnsi="Times New Roman" w:cs="Times New Roman"/>
                <w:sz w:val="20"/>
                <w:szCs w:val="20"/>
                <w:vertAlign w:val="superscript"/>
              </w:rPr>
            </w:pPr>
            <w:r w:rsidRPr="00442034">
              <w:rPr>
                <w:rFonts w:ascii="Times New Roman" w:hAnsi="Times New Roman" w:cs="Times New Roman"/>
                <w:sz w:val="20"/>
                <w:szCs w:val="20"/>
              </w:rPr>
              <w:t>4.49 (</w:t>
            </w:r>
            <w:proofErr w:type="gramStart"/>
            <w:r w:rsidRPr="00442034">
              <w:rPr>
                <w:rFonts w:ascii="Times New Roman" w:hAnsi="Times New Roman" w:cs="Times New Roman"/>
                <w:sz w:val="20"/>
                <w:szCs w:val="20"/>
              </w:rPr>
              <w:t>1.98)</w:t>
            </w:r>
            <w:r w:rsidRPr="00442034">
              <w:rPr>
                <w:rFonts w:ascii="Times New Roman" w:hAnsi="Times New Roman" w:cs="Times New Roman"/>
                <w:sz w:val="20"/>
                <w:szCs w:val="20"/>
                <w:vertAlign w:val="superscript"/>
              </w:rPr>
              <w:t>*</w:t>
            </w:r>
            <w:proofErr w:type="gramEnd"/>
          </w:p>
        </w:tc>
        <w:tc>
          <w:tcPr>
            <w:tcW w:w="1979" w:type="dxa"/>
            <w:tcBorders>
              <w:top w:val="nil"/>
              <w:left w:val="nil"/>
              <w:bottom w:val="nil"/>
              <w:right w:val="nil"/>
            </w:tcBorders>
          </w:tcPr>
          <w:p w14:paraId="55841201"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3.97 (</w:t>
            </w:r>
            <w:proofErr w:type="gramStart"/>
            <w:r w:rsidRPr="00442034">
              <w:rPr>
                <w:rFonts w:ascii="Times New Roman" w:hAnsi="Times New Roman" w:cs="Times New Roman"/>
                <w:sz w:val="20"/>
                <w:szCs w:val="20"/>
              </w:rPr>
              <w:t>1.99)</w:t>
            </w:r>
            <w:r w:rsidRPr="00442034">
              <w:rPr>
                <w:rFonts w:ascii="Times New Roman" w:hAnsi="Times New Roman" w:cs="Times New Roman"/>
                <w:sz w:val="20"/>
                <w:szCs w:val="20"/>
                <w:vertAlign w:val="superscript"/>
              </w:rPr>
              <w:t>*</w:t>
            </w:r>
            <w:proofErr w:type="gramEnd"/>
          </w:p>
        </w:tc>
        <w:tc>
          <w:tcPr>
            <w:tcW w:w="2161" w:type="dxa"/>
            <w:tcBorders>
              <w:top w:val="nil"/>
              <w:left w:val="nil"/>
              <w:bottom w:val="nil"/>
              <w:right w:val="nil"/>
            </w:tcBorders>
          </w:tcPr>
          <w:p w14:paraId="46B39FC8" w14:textId="77777777" w:rsidR="0048282A" w:rsidRPr="00442034" w:rsidRDefault="0048282A" w:rsidP="00BE5E6D">
            <w:pPr>
              <w:tabs>
                <w:tab w:val="decimal" w:pos="611"/>
              </w:tabs>
              <w:rPr>
                <w:rFonts w:ascii="Times New Roman" w:hAnsi="Times New Roman" w:cs="Times New Roman"/>
                <w:sz w:val="20"/>
                <w:szCs w:val="20"/>
                <w:vertAlign w:val="superscript"/>
              </w:rPr>
            </w:pPr>
            <w:r w:rsidRPr="00442034">
              <w:rPr>
                <w:rFonts w:ascii="Times New Roman" w:hAnsi="Times New Roman" w:cs="Times New Roman"/>
                <w:sz w:val="20"/>
                <w:szCs w:val="20"/>
              </w:rPr>
              <w:t>4.40 (</w:t>
            </w:r>
            <w:proofErr w:type="gramStart"/>
            <w:r w:rsidRPr="00442034">
              <w:rPr>
                <w:rFonts w:ascii="Times New Roman" w:hAnsi="Times New Roman" w:cs="Times New Roman"/>
                <w:sz w:val="20"/>
                <w:szCs w:val="20"/>
              </w:rPr>
              <w:t>2.05)</w:t>
            </w:r>
            <w:r w:rsidRPr="00442034">
              <w:rPr>
                <w:rFonts w:ascii="Times New Roman" w:hAnsi="Times New Roman" w:cs="Times New Roman"/>
                <w:sz w:val="20"/>
                <w:szCs w:val="20"/>
                <w:vertAlign w:val="superscript"/>
              </w:rPr>
              <w:t>*</w:t>
            </w:r>
            <w:proofErr w:type="gramEnd"/>
          </w:p>
        </w:tc>
      </w:tr>
      <w:tr w:rsidR="0048282A" w:rsidRPr="00442034" w14:paraId="7493F0E4" w14:textId="77777777" w:rsidTr="00352747">
        <w:tc>
          <w:tcPr>
            <w:tcW w:w="1708" w:type="dxa"/>
            <w:tcBorders>
              <w:top w:val="nil"/>
              <w:left w:val="nil"/>
              <w:bottom w:val="nil"/>
              <w:right w:val="nil"/>
            </w:tcBorders>
          </w:tcPr>
          <w:p w14:paraId="15D79437"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Kinship Care</w:t>
            </w:r>
          </w:p>
        </w:tc>
        <w:tc>
          <w:tcPr>
            <w:tcW w:w="1410" w:type="dxa"/>
            <w:tcBorders>
              <w:top w:val="nil"/>
              <w:left w:val="nil"/>
              <w:bottom w:val="nil"/>
              <w:right w:val="nil"/>
            </w:tcBorders>
          </w:tcPr>
          <w:p w14:paraId="0A5DC917" w14:textId="77777777" w:rsidR="0048282A" w:rsidRPr="00442034" w:rsidRDefault="0048282A" w:rsidP="00BE5E6D">
            <w:pPr>
              <w:tabs>
                <w:tab w:val="decimal" w:pos="672"/>
              </w:tabs>
              <w:jc w:val="center"/>
              <w:rPr>
                <w:rFonts w:ascii="Times New Roman" w:hAnsi="Times New Roman" w:cs="Times New Roman"/>
                <w:sz w:val="20"/>
                <w:szCs w:val="20"/>
              </w:rPr>
            </w:pPr>
            <w:r w:rsidRPr="00442034">
              <w:rPr>
                <w:rFonts w:ascii="Times New Roman" w:hAnsi="Times New Roman" w:cs="Times New Roman"/>
                <w:sz w:val="20"/>
                <w:szCs w:val="20"/>
              </w:rPr>
              <w:t>1.29 (1.45)</w:t>
            </w:r>
          </w:p>
        </w:tc>
        <w:tc>
          <w:tcPr>
            <w:tcW w:w="1922" w:type="dxa"/>
            <w:tcBorders>
              <w:top w:val="nil"/>
              <w:left w:val="nil"/>
              <w:bottom w:val="nil"/>
              <w:right w:val="nil"/>
            </w:tcBorders>
          </w:tcPr>
          <w:p w14:paraId="4AF8394B" w14:textId="77777777" w:rsidR="0048282A" w:rsidRPr="00442034" w:rsidRDefault="0048282A" w:rsidP="00BE5E6D">
            <w:pPr>
              <w:tabs>
                <w:tab w:val="decimal" w:pos="738"/>
              </w:tabs>
              <w:rPr>
                <w:rFonts w:ascii="Times New Roman" w:hAnsi="Times New Roman" w:cs="Times New Roman"/>
                <w:sz w:val="20"/>
                <w:szCs w:val="20"/>
              </w:rPr>
            </w:pPr>
            <w:r w:rsidRPr="00442034">
              <w:rPr>
                <w:rFonts w:ascii="Times New Roman" w:hAnsi="Times New Roman" w:cs="Times New Roman"/>
                <w:sz w:val="20"/>
                <w:szCs w:val="20"/>
              </w:rPr>
              <w:t>1.38 (1.24)</w:t>
            </w:r>
          </w:p>
        </w:tc>
        <w:tc>
          <w:tcPr>
            <w:tcW w:w="1979" w:type="dxa"/>
            <w:tcBorders>
              <w:top w:val="nil"/>
              <w:left w:val="nil"/>
              <w:bottom w:val="nil"/>
              <w:right w:val="nil"/>
            </w:tcBorders>
          </w:tcPr>
          <w:p w14:paraId="2FBAC618"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0.15 (1.44)</w:t>
            </w:r>
          </w:p>
        </w:tc>
        <w:tc>
          <w:tcPr>
            <w:tcW w:w="2161" w:type="dxa"/>
            <w:tcBorders>
              <w:top w:val="nil"/>
              <w:left w:val="nil"/>
              <w:bottom w:val="nil"/>
              <w:right w:val="nil"/>
            </w:tcBorders>
          </w:tcPr>
          <w:p w14:paraId="2B4E4403" w14:textId="77777777" w:rsidR="0048282A" w:rsidRPr="00442034" w:rsidRDefault="0048282A" w:rsidP="00BE5E6D">
            <w:pPr>
              <w:tabs>
                <w:tab w:val="decimal" w:pos="611"/>
              </w:tabs>
              <w:rPr>
                <w:rFonts w:ascii="Times New Roman" w:hAnsi="Times New Roman" w:cs="Times New Roman"/>
                <w:sz w:val="20"/>
                <w:szCs w:val="20"/>
              </w:rPr>
            </w:pPr>
            <w:r w:rsidRPr="00442034">
              <w:rPr>
                <w:rFonts w:ascii="Times New Roman" w:hAnsi="Times New Roman" w:cs="Times New Roman"/>
                <w:sz w:val="20"/>
                <w:szCs w:val="20"/>
              </w:rPr>
              <w:t>1.28 (1.34)</w:t>
            </w:r>
          </w:p>
        </w:tc>
      </w:tr>
      <w:tr w:rsidR="0048282A" w:rsidRPr="00442034" w14:paraId="0F55DE70" w14:textId="77777777" w:rsidTr="00352747">
        <w:tc>
          <w:tcPr>
            <w:tcW w:w="1708" w:type="dxa"/>
            <w:tcBorders>
              <w:top w:val="nil"/>
              <w:left w:val="nil"/>
              <w:bottom w:val="nil"/>
              <w:right w:val="nil"/>
            </w:tcBorders>
          </w:tcPr>
          <w:p w14:paraId="6A8D57CE"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Substantiated Report</w:t>
            </w:r>
          </w:p>
        </w:tc>
        <w:tc>
          <w:tcPr>
            <w:tcW w:w="1410" w:type="dxa"/>
            <w:tcBorders>
              <w:top w:val="nil"/>
              <w:left w:val="nil"/>
              <w:bottom w:val="nil"/>
              <w:right w:val="nil"/>
            </w:tcBorders>
          </w:tcPr>
          <w:p w14:paraId="4B6E7924" w14:textId="77777777" w:rsidR="0048282A" w:rsidRPr="00442034" w:rsidRDefault="0048282A" w:rsidP="00BE5E6D">
            <w:pPr>
              <w:tabs>
                <w:tab w:val="decimal" w:pos="672"/>
              </w:tabs>
              <w:rPr>
                <w:rFonts w:ascii="Times New Roman" w:hAnsi="Times New Roman" w:cs="Times New Roman"/>
                <w:sz w:val="20"/>
                <w:szCs w:val="20"/>
              </w:rPr>
            </w:pPr>
            <w:r w:rsidRPr="00442034">
              <w:rPr>
                <w:rFonts w:ascii="Times New Roman" w:hAnsi="Times New Roman" w:cs="Times New Roman"/>
                <w:sz w:val="20"/>
                <w:szCs w:val="20"/>
              </w:rPr>
              <w:t>-0.67 (.66)</w:t>
            </w:r>
          </w:p>
        </w:tc>
        <w:tc>
          <w:tcPr>
            <w:tcW w:w="1922" w:type="dxa"/>
            <w:tcBorders>
              <w:top w:val="nil"/>
              <w:left w:val="nil"/>
              <w:bottom w:val="nil"/>
              <w:right w:val="nil"/>
            </w:tcBorders>
          </w:tcPr>
          <w:p w14:paraId="682A24DB" w14:textId="77777777" w:rsidR="0048282A" w:rsidRPr="00442034" w:rsidRDefault="0048282A" w:rsidP="00BE5E6D">
            <w:pPr>
              <w:tabs>
                <w:tab w:val="decimal" w:pos="738"/>
              </w:tabs>
              <w:rPr>
                <w:rFonts w:ascii="Times New Roman" w:hAnsi="Times New Roman" w:cs="Times New Roman"/>
                <w:sz w:val="20"/>
                <w:szCs w:val="20"/>
                <w:vertAlign w:val="superscript"/>
              </w:rPr>
            </w:pPr>
            <w:r w:rsidRPr="00442034">
              <w:rPr>
                <w:rFonts w:ascii="Times New Roman" w:hAnsi="Times New Roman" w:cs="Times New Roman"/>
                <w:sz w:val="20"/>
                <w:szCs w:val="20"/>
              </w:rPr>
              <w:t>-0.041 (.66)</w:t>
            </w:r>
          </w:p>
        </w:tc>
        <w:tc>
          <w:tcPr>
            <w:tcW w:w="1979" w:type="dxa"/>
            <w:tcBorders>
              <w:top w:val="nil"/>
              <w:left w:val="nil"/>
              <w:bottom w:val="nil"/>
              <w:right w:val="nil"/>
            </w:tcBorders>
          </w:tcPr>
          <w:p w14:paraId="33D4CA0A"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0.075 (.60)</w:t>
            </w:r>
          </w:p>
        </w:tc>
        <w:tc>
          <w:tcPr>
            <w:tcW w:w="2161" w:type="dxa"/>
            <w:tcBorders>
              <w:top w:val="nil"/>
              <w:left w:val="nil"/>
              <w:bottom w:val="nil"/>
              <w:right w:val="nil"/>
            </w:tcBorders>
          </w:tcPr>
          <w:p w14:paraId="0557AB5E" w14:textId="77777777" w:rsidR="0048282A" w:rsidRPr="00442034" w:rsidRDefault="0048282A" w:rsidP="00BE5E6D">
            <w:pPr>
              <w:tabs>
                <w:tab w:val="decimal" w:pos="611"/>
              </w:tabs>
              <w:rPr>
                <w:rFonts w:ascii="Times New Roman" w:hAnsi="Times New Roman" w:cs="Times New Roman"/>
                <w:sz w:val="20"/>
                <w:szCs w:val="20"/>
                <w:vertAlign w:val="superscript"/>
              </w:rPr>
            </w:pPr>
            <w:r w:rsidRPr="00442034">
              <w:rPr>
                <w:rFonts w:ascii="Times New Roman" w:hAnsi="Times New Roman" w:cs="Times New Roman"/>
                <w:sz w:val="20"/>
                <w:szCs w:val="20"/>
              </w:rPr>
              <w:t>-1.76 (.</w:t>
            </w:r>
            <w:proofErr w:type="gramStart"/>
            <w:r w:rsidRPr="00442034">
              <w:rPr>
                <w:rFonts w:ascii="Times New Roman" w:hAnsi="Times New Roman" w:cs="Times New Roman"/>
                <w:sz w:val="20"/>
                <w:szCs w:val="20"/>
              </w:rPr>
              <w:t>70)</w:t>
            </w:r>
            <w:r w:rsidRPr="00442034">
              <w:rPr>
                <w:rFonts w:ascii="Times New Roman" w:hAnsi="Times New Roman" w:cs="Times New Roman"/>
                <w:sz w:val="20"/>
                <w:szCs w:val="20"/>
                <w:vertAlign w:val="superscript"/>
              </w:rPr>
              <w:t>*</w:t>
            </w:r>
            <w:proofErr w:type="gramEnd"/>
          </w:p>
        </w:tc>
      </w:tr>
      <w:tr w:rsidR="0048282A" w:rsidRPr="00442034" w14:paraId="739EFB10" w14:textId="77777777" w:rsidTr="00352747">
        <w:tc>
          <w:tcPr>
            <w:tcW w:w="1708" w:type="dxa"/>
            <w:tcBorders>
              <w:top w:val="nil"/>
              <w:left w:val="nil"/>
              <w:bottom w:val="nil"/>
              <w:right w:val="nil"/>
            </w:tcBorders>
          </w:tcPr>
          <w:p w14:paraId="6C432562"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Neglect</w:t>
            </w:r>
          </w:p>
        </w:tc>
        <w:tc>
          <w:tcPr>
            <w:tcW w:w="1410" w:type="dxa"/>
            <w:tcBorders>
              <w:top w:val="nil"/>
              <w:left w:val="nil"/>
              <w:bottom w:val="nil"/>
              <w:right w:val="nil"/>
            </w:tcBorders>
          </w:tcPr>
          <w:p w14:paraId="66FE115E" w14:textId="77777777" w:rsidR="0048282A" w:rsidRPr="00442034" w:rsidRDefault="0048282A" w:rsidP="00BE5E6D">
            <w:pPr>
              <w:tabs>
                <w:tab w:val="decimal" w:pos="672"/>
              </w:tabs>
              <w:jc w:val="center"/>
              <w:rPr>
                <w:rFonts w:ascii="Times New Roman" w:hAnsi="Times New Roman" w:cs="Times New Roman"/>
                <w:sz w:val="20"/>
                <w:szCs w:val="20"/>
              </w:rPr>
            </w:pPr>
            <w:r w:rsidRPr="00442034">
              <w:rPr>
                <w:rFonts w:ascii="Times New Roman" w:hAnsi="Times New Roman" w:cs="Times New Roman"/>
                <w:sz w:val="20"/>
                <w:szCs w:val="20"/>
              </w:rPr>
              <w:t>-0.26 (.68)</w:t>
            </w:r>
          </w:p>
        </w:tc>
        <w:tc>
          <w:tcPr>
            <w:tcW w:w="1922" w:type="dxa"/>
            <w:tcBorders>
              <w:top w:val="nil"/>
              <w:left w:val="nil"/>
              <w:bottom w:val="nil"/>
              <w:right w:val="nil"/>
            </w:tcBorders>
          </w:tcPr>
          <w:p w14:paraId="3BED2B39" w14:textId="77777777" w:rsidR="0048282A" w:rsidRPr="00442034" w:rsidRDefault="0048282A" w:rsidP="00BE5E6D">
            <w:pPr>
              <w:tabs>
                <w:tab w:val="decimal" w:pos="738"/>
              </w:tabs>
              <w:rPr>
                <w:rFonts w:ascii="Times New Roman" w:hAnsi="Times New Roman" w:cs="Times New Roman"/>
                <w:sz w:val="20"/>
                <w:szCs w:val="20"/>
              </w:rPr>
            </w:pPr>
            <w:r w:rsidRPr="00442034">
              <w:rPr>
                <w:rFonts w:ascii="Times New Roman" w:hAnsi="Times New Roman" w:cs="Times New Roman"/>
                <w:sz w:val="20"/>
                <w:szCs w:val="20"/>
              </w:rPr>
              <w:t>-0.18 (.59)</w:t>
            </w:r>
          </w:p>
        </w:tc>
        <w:tc>
          <w:tcPr>
            <w:tcW w:w="1979" w:type="dxa"/>
            <w:tcBorders>
              <w:top w:val="nil"/>
              <w:left w:val="nil"/>
              <w:bottom w:val="nil"/>
              <w:right w:val="nil"/>
            </w:tcBorders>
          </w:tcPr>
          <w:p w14:paraId="14A00F03"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-0.16 (.70)</w:t>
            </w:r>
          </w:p>
        </w:tc>
        <w:tc>
          <w:tcPr>
            <w:tcW w:w="2161" w:type="dxa"/>
            <w:tcBorders>
              <w:top w:val="nil"/>
              <w:left w:val="nil"/>
              <w:bottom w:val="nil"/>
              <w:right w:val="nil"/>
            </w:tcBorders>
          </w:tcPr>
          <w:p w14:paraId="5B6CAFBE" w14:textId="77777777" w:rsidR="0048282A" w:rsidRPr="00442034" w:rsidRDefault="0048282A" w:rsidP="00BE5E6D">
            <w:pPr>
              <w:tabs>
                <w:tab w:val="decimal" w:pos="611"/>
              </w:tabs>
              <w:rPr>
                <w:rFonts w:ascii="Times New Roman" w:hAnsi="Times New Roman" w:cs="Times New Roman"/>
                <w:sz w:val="20"/>
                <w:szCs w:val="20"/>
              </w:rPr>
            </w:pPr>
            <w:r w:rsidRPr="00442034">
              <w:rPr>
                <w:rFonts w:ascii="Times New Roman" w:hAnsi="Times New Roman" w:cs="Times New Roman"/>
                <w:sz w:val="20"/>
                <w:szCs w:val="20"/>
              </w:rPr>
              <w:t>-1.24 (.80)</w:t>
            </w:r>
          </w:p>
        </w:tc>
      </w:tr>
      <w:tr w:rsidR="0048282A" w:rsidRPr="00442034" w14:paraId="2F7D4DE9" w14:textId="77777777" w:rsidTr="00352747">
        <w:tc>
          <w:tcPr>
            <w:tcW w:w="1708" w:type="dxa"/>
            <w:tcBorders>
              <w:top w:val="nil"/>
              <w:left w:val="nil"/>
              <w:bottom w:val="nil"/>
              <w:right w:val="nil"/>
            </w:tcBorders>
          </w:tcPr>
          <w:p w14:paraId="35129C5C"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Substance Related</w:t>
            </w:r>
          </w:p>
        </w:tc>
        <w:tc>
          <w:tcPr>
            <w:tcW w:w="1410" w:type="dxa"/>
            <w:tcBorders>
              <w:top w:val="nil"/>
              <w:left w:val="nil"/>
              <w:bottom w:val="nil"/>
              <w:right w:val="nil"/>
            </w:tcBorders>
          </w:tcPr>
          <w:p w14:paraId="26053F87" w14:textId="77777777" w:rsidR="0048282A" w:rsidRPr="00442034" w:rsidRDefault="0048282A" w:rsidP="00BE5E6D">
            <w:pPr>
              <w:tabs>
                <w:tab w:val="decimal" w:pos="672"/>
              </w:tabs>
              <w:jc w:val="center"/>
              <w:rPr>
                <w:rFonts w:ascii="Times New Roman" w:hAnsi="Times New Roman" w:cs="Times New Roman"/>
                <w:sz w:val="20"/>
                <w:szCs w:val="20"/>
              </w:rPr>
            </w:pPr>
            <w:r w:rsidRPr="00442034">
              <w:rPr>
                <w:rFonts w:ascii="Times New Roman" w:hAnsi="Times New Roman" w:cs="Times New Roman"/>
                <w:sz w:val="20"/>
                <w:szCs w:val="20"/>
              </w:rPr>
              <w:t>-1.10 (.90)</w:t>
            </w:r>
          </w:p>
        </w:tc>
        <w:tc>
          <w:tcPr>
            <w:tcW w:w="1922" w:type="dxa"/>
            <w:tcBorders>
              <w:top w:val="nil"/>
              <w:left w:val="nil"/>
              <w:bottom w:val="nil"/>
              <w:right w:val="nil"/>
            </w:tcBorders>
          </w:tcPr>
          <w:p w14:paraId="3262EA2C" w14:textId="77777777" w:rsidR="0048282A" w:rsidRPr="00442034" w:rsidRDefault="0048282A" w:rsidP="00BE5E6D">
            <w:pPr>
              <w:tabs>
                <w:tab w:val="decimal" w:pos="738"/>
              </w:tabs>
              <w:rPr>
                <w:rFonts w:ascii="Times New Roman" w:hAnsi="Times New Roman" w:cs="Times New Roman"/>
                <w:sz w:val="20"/>
                <w:szCs w:val="20"/>
                <w:vertAlign w:val="superscript"/>
              </w:rPr>
            </w:pPr>
            <w:r w:rsidRPr="00442034">
              <w:rPr>
                <w:rFonts w:ascii="Times New Roman" w:hAnsi="Times New Roman" w:cs="Times New Roman"/>
                <w:sz w:val="20"/>
                <w:szCs w:val="20"/>
              </w:rPr>
              <w:t>-1.00 (.71)</w:t>
            </w:r>
          </w:p>
        </w:tc>
        <w:tc>
          <w:tcPr>
            <w:tcW w:w="1979" w:type="dxa"/>
            <w:tcBorders>
              <w:top w:val="nil"/>
              <w:left w:val="nil"/>
              <w:bottom w:val="nil"/>
              <w:right w:val="nil"/>
            </w:tcBorders>
          </w:tcPr>
          <w:p w14:paraId="17BE6271"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-0.74 (.77)</w:t>
            </w:r>
          </w:p>
        </w:tc>
        <w:tc>
          <w:tcPr>
            <w:tcW w:w="2161" w:type="dxa"/>
            <w:tcBorders>
              <w:top w:val="nil"/>
              <w:left w:val="nil"/>
              <w:bottom w:val="nil"/>
              <w:right w:val="nil"/>
            </w:tcBorders>
          </w:tcPr>
          <w:p w14:paraId="7DD35553" w14:textId="77777777" w:rsidR="0048282A" w:rsidRPr="00442034" w:rsidRDefault="0048282A" w:rsidP="00BE5E6D">
            <w:pPr>
              <w:tabs>
                <w:tab w:val="decimal" w:pos="611"/>
              </w:tabs>
              <w:rPr>
                <w:rFonts w:ascii="Times New Roman" w:hAnsi="Times New Roman" w:cs="Times New Roman"/>
                <w:sz w:val="20"/>
                <w:szCs w:val="20"/>
                <w:vertAlign w:val="superscript"/>
              </w:rPr>
            </w:pPr>
            <w:r w:rsidRPr="00442034">
              <w:rPr>
                <w:rFonts w:ascii="Times New Roman" w:hAnsi="Times New Roman" w:cs="Times New Roman"/>
                <w:sz w:val="20"/>
                <w:szCs w:val="20"/>
              </w:rPr>
              <w:t>-1.80 (1.00)</w:t>
            </w:r>
            <w:r w:rsidRPr="00442034">
              <w:rPr>
                <w:rFonts w:ascii="Times New Roman" w:hAnsi="Times New Roman" w:cs="Times New Roman"/>
                <w:sz w:val="20"/>
                <w:szCs w:val="20"/>
                <w:vertAlign w:val="superscript"/>
              </w:rPr>
              <w:t xml:space="preserve"> †</w:t>
            </w:r>
          </w:p>
        </w:tc>
      </w:tr>
      <w:tr w:rsidR="0048282A" w:rsidRPr="00442034" w14:paraId="141CA5F0" w14:textId="77777777" w:rsidTr="00352747">
        <w:tc>
          <w:tcPr>
            <w:tcW w:w="1708" w:type="dxa"/>
            <w:tcBorders>
              <w:top w:val="nil"/>
              <w:left w:val="nil"/>
              <w:bottom w:val="nil"/>
              <w:right w:val="nil"/>
            </w:tcBorders>
          </w:tcPr>
          <w:p w14:paraId="7522A7C0"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Domestic Violence</w:t>
            </w:r>
          </w:p>
        </w:tc>
        <w:tc>
          <w:tcPr>
            <w:tcW w:w="1410" w:type="dxa"/>
            <w:tcBorders>
              <w:top w:val="nil"/>
              <w:left w:val="nil"/>
              <w:bottom w:val="nil"/>
              <w:right w:val="nil"/>
            </w:tcBorders>
          </w:tcPr>
          <w:p w14:paraId="4D8A7539" w14:textId="77777777" w:rsidR="0048282A" w:rsidRPr="00442034" w:rsidRDefault="0048282A" w:rsidP="00BE5E6D">
            <w:pPr>
              <w:tabs>
                <w:tab w:val="decimal" w:pos="672"/>
              </w:tabs>
              <w:jc w:val="center"/>
              <w:rPr>
                <w:rFonts w:ascii="Times New Roman" w:hAnsi="Times New Roman" w:cs="Times New Roman"/>
                <w:sz w:val="20"/>
                <w:szCs w:val="20"/>
              </w:rPr>
            </w:pPr>
            <w:r w:rsidRPr="00442034">
              <w:rPr>
                <w:rFonts w:ascii="Times New Roman" w:hAnsi="Times New Roman" w:cs="Times New Roman"/>
                <w:sz w:val="20"/>
                <w:szCs w:val="20"/>
              </w:rPr>
              <w:t>-1.39 (1.33)</w:t>
            </w:r>
          </w:p>
        </w:tc>
        <w:tc>
          <w:tcPr>
            <w:tcW w:w="1922" w:type="dxa"/>
            <w:tcBorders>
              <w:top w:val="nil"/>
              <w:left w:val="nil"/>
              <w:bottom w:val="nil"/>
              <w:right w:val="nil"/>
            </w:tcBorders>
          </w:tcPr>
          <w:p w14:paraId="53BFEAF1" w14:textId="77777777" w:rsidR="0048282A" w:rsidRPr="00442034" w:rsidRDefault="0048282A" w:rsidP="00BE5E6D">
            <w:pPr>
              <w:tabs>
                <w:tab w:val="decimal" w:pos="738"/>
              </w:tabs>
              <w:rPr>
                <w:rFonts w:ascii="Times New Roman" w:hAnsi="Times New Roman" w:cs="Times New Roman"/>
                <w:sz w:val="20"/>
                <w:szCs w:val="20"/>
              </w:rPr>
            </w:pPr>
            <w:r w:rsidRPr="00442034">
              <w:rPr>
                <w:rFonts w:ascii="Times New Roman" w:hAnsi="Times New Roman" w:cs="Times New Roman"/>
                <w:sz w:val="20"/>
                <w:szCs w:val="20"/>
              </w:rPr>
              <w:t>-0.87 (1.30)</w:t>
            </w:r>
          </w:p>
        </w:tc>
        <w:tc>
          <w:tcPr>
            <w:tcW w:w="1979" w:type="dxa"/>
            <w:tcBorders>
              <w:top w:val="nil"/>
              <w:left w:val="nil"/>
              <w:bottom w:val="nil"/>
              <w:right w:val="nil"/>
            </w:tcBorders>
          </w:tcPr>
          <w:p w14:paraId="04A4F439"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-1.65 (1.27)</w:t>
            </w:r>
          </w:p>
        </w:tc>
        <w:tc>
          <w:tcPr>
            <w:tcW w:w="2161" w:type="dxa"/>
            <w:tcBorders>
              <w:top w:val="nil"/>
              <w:left w:val="nil"/>
              <w:bottom w:val="nil"/>
              <w:right w:val="nil"/>
            </w:tcBorders>
          </w:tcPr>
          <w:p w14:paraId="4739EBEC" w14:textId="77777777" w:rsidR="0048282A" w:rsidRPr="00442034" w:rsidRDefault="0048282A" w:rsidP="00BE5E6D">
            <w:pPr>
              <w:tabs>
                <w:tab w:val="decimal" w:pos="611"/>
              </w:tabs>
              <w:rPr>
                <w:rFonts w:ascii="Times New Roman" w:hAnsi="Times New Roman" w:cs="Times New Roman"/>
                <w:sz w:val="20"/>
                <w:szCs w:val="20"/>
                <w:vertAlign w:val="superscript"/>
              </w:rPr>
            </w:pPr>
            <w:r w:rsidRPr="00442034">
              <w:rPr>
                <w:rFonts w:ascii="Times New Roman" w:hAnsi="Times New Roman" w:cs="Times New Roman"/>
                <w:sz w:val="20"/>
                <w:szCs w:val="20"/>
              </w:rPr>
              <w:t>-0.62 (1.43)</w:t>
            </w:r>
          </w:p>
        </w:tc>
      </w:tr>
      <w:tr w:rsidR="0048282A" w:rsidRPr="00442034" w14:paraId="4AF20C44" w14:textId="77777777" w:rsidTr="00352747">
        <w:tc>
          <w:tcPr>
            <w:tcW w:w="1708" w:type="dxa"/>
            <w:tcBorders>
              <w:top w:val="nil"/>
              <w:left w:val="nil"/>
              <w:bottom w:val="nil"/>
              <w:right w:val="nil"/>
            </w:tcBorders>
          </w:tcPr>
          <w:p w14:paraId="2A169C90"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Sexual Abuse</w:t>
            </w:r>
          </w:p>
        </w:tc>
        <w:tc>
          <w:tcPr>
            <w:tcW w:w="1410" w:type="dxa"/>
            <w:tcBorders>
              <w:top w:val="nil"/>
              <w:left w:val="nil"/>
              <w:bottom w:val="nil"/>
              <w:right w:val="nil"/>
            </w:tcBorders>
          </w:tcPr>
          <w:p w14:paraId="408118E1" w14:textId="77777777" w:rsidR="0048282A" w:rsidRPr="00442034" w:rsidRDefault="0048282A" w:rsidP="00BE5E6D">
            <w:pPr>
              <w:tabs>
                <w:tab w:val="decimal" w:pos="672"/>
              </w:tabs>
              <w:rPr>
                <w:rFonts w:ascii="Times New Roman" w:hAnsi="Times New Roman" w:cs="Times New Roman"/>
                <w:sz w:val="20"/>
                <w:szCs w:val="20"/>
              </w:rPr>
            </w:pPr>
            <w:r w:rsidRPr="00442034">
              <w:rPr>
                <w:rFonts w:ascii="Times New Roman" w:hAnsi="Times New Roman" w:cs="Times New Roman"/>
                <w:sz w:val="20"/>
                <w:szCs w:val="20"/>
              </w:rPr>
              <w:t>0.55 (.91)</w:t>
            </w:r>
          </w:p>
        </w:tc>
        <w:tc>
          <w:tcPr>
            <w:tcW w:w="1922" w:type="dxa"/>
            <w:tcBorders>
              <w:top w:val="nil"/>
              <w:left w:val="nil"/>
              <w:bottom w:val="nil"/>
              <w:right w:val="nil"/>
            </w:tcBorders>
          </w:tcPr>
          <w:p w14:paraId="33A43E0A" w14:textId="77777777" w:rsidR="0048282A" w:rsidRPr="00442034" w:rsidRDefault="0048282A" w:rsidP="00BE5E6D">
            <w:pPr>
              <w:tabs>
                <w:tab w:val="decimal" w:pos="738"/>
              </w:tabs>
              <w:rPr>
                <w:rFonts w:ascii="Times New Roman" w:hAnsi="Times New Roman" w:cs="Times New Roman"/>
                <w:sz w:val="20"/>
                <w:szCs w:val="20"/>
              </w:rPr>
            </w:pPr>
            <w:r w:rsidRPr="00442034">
              <w:rPr>
                <w:rFonts w:ascii="Times New Roman" w:hAnsi="Times New Roman" w:cs="Times New Roman"/>
                <w:sz w:val="20"/>
                <w:szCs w:val="20"/>
              </w:rPr>
              <w:t>-0.10 (.82)</w:t>
            </w:r>
          </w:p>
        </w:tc>
        <w:tc>
          <w:tcPr>
            <w:tcW w:w="1979" w:type="dxa"/>
            <w:tcBorders>
              <w:top w:val="nil"/>
              <w:left w:val="nil"/>
              <w:bottom w:val="nil"/>
              <w:right w:val="nil"/>
            </w:tcBorders>
          </w:tcPr>
          <w:p w14:paraId="3EECD85B"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0.87 (.97)</w:t>
            </w:r>
          </w:p>
        </w:tc>
        <w:tc>
          <w:tcPr>
            <w:tcW w:w="2161" w:type="dxa"/>
            <w:tcBorders>
              <w:top w:val="nil"/>
              <w:left w:val="nil"/>
              <w:bottom w:val="nil"/>
              <w:right w:val="nil"/>
            </w:tcBorders>
          </w:tcPr>
          <w:p w14:paraId="1F34E2EB" w14:textId="77777777" w:rsidR="0048282A" w:rsidRPr="00442034" w:rsidRDefault="0048282A" w:rsidP="00BE5E6D">
            <w:pPr>
              <w:tabs>
                <w:tab w:val="decimal" w:pos="611"/>
              </w:tabs>
              <w:rPr>
                <w:rFonts w:ascii="Times New Roman" w:hAnsi="Times New Roman" w:cs="Times New Roman"/>
                <w:sz w:val="20"/>
                <w:szCs w:val="20"/>
                <w:vertAlign w:val="superscript"/>
              </w:rPr>
            </w:pPr>
            <w:r w:rsidRPr="00442034">
              <w:rPr>
                <w:rFonts w:ascii="Times New Roman" w:hAnsi="Times New Roman" w:cs="Times New Roman"/>
                <w:sz w:val="20"/>
                <w:szCs w:val="20"/>
              </w:rPr>
              <w:t>0.69 (1.13)</w:t>
            </w:r>
          </w:p>
        </w:tc>
      </w:tr>
      <w:tr w:rsidR="0048282A" w:rsidRPr="00442034" w14:paraId="2B2920BB" w14:textId="77777777" w:rsidTr="00352747">
        <w:tc>
          <w:tcPr>
            <w:tcW w:w="1708" w:type="dxa"/>
            <w:tcBorders>
              <w:top w:val="nil"/>
              <w:left w:val="nil"/>
              <w:bottom w:val="nil"/>
              <w:right w:val="nil"/>
            </w:tcBorders>
          </w:tcPr>
          <w:p w14:paraId="42CD5DB3"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Other</w:t>
            </w:r>
          </w:p>
        </w:tc>
        <w:tc>
          <w:tcPr>
            <w:tcW w:w="1410" w:type="dxa"/>
            <w:tcBorders>
              <w:top w:val="nil"/>
              <w:left w:val="nil"/>
              <w:bottom w:val="nil"/>
              <w:right w:val="nil"/>
            </w:tcBorders>
          </w:tcPr>
          <w:p w14:paraId="5B90836D" w14:textId="77777777" w:rsidR="0048282A" w:rsidRPr="00442034" w:rsidRDefault="0048282A" w:rsidP="00BE5E6D">
            <w:pPr>
              <w:tabs>
                <w:tab w:val="decimal" w:pos="672"/>
              </w:tabs>
              <w:jc w:val="center"/>
              <w:rPr>
                <w:rFonts w:ascii="Times New Roman" w:hAnsi="Times New Roman" w:cs="Times New Roman"/>
                <w:sz w:val="20"/>
                <w:szCs w:val="20"/>
              </w:rPr>
            </w:pPr>
            <w:r w:rsidRPr="00442034">
              <w:rPr>
                <w:rFonts w:ascii="Times New Roman" w:hAnsi="Times New Roman" w:cs="Times New Roman"/>
                <w:sz w:val="20"/>
                <w:szCs w:val="20"/>
              </w:rPr>
              <w:t>0.53 (.99)</w:t>
            </w:r>
          </w:p>
        </w:tc>
        <w:tc>
          <w:tcPr>
            <w:tcW w:w="1922" w:type="dxa"/>
            <w:tcBorders>
              <w:top w:val="nil"/>
              <w:left w:val="nil"/>
              <w:bottom w:val="nil"/>
              <w:right w:val="nil"/>
            </w:tcBorders>
          </w:tcPr>
          <w:p w14:paraId="520EDFE9" w14:textId="77777777" w:rsidR="0048282A" w:rsidRPr="00442034" w:rsidRDefault="0048282A" w:rsidP="00BE5E6D">
            <w:pPr>
              <w:tabs>
                <w:tab w:val="decimal" w:pos="738"/>
              </w:tabs>
              <w:rPr>
                <w:rFonts w:ascii="Times New Roman" w:hAnsi="Times New Roman" w:cs="Times New Roman"/>
                <w:sz w:val="20"/>
                <w:szCs w:val="20"/>
              </w:rPr>
            </w:pPr>
            <w:r w:rsidRPr="00442034">
              <w:rPr>
                <w:rFonts w:ascii="Times New Roman" w:hAnsi="Times New Roman" w:cs="Times New Roman"/>
                <w:sz w:val="20"/>
                <w:szCs w:val="20"/>
              </w:rPr>
              <w:t>-0.017 (.81)</w:t>
            </w:r>
          </w:p>
        </w:tc>
        <w:tc>
          <w:tcPr>
            <w:tcW w:w="1979" w:type="dxa"/>
            <w:tcBorders>
              <w:top w:val="nil"/>
              <w:left w:val="nil"/>
              <w:bottom w:val="nil"/>
              <w:right w:val="nil"/>
            </w:tcBorders>
          </w:tcPr>
          <w:p w14:paraId="1FB0DC64"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0.66 (.82)</w:t>
            </w:r>
          </w:p>
        </w:tc>
        <w:tc>
          <w:tcPr>
            <w:tcW w:w="2161" w:type="dxa"/>
            <w:tcBorders>
              <w:top w:val="nil"/>
              <w:left w:val="nil"/>
              <w:bottom w:val="nil"/>
              <w:right w:val="nil"/>
            </w:tcBorders>
          </w:tcPr>
          <w:p w14:paraId="5F03ADA3" w14:textId="77777777" w:rsidR="0048282A" w:rsidRPr="00442034" w:rsidRDefault="0048282A" w:rsidP="00BE5E6D">
            <w:pPr>
              <w:tabs>
                <w:tab w:val="decimal" w:pos="611"/>
              </w:tabs>
              <w:rPr>
                <w:rFonts w:ascii="Times New Roman" w:hAnsi="Times New Roman" w:cs="Times New Roman"/>
                <w:sz w:val="20"/>
                <w:szCs w:val="20"/>
              </w:rPr>
            </w:pPr>
            <w:r w:rsidRPr="00442034">
              <w:rPr>
                <w:rFonts w:ascii="Times New Roman" w:hAnsi="Times New Roman" w:cs="Times New Roman"/>
                <w:sz w:val="20"/>
                <w:szCs w:val="20"/>
              </w:rPr>
              <w:t>1.02 (.95)</w:t>
            </w:r>
          </w:p>
        </w:tc>
      </w:tr>
      <w:tr w:rsidR="0048282A" w:rsidRPr="00442034" w14:paraId="6FE35950" w14:textId="77777777" w:rsidTr="00352747">
        <w:tc>
          <w:tcPr>
            <w:tcW w:w="1708" w:type="dxa"/>
            <w:tcBorders>
              <w:top w:val="nil"/>
              <w:left w:val="nil"/>
              <w:bottom w:val="nil"/>
              <w:right w:val="nil"/>
            </w:tcBorders>
          </w:tcPr>
          <w:p w14:paraId="63D96998"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Out-of-Home Care</w:t>
            </w:r>
          </w:p>
        </w:tc>
        <w:tc>
          <w:tcPr>
            <w:tcW w:w="1410" w:type="dxa"/>
            <w:tcBorders>
              <w:top w:val="nil"/>
              <w:left w:val="nil"/>
              <w:bottom w:val="nil"/>
              <w:right w:val="nil"/>
            </w:tcBorders>
          </w:tcPr>
          <w:p w14:paraId="26B4C6E2" w14:textId="77777777" w:rsidR="0048282A" w:rsidRPr="00442034" w:rsidRDefault="0048282A" w:rsidP="00BE5E6D">
            <w:pPr>
              <w:tabs>
                <w:tab w:val="decimal" w:pos="672"/>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-2.42 (1.51)</w:t>
            </w:r>
          </w:p>
        </w:tc>
        <w:tc>
          <w:tcPr>
            <w:tcW w:w="1922" w:type="dxa"/>
            <w:tcBorders>
              <w:top w:val="nil"/>
              <w:left w:val="nil"/>
              <w:bottom w:val="nil"/>
              <w:right w:val="nil"/>
            </w:tcBorders>
          </w:tcPr>
          <w:p w14:paraId="003E9DB4" w14:textId="77777777" w:rsidR="0048282A" w:rsidRPr="00442034" w:rsidRDefault="0048282A" w:rsidP="00BE5E6D">
            <w:pPr>
              <w:tabs>
                <w:tab w:val="decimal" w:pos="738"/>
              </w:tabs>
              <w:rPr>
                <w:rFonts w:ascii="Times New Roman" w:hAnsi="Times New Roman" w:cs="Times New Roman"/>
                <w:sz w:val="20"/>
                <w:szCs w:val="20"/>
                <w:vertAlign w:val="superscript"/>
              </w:rPr>
            </w:pPr>
            <w:r w:rsidRPr="00442034">
              <w:rPr>
                <w:rFonts w:ascii="Times New Roman" w:hAnsi="Times New Roman" w:cs="Times New Roman"/>
                <w:sz w:val="20"/>
                <w:szCs w:val="20"/>
              </w:rPr>
              <w:t>-3.20 (</w:t>
            </w:r>
            <w:proofErr w:type="gramStart"/>
            <w:r w:rsidRPr="00442034">
              <w:rPr>
                <w:rFonts w:ascii="Times New Roman" w:hAnsi="Times New Roman" w:cs="Times New Roman"/>
                <w:sz w:val="20"/>
                <w:szCs w:val="20"/>
              </w:rPr>
              <w:t>1.24)</w:t>
            </w:r>
            <w:r w:rsidRPr="00442034">
              <w:rPr>
                <w:rFonts w:ascii="Times New Roman" w:hAnsi="Times New Roman" w:cs="Times New Roman"/>
                <w:sz w:val="20"/>
                <w:szCs w:val="20"/>
                <w:vertAlign w:val="superscript"/>
              </w:rPr>
              <w:t>*</w:t>
            </w:r>
            <w:proofErr w:type="gramEnd"/>
          </w:p>
        </w:tc>
        <w:tc>
          <w:tcPr>
            <w:tcW w:w="1979" w:type="dxa"/>
            <w:tcBorders>
              <w:top w:val="nil"/>
              <w:left w:val="nil"/>
              <w:bottom w:val="nil"/>
              <w:right w:val="nil"/>
            </w:tcBorders>
          </w:tcPr>
          <w:p w14:paraId="7D34AE72" w14:textId="77777777" w:rsidR="0048282A" w:rsidRPr="00442034" w:rsidRDefault="0048282A" w:rsidP="00BE5E6D">
            <w:pPr>
              <w:tabs>
                <w:tab w:val="decimal" w:pos="613"/>
              </w:tabs>
              <w:rPr>
                <w:rFonts w:ascii="Times New Roman" w:hAnsi="Times New Roman" w:cs="Times New Roman"/>
                <w:sz w:val="20"/>
                <w:szCs w:val="20"/>
              </w:rPr>
            </w:pPr>
            <w:r w:rsidRPr="00442034">
              <w:rPr>
                <w:rFonts w:ascii="Times New Roman" w:hAnsi="Times New Roman" w:cs="Times New Roman"/>
                <w:sz w:val="20"/>
                <w:szCs w:val="20"/>
              </w:rPr>
              <w:t>-1.82 (1.48)</w:t>
            </w:r>
          </w:p>
        </w:tc>
        <w:tc>
          <w:tcPr>
            <w:tcW w:w="2161" w:type="dxa"/>
            <w:tcBorders>
              <w:top w:val="nil"/>
              <w:left w:val="nil"/>
              <w:bottom w:val="nil"/>
              <w:right w:val="nil"/>
            </w:tcBorders>
          </w:tcPr>
          <w:p w14:paraId="6915441F" w14:textId="77777777" w:rsidR="0048282A" w:rsidRPr="00442034" w:rsidRDefault="0048282A" w:rsidP="00BE5E6D">
            <w:pPr>
              <w:tabs>
                <w:tab w:val="decimal" w:pos="611"/>
              </w:tabs>
              <w:rPr>
                <w:rFonts w:ascii="Times New Roman" w:hAnsi="Times New Roman" w:cs="Times New Roman"/>
                <w:sz w:val="20"/>
                <w:szCs w:val="20"/>
              </w:rPr>
            </w:pPr>
            <w:r w:rsidRPr="00442034">
              <w:rPr>
                <w:rFonts w:ascii="Times New Roman" w:hAnsi="Times New Roman" w:cs="Times New Roman"/>
                <w:sz w:val="20"/>
                <w:szCs w:val="20"/>
              </w:rPr>
              <w:t>-1.52 (1.45)</w:t>
            </w:r>
          </w:p>
        </w:tc>
      </w:tr>
      <w:tr w:rsidR="0048282A" w:rsidRPr="00442034" w14:paraId="2DAD44D6" w14:textId="77777777" w:rsidTr="00352747">
        <w:trPr>
          <w:trHeight w:val="315"/>
        </w:trPr>
        <w:tc>
          <w:tcPr>
            <w:tcW w:w="1708" w:type="dxa"/>
            <w:tcBorders>
              <w:top w:val="nil"/>
              <w:left w:val="nil"/>
              <w:bottom w:val="single" w:sz="4" w:space="0" w:color="auto"/>
              <w:right w:val="nil"/>
            </w:tcBorders>
          </w:tcPr>
          <w:p w14:paraId="7FE63C28"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Constant</w:t>
            </w:r>
          </w:p>
        </w:tc>
        <w:tc>
          <w:tcPr>
            <w:tcW w:w="1410" w:type="dxa"/>
            <w:tcBorders>
              <w:top w:val="nil"/>
              <w:left w:val="nil"/>
              <w:bottom w:val="single" w:sz="4" w:space="0" w:color="auto"/>
              <w:right w:val="nil"/>
            </w:tcBorders>
          </w:tcPr>
          <w:p w14:paraId="3E9ED287" w14:textId="77777777" w:rsidR="0048282A" w:rsidRPr="00442034" w:rsidRDefault="0048282A" w:rsidP="00BE5E6D">
            <w:pPr>
              <w:tabs>
                <w:tab w:val="decimal" w:pos="672"/>
              </w:tabs>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-1.30 (2.68)</w:t>
            </w:r>
          </w:p>
        </w:tc>
        <w:tc>
          <w:tcPr>
            <w:tcW w:w="1922" w:type="dxa"/>
            <w:tcBorders>
              <w:top w:val="nil"/>
              <w:left w:val="nil"/>
              <w:bottom w:val="single" w:sz="4" w:space="0" w:color="auto"/>
              <w:right w:val="nil"/>
            </w:tcBorders>
          </w:tcPr>
          <w:p w14:paraId="6DFF5297" w14:textId="77777777" w:rsidR="0048282A" w:rsidRPr="00442034" w:rsidRDefault="0048282A" w:rsidP="00BE5E6D">
            <w:pPr>
              <w:tabs>
                <w:tab w:val="decimal" w:pos="738"/>
              </w:tabs>
              <w:rPr>
                <w:rFonts w:ascii="Times New Roman" w:hAnsi="Times New Roman" w:cs="Times New Roman"/>
                <w:sz w:val="20"/>
                <w:szCs w:val="20"/>
                <w:vertAlign w:val="superscript"/>
              </w:rPr>
            </w:pPr>
            <w:r w:rsidRPr="00442034">
              <w:rPr>
                <w:rFonts w:ascii="Times New Roman" w:hAnsi="Times New Roman" w:cs="Times New Roman"/>
                <w:sz w:val="20"/>
                <w:szCs w:val="20"/>
              </w:rPr>
              <w:t>-3.86 (2.88)</w:t>
            </w:r>
          </w:p>
        </w:tc>
        <w:tc>
          <w:tcPr>
            <w:tcW w:w="1979" w:type="dxa"/>
            <w:tcBorders>
              <w:top w:val="nil"/>
              <w:left w:val="nil"/>
              <w:bottom w:val="single" w:sz="4" w:space="0" w:color="auto"/>
              <w:right w:val="nil"/>
            </w:tcBorders>
          </w:tcPr>
          <w:p w14:paraId="77106AFB" w14:textId="77777777" w:rsidR="0048282A" w:rsidRPr="00442034" w:rsidRDefault="0048282A" w:rsidP="00BE5E6D">
            <w:pPr>
              <w:tabs>
                <w:tab w:val="decimal" w:pos="613"/>
              </w:tabs>
              <w:rPr>
                <w:rFonts w:ascii="Times New Roman" w:hAnsi="Times New Roman" w:cs="Times New Roman"/>
                <w:sz w:val="20"/>
                <w:szCs w:val="20"/>
                <w:vertAlign w:val="superscript"/>
              </w:rPr>
            </w:pPr>
            <w:r w:rsidRPr="00442034">
              <w:rPr>
                <w:rFonts w:ascii="Times New Roman" w:hAnsi="Times New Roman" w:cs="Times New Roman"/>
                <w:sz w:val="20"/>
                <w:szCs w:val="20"/>
              </w:rPr>
              <w:t>1.85 (3.11)</w:t>
            </w:r>
          </w:p>
        </w:tc>
        <w:tc>
          <w:tcPr>
            <w:tcW w:w="2161" w:type="dxa"/>
            <w:tcBorders>
              <w:top w:val="nil"/>
              <w:left w:val="nil"/>
              <w:bottom w:val="single" w:sz="4" w:space="0" w:color="auto"/>
              <w:right w:val="nil"/>
            </w:tcBorders>
          </w:tcPr>
          <w:p w14:paraId="4BE51040" w14:textId="77777777" w:rsidR="0048282A" w:rsidRPr="00442034" w:rsidRDefault="0048282A" w:rsidP="00BE5E6D">
            <w:pPr>
              <w:tabs>
                <w:tab w:val="decimal" w:pos="611"/>
              </w:tabs>
              <w:rPr>
                <w:rFonts w:ascii="Times New Roman" w:hAnsi="Times New Roman" w:cs="Times New Roman"/>
                <w:sz w:val="20"/>
                <w:szCs w:val="20"/>
                <w:vertAlign w:val="superscript"/>
              </w:rPr>
            </w:pPr>
            <w:r w:rsidRPr="00442034">
              <w:rPr>
                <w:rFonts w:ascii="Times New Roman" w:hAnsi="Times New Roman" w:cs="Times New Roman"/>
                <w:sz w:val="20"/>
                <w:szCs w:val="20"/>
              </w:rPr>
              <w:t>-0.35 (3.63)</w:t>
            </w:r>
          </w:p>
        </w:tc>
      </w:tr>
      <w:tr w:rsidR="0048282A" w:rsidRPr="00442034" w14:paraId="18EDEB6C" w14:textId="77777777" w:rsidTr="00352747">
        <w:tc>
          <w:tcPr>
            <w:tcW w:w="1708" w:type="dxa"/>
            <w:tcBorders>
              <w:top w:val="single" w:sz="4" w:space="0" w:color="auto"/>
              <w:left w:val="nil"/>
              <w:bottom w:val="single" w:sz="4" w:space="0" w:color="auto"/>
              <w:right w:val="nil"/>
            </w:tcBorders>
          </w:tcPr>
          <w:p w14:paraId="6B369A8F"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Observations</w:t>
            </w:r>
          </w:p>
        </w:tc>
        <w:tc>
          <w:tcPr>
            <w:tcW w:w="1410" w:type="dxa"/>
            <w:tcBorders>
              <w:top w:val="single" w:sz="4" w:space="0" w:color="auto"/>
              <w:left w:val="nil"/>
              <w:bottom w:val="single" w:sz="4" w:space="0" w:color="auto"/>
              <w:right w:val="nil"/>
            </w:tcBorders>
          </w:tcPr>
          <w:p w14:paraId="28D45178" w14:textId="77777777" w:rsidR="0048282A" w:rsidRPr="00442034" w:rsidRDefault="0048282A" w:rsidP="00BE5E6D">
            <w:pPr>
              <w:tabs>
                <w:tab w:val="center" w:pos="646"/>
              </w:tabs>
              <w:jc w:val="center"/>
              <w:rPr>
                <w:rFonts w:ascii="Times New Roman" w:hAnsi="Times New Roman" w:cs="Times New Roman"/>
                <w:sz w:val="20"/>
                <w:szCs w:val="20"/>
              </w:rPr>
            </w:pPr>
            <w:r w:rsidRPr="00442034">
              <w:rPr>
                <w:rFonts w:ascii="Times New Roman" w:hAnsi="Times New Roman" w:cs="Times New Roman"/>
                <w:sz w:val="20"/>
                <w:szCs w:val="20"/>
              </w:rPr>
              <w:t>497</w:t>
            </w:r>
          </w:p>
        </w:tc>
        <w:tc>
          <w:tcPr>
            <w:tcW w:w="1922" w:type="dxa"/>
            <w:tcBorders>
              <w:top w:val="single" w:sz="4" w:space="0" w:color="auto"/>
              <w:left w:val="nil"/>
              <w:bottom w:val="single" w:sz="4" w:space="0" w:color="auto"/>
              <w:right w:val="nil"/>
            </w:tcBorders>
          </w:tcPr>
          <w:p w14:paraId="74462342"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497</w:t>
            </w:r>
          </w:p>
        </w:tc>
        <w:tc>
          <w:tcPr>
            <w:tcW w:w="1979" w:type="dxa"/>
            <w:tcBorders>
              <w:top w:val="single" w:sz="4" w:space="0" w:color="auto"/>
              <w:left w:val="nil"/>
              <w:bottom w:val="single" w:sz="4" w:space="0" w:color="auto"/>
              <w:right w:val="nil"/>
            </w:tcBorders>
          </w:tcPr>
          <w:p w14:paraId="41C3A3CC"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497</w:t>
            </w:r>
          </w:p>
        </w:tc>
        <w:tc>
          <w:tcPr>
            <w:tcW w:w="2161" w:type="dxa"/>
            <w:tcBorders>
              <w:top w:val="single" w:sz="4" w:space="0" w:color="auto"/>
              <w:left w:val="nil"/>
              <w:bottom w:val="single" w:sz="4" w:space="0" w:color="auto"/>
              <w:right w:val="nil"/>
            </w:tcBorders>
          </w:tcPr>
          <w:p w14:paraId="096F9684" w14:textId="77777777" w:rsidR="0048282A" w:rsidRPr="00442034" w:rsidRDefault="0048282A" w:rsidP="00BE5E6D">
            <w:pPr>
              <w:tabs>
                <w:tab w:val="left" w:pos="646"/>
              </w:tabs>
              <w:jc w:val="center"/>
              <w:rPr>
                <w:rFonts w:ascii="Times New Roman" w:hAnsi="Times New Roman" w:cs="Times New Roman"/>
                <w:sz w:val="20"/>
                <w:szCs w:val="20"/>
              </w:rPr>
            </w:pPr>
            <w:r w:rsidRPr="00442034">
              <w:rPr>
                <w:rFonts w:ascii="Times New Roman" w:hAnsi="Times New Roman" w:cs="Times New Roman"/>
                <w:sz w:val="20"/>
                <w:szCs w:val="20"/>
              </w:rPr>
              <w:t>497</w:t>
            </w:r>
          </w:p>
        </w:tc>
      </w:tr>
      <w:tr w:rsidR="0048282A" w:rsidRPr="00442034" w14:paraId="173AE181" w14:textId="77777777" w:rsidTr="00352747">
        <w:tc>
          <w:tcPr>
            <w:tcW w:w="9180" w:type="dxa"/>
            <w:gridSpan w:val="5"/>
            <w:tcBorders>
              <w:left w:val="nil"/>
              <w:bottom w:val="nil"/>
              <w:right w:val="nil"/>
            </w:tcBorders>
          </w:tcPr>
          <w:p w14:paraId="7A6D3AD0" w14:textId="77777777" w:rsidR="0048282A" w:rsidRPr="00442034" w:rsidRDefault="0048282A" w:rsidP="00BE5E6D">
            <w:pPr>
              <w:widowControl w:val="0"/>
              <w:autoSpaceDE w:val="0"/>
              <w:autoSpaceDN w:val="0"/>
              <w:adjustRightInd w:val="0"/>
              <w:rPr>
                <w:rFonts w:ascii="Times New Roman" w:hAnsi="Times New Roman" w:cs="Times New Roman"/>
                <w:sz w:val="20"/>
                <w:szCs w:val="20"/>
              </w:rPr>
            </w:pPr>
            <w:r w:rsidRPr="00442034">
              <w:rPr>
                <w:rFonts w:ascii="Times New Roman" w:hAnsi="Times New Roman" w:cs="Times New Roman"/>
                <w:sz w:val="20"/>
                <w:szCs w:val="20"/>
              </w:rPr>
              <w:t>Source: National Survey of Child and Adolescent Well-Being (NSCAW II)</w:t>
            </w:r>
          </w:p>
          <w:p w14:paraId="4B7640B0" w14:textId="77777777" w:rsidR="0048282A" w:rsidRPr="00442034" w:rsidRDefault="0048282A" w:rsidP="00BE5E6D">
            <w:pPr>
              <w:widowControl w:val="0"/>
              <w:autoSpaceDE w:val="0"/>
              <w:autoSpaceDN w:val="0"/>
              <w:adjustRightInd w:val="0"/>
              <w:rPr>
                <w:rFonts w:ascii="Times New Roman" w:hAnsi="Times New Roman" w:cs="Times New Roman"/>
                <w:sz w:val="20"/>
                <w:szCs w:val="20"/>
              </w:rPr>
            </w:pPr>
            <w:r w:rsidRPr="00442034">
              <w:rPr>
                <w:rFonts w:ascii="Times New Roman" w:hAnsi="Times New Roman" w:cs="Times New Roman"/>
                <w:sz w:val="20"/>
                <w:szCs w:val="20"/>
              </w:rPr>
              <w:t>Standard errors in parentheses</w:t>
            </w:r>
          </w:p>
          <w:p w14:paraId="129C74D6" w14:textId="77777777" w:rsidR="0048282A" w:rsidRPr="00442034" w:rsidRDefault="0048282A" w:rsidP="00BE5E6D">
            <w:pPr>
              <w:tabs>
                <w:tab w:val="left" w:pos="646"/>
              </w:tabs>
              <w:rPr>
                <w:rFonts w:ascii="Times New Roman" w:hAnsi="Times New Roman" w:cs="Times New Roman"/>
                <w:sz w:val="20"/>
                <w:szCs w:val="20"/>
              </w:rPr>
            </w:pP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0.10,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0.05,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0.01,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0.001</w:t>
            </w:r>
          </w:p>
        </w:tc>
      </w:tr>
    </w:tbl>
    <w:p w14:paraId="4BB7671B" w14:textId="56AF505E" w:rsidR="0048282A" w:rsidRPr="00442034" w:rsidRDefault="0048282A" w:rsidP="00442034">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lastRenderedPageBreak/>
        <w:t xml:space="preserve">Table 5 includes the interaction effects of peer support and relationship with caregiver for expectations for getting married by twenty-five. We found no significant differences for LGBQ youth across models, and our main effect of relationship with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was also not significant. The main effect of peer support was marginally significant for a 50-50 chance of marriage by twenty-five (</w:t>
      </w:r>
      <w:r w:rsidRPr="00442034">
        <w:rPr>
          <w:rFonts w:ascii="Times New Roman" w:hAnsi="Times New Roman" w:cs="Times New Roman"/>
          <w:sz w:val="24"/>
          <w:szCs w:val="24"/>
        </w:rPr>
        <w:sym w:font="Symbol" w:char="F062"/>
      </w:r>
      <w:r w:rsidRPr="00442034">
        <w:rPr>
          <w:rFonts w:ascii="Times New Roman" w:hAnsi="Times New Roman" w:cs="Times New Roman"/>
          <w:sz w:val="24"/>
          <w:szCs w:val="24"/>
        </w:rPr>
        <w:t xml:space="preserve"> = 0.035</w:t>
      </w:r>
      <w:r w:rsidR="004D4551" w:rsidRPr="00442034">
        <w:rPr>
          <w:rFonts w:ascii="Times New Roman" w:hAnsi="Times New Roman" w:cs="Times New Roman"/>
          <w:sz w:val="24"/>
          <w:szCs w:val="24"/>
        </w:rPr>
        <w:t xml:space="preserve">, </w:t>
      </w:r>
      <w:r w:rsidR="004D4551" w:rsidRPr="00442034">
        <w:rPr>
          <w:rFonts w:ascii="Times New Roman" w:hAnsi="Times New Roman" w:cs="Times New Roman"/>
          <w:i/>
          <w:iCs/>
          <w:sz w:val="24"/>
          <w:szCs w:val="24"/>
        </w:rPr>
        <w:t>p</w:t>
      </w:r>
      <w:r w:rsidRPr="00442034">
        <w:rPr>
          <w:rFonts w:ascii="Times New Roman" w:hAnsi="Times New Roman" w:cs="Times New Roman"/>
          <w:sz w:val="24"/>
          <w:szCs w:val="24"/>
        </w:rPr>
        <w:t xml:space="preserve"> &lt; .10) and significant for </w:t>
      </w:r>
      <w:proofErr w:type="gramStart"/>
      <w:r w:rsidRPr="00442034">
        <w:rPr>
          <w:rFonts w:ascii="Times New Roman" w:hAnsi="Times New Roman" w:cs="Times New Roman"/>
          <w:sz w:val="24"/>
          <w:szCs w:val="24"/>
        </w:rPr>
        <w:t>pretty likely</w:t>
      </w:r>
      <w:proofErr w:type="gramEnd"/>
      <w:r w:rsidRPr="00442034">
        <w:rPr>
          <w:rFonts w:ascii="Times New Roman" w:hAnsi="Times New Roman" w:cs="Times New Roman"/>
          <w:sz w:val="24"/>
          <w:szCs w:val="24"/>
        </w:rPr>
        <w:t xml:space="preserve"> chances (</w:t>
      </w:r>
      <w:r w:rsidRPr="00442034">
        <w:rPr>
          <w:rFonts w:ascii="Times New Roman" w:hAnsi="Times New Roman" w:cs="Times New Roman"/>
          <w:sz w:val="24"/>
          <w:szCs w:val="24"/>
        </w:rPr>
        <w:sym w:font="Symbol" w:char="F062"/>
      </w:r>
      <w:r w:rsidRPr="00442034">
        <w:rPr>
          <w:rFonts w:ascii="Times New Roman" w:hAnsi="Times New Roman" w:cs="Times New Roman"/>
          <w:sz w:val="24"/>
          <w:szCs w:val="24"/>
        </w:rPr>
        <w:t xml:space="preserve"> = 0.040,</w:t>
      </w:r>
      <w:r w:rsidRPr="00442034">
        <w:rPr>
          <w:rFonts w:ascii="Times New Roman" w:hAnsi="Times New Roman" w:cs="Times New Roman"/>
          <w:i/>
          <w:iCs/>
          <w:sz w:val="24"/>
          <w:szCs w:val="24"/>
        </w:rPr>
        <w:t xml:space="preserve"> p</w:t>
      </w:r>
      <w:r w:rsidRPr="00442034">
        <w:rPr>
          <w:rFonts w:ascii="Times New Roman" w:hAnsi="Times New Roman" w:cs="Times New Roman"/>
          <w:sz w:val="24"/>
          <w:szCs w:val="24"/>
        </w:rPr>
        <w:t xml:space="preserve"> &lt; .05) compared to no chance, indicating that as peer support increased for these youth, so did their expectations for marriage. Our interaction terms were not significant. We again see that females had significantly lower log odds for expectations for marriage compared to males.</w:t>
      </w:r>
    </w:p>
    <w:tbl>
      <w:tblPr>
        <w:tblStyle w:val="TableGrid"/>
        <w:tblW w:w="9180" w:type="dxa"/>
        <w:tblLook w:val="04A0" w:firstRow="1" w:lastRow="0" w:firstColumn="1" w:lastColumn="0" w:noHBand="0" w:noVBand="1"/>
      </w:tblPr>
      <w:tblGrid>
        <w:gridCol w:w="1980"/>
        <w:gridCol w:w="1350"/>
        <w:gridCol w:w="1980"/>
        <w:gridCol w:w="1620"/>
        <w:gridCol w:w="2250"/>
      </w:tblGrid>
      <w:tr w:rsidR="0048282A" w:rsidRPr="00442034" w14:paraId="238B9669" w14:textId="77777777" w:rsidTr="00352747">
        <w:tc>
          <w:tcPr>
            <w:tcW w:w="9180" w:type="dxa"/>
            <w:gridSpan w:val="5"/>
            <w:tcBorders>
              <w:top w:val="nil"/>
              <w:left w:val="nil"/>
              <w:bottom w:val="single" w:sz="4" w:space="0" w:color="auto"/>
              <w:right w:val="nil"/>
            </w:tcBorders>
          </w:tcPr>
          <w:p w14:paraId="55FB44CF" w14:textId="77777777" w:rsidR="0048282A" w:rsidRPr="00442034" w:rsidRDefault="0048282A" w:rsidP="00BE5E6D">
            <w:pPr>
              <w:rPr>
                <w:rFonts w:ascii="Times New Roman" w:hAnsi="Times New Roman" w:cs="Times New Roman"/>
                <w:b/>
                <w:bCs/>
                <w:sz w:val="20"/>
                <w:szCs w:val="20"/>
              </w:rPr>
            </w:pPr>
            <w:r w:rsidRPr="00442034">
              <w:rPr>
                <w:rFonts w:ascii="Times New Roman" w:hAnsi="Times New Roman" w:cs="Times New Roman"/>
                <w:b/>
                <w:bCs/>
                <w:sz w:val="20"/>
                <w:szCs w:val="20"/>
              </w:rPr>
              <w:t>Table 5. Interaction Effects Multinomial Logistic Regression of Expectations for Getting Married by Twenty-Five on Sexual Orientation, Peer Support, and Relationship with Caregiver Compared to No Chance</w:t>
            </w:r>
          </w:p>
        </w:tc>
      </w:tr>
      <w:tr w:rsidR="0048282A" w:rsidRPr="00442034" w14:paraId="456BBD37" w14:textId="77777777" w:rsidTr="00352747">
        <w:tc>
          <w:tcPr>
            <w:tcW w:w="1980" w:type="dxa"/>
            <w:tcBorders>
              <w:left w:val="nil"/>
              <w:bottom w:val="single" w:sz="4" w:space="0" w:color="auto"/>
              <w:right w:val="nil"/>
            </w:tcBorders>
          </w:tcPr>
          <w:p w14:paraId="3D16127C" w14:textId="77777777" w:rsidR="0048282A" w:rsidRPr="00442034" w:rsidRDefault="0048282A" w:rsidP="00BE5E6D">
            <w:pPr>
              <w:rPr>
                <w:rFonts w:ascii="Times New Roman" w:hAnsi="Times New Roman" w:cs="Times New Roman"/>
                <w:sz w:val="20"/>
                <w:szCs w:val="20"/>
              </w:rPr>
            </w:pPr>
          </w:p>
        </w:tc>
        <w:tc>
          <w:tcPr>
            <w:tcW w:w="1350" w:type="dxa"/>
            <w:tcBorders>
              <w:left w:val="nil"/>
              <w:bottom w:val="single" w:sz="4" w:space="0" w:color="auto"/>
              <w:right w:val="nil"/>
            </w:tcBorders>
          </w:tcPr>
          <w:p w14:paraId="12CFFEC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Some Chance</w:t>
            </w:r>
          </w:p>
          <w:p w14:paraId="506F03EB" w14:textId="77777777" w:rsidR="0048282A" w:rsidRPr="00442034" w:rsidRDefault="0048282A" w:rsidP="00BE5E6D">
            <w:pPr>
              <w:jc w:val="center"/>
              <w:rPr>
                <w:rFonts w:ascii="Times New Roman" w:hAnsi="Times New Roman" w:cs="Times New Roman"/>
                <w:i/>
                <w:iCs/>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1980" w:type="dxa"/>
            <w:tcBorders>
              <w:left w:val="nil"/>
              <w:bottom w:val="single" w:sz="4" w:space="0" w:color="auto"/>
              <w:right w:val="nil"/>
            </w:tcBorders>
          </w:tcPr>
          <w:p w14:paraId="4DF63B7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About 50-50</w:t>
            </w:r>
          </w:p>
          <w:p w14:paraId="7A54300D"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1620" w:type="dxa"/>
            <w:tcBorders>
              <w:left w:val="nil"/>
              <w:bottom w:val="single" w:sz="4" w:space="0" w:color="auto"/>
              <w:right w:val="nil"/>
            </w:tcBorders>
          </w:tcPr>
          <w:p w14:paraId="0AC44B2D"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Pretty Likely</w:t>
            </w:r>
          </w:p>
          <w:p w14:paraId="2784B8C5"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2250" w:type="dxa"/>
            <w:tcBorders>
              <w:left w:val="nil"/>
              <w:bottom w:val="single" w:sz="4" w:space="0" w:color="auto"/>
              <w:right w:val="nil"/>
            </w:tcBorders>
          </w:tcPr>
          <w:p w14:paraId="29B1129E"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It Will Happen</w:t>
            </w:r>
          </w:p>
          <w:p w14:paraId="092401F5"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r>
      <w:tr w:rsidR="0048282A" w:rsidRPr="00442034" w14:paraId="4E399E19" w14:textId="77777777" w:rsidTr="00352747">
        <w:tc>
          <w:tcPr>
            <w:tcW w:w="1980" w:type="dxa"/>
            <w:tcBorders>
              <w:top w:val="single" w:sz="4" w:space="0" w:color="auto"/>
              <w:left w:val="nil"/>
              <w:bottom w:val="nil"/>
              <w:right w:val="nil"/>
            </w:tcBorders>
          </w:tcPr>
          <w:p w14:paraId="5146BD13"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LGBQ Youth</w:t>
            </w:r>
          </w:p>
        </w:tc>
        <w:tc>
          <w:tcPr>
            <w:tcW w:w="1350" w:type="dxa"/>
            <w:tcBorders>
              <w:top w:val="single" w:sz="4" w:space="0" w:color="auto"/>
              <w:left w:val="nil"/>
              <w:bottom w:val="nil"/>
              <w:right w:val="nil"/>
            </w:tcBorders>
          </w:tcPr>
          <w:p w14:paraId="21D0506E"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1.30 (3.61)</w:t>
            </w:r>
          </w:p>
        </w:tc>
        <w:tc>
          <w:tcPr>
            <w:tcW w:w="1980" w:type="dxa"/>
            <w:tcBorders>
              <w:top w:val="single" w:sz="4" w:space="0" w:color="auto"/>
              <w:left w:val="nil"/>
              <w:bottom w:val="nil"/>
              <w:right w:val="nil"/>
            </w:tcBorders>
          </w:tcPr>
          <w:p w14:paraId="4FAA4D39"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0.23 (3.50)</w:t>
            </w:r>
          </w:p>
        </w:tc>
        <w:tc>
          <w:tcPr>
            <w:tcW w:w="1620" w:type="dxa"/>
            <w:tcBorders>
              <w:top w:val="single" w:sz="4" w:space="0" w:color="auto"/>
              <w:left w:val="nil"/>
              <w:bottom w:val="nil"/>
              <w:right w:val="nil"/>
            </w:tcBorders>
          </w:tcPr>
          <w:p w14:paraId="5361659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-1.50 (4.22)</w:t>
            </w:r>
          </w:p>
        </w:tc>
        <w:tc>
          <w:tcPr>
            <w:tcW w:w="2250" w:type="dxa"/>
            <w:tcBorders>
              <w:top w:val="single" w:sz="4" w:space="0" w:color="auto"/>
              <w:left w:val="nil"/>
              <w:bottom w:val="nil"/>
              <w:right w:val="nil"/>
            </w:tcBorders>
          </w:tcPr>
          <w:p w14:paraId="5A8227B1"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-1.40 (4.81)</w:t>
            </w:r>
          </w:p>
        </w:tc>
      </w:tr>
      <w:tr w:rsidR="0048282A" w:rsidRPr="00442034" w14:paraId="2DB4C5D7" w14:textId="77777777" w:rsidTr="00352747">
        <w:tc>
          <w:tcPr>
            <w:tcW w:w="1980" w:type="dxa"/>
            <w:tcBorders>
              <w:top w:val="nil"/>
              <w:left w:val="nil"/>
              <w:bottom w:val="nil"/>
              <w:right w:val="nil"/>
            </w:tcBorders>
          </w:tcPr>
          <w:p w14:paraId="1372F509"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Peer Support</w:t>
            </w:r>
          </w:p>
        </w:tc>
        <w:tc>
          <w:tcPr>
            <w:tcW w:w="1350" w:type="dxa"/>
            <w:tcBorders>
              <w:top w:val="nil"/>
              <w:left w:val="nil"/>
              <w:bottom w:val="nil"/>
              <w:right w:val="nil"/>
            </w:tcBorders>
          </w:tcPr>
          <w:p w14:paraId="3C2F067A"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0.019 (.02)</w:t>
            </w:r>
          </w:p>
        </w:tc>
        <w:tc>
          <w:tcPr>
            <w:tcW w:w="1980" w:type="dxa"/>
            <w:tcBorders>
              <w:top w:val="nil"/>
              <w:left w:val="nil"/>
              <w:bottom w:val="nil"/>
              <w:right w:val="nil"/>
            </w:tcBorders>
          </w:tcPr>
          <w:p w14:paraId="7318569A"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0.035 (.02)</w:t>
            </w:r>
            <w:r w:rsidRPr="00442034">
              <w:rPr>
                <w:rFonts w:ascii="Times New Roman" w:hAnsi="Times New Roman" w:cs="Times New Roman"/>
                <w:sz w:val="20"/>
                <w:szCs w:val="20"/>
                <w:vertAlign w:val="superscript"/>
              </w:rPr>
              <w:t xml:space="preserve"> †</w:t>
            </w:r>
          </w:p>
        </w:tc>
        <w:tc>
          <w:tcPr>
            <w:tcW w:w="1620" w:type="dxa"/>
            <w:tcBorders>
              <w:top w:val="nil"/>
              <w:left w:val="nil"/>
              <w:bottom w:val="nil"/>
              <w:right w:val="nil"/>
            </w:tcBorders>
          </w:tcPr>
          <w:p w14:paraId="07BF3B73"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0.040 (.</w:t>
            </w:r>
            <w:proofErr w:type="gramStart"/>
            <w:r w:rsidRPr="00442034">
              <w:rPr>
                <w:rFonts w:ascii="Times New Roman" w:hAnsi="Times New Roman" w:cs="Times New Roman"/>
                <w:sz w:val="20"/>
                <w:szCs w:val="20"/>
              </w:rPr>
              <w:t>02)</w:t>
            </w:r>
            <w:r w:rsidRPr="00442034">
              <w:rPr>
                <w:rFonts w:ascii="Times New Roman" w:hAnsi="Times New Roman" w:cs="Times New Roman"/>
                <w:sz w:val="20"/>
                <w:szCs w:val="20"/>
                <w:vertAlign w:val="superscript"/>
              </w:rPr>
              <w:t>*</w:t>
            </w:r>
            <w:proofErr w:type="gramEnd"/>
          </w:p>
        </w:tc>
        <w:tc>
          <w:tcPr>
            <w:tcW w:w="2250" w:type="dxa"/>
            <w:tcBorders>
              <w:top w:val="nil"/>
              <w:left w:val="nil"/>
              <w:bottom w:val="nil"/>
              <w:right w:val="nil"/>
            </w:tcBorders>
          </w:tcPr>
          <w:p w14:paraId="4E5854A9"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0.021 (.02)</w:t>
            </w:r>
          </w:p>
        </w:tc>
      </w:tr>
      <w:tr w:rsidR="0048282A" w:rsidRPr="00442034" w14:paraId="7C35EB78" w14:textId="77777777" w:rsidTr="00352747">
        <w:tc>
          <w:tcPr>
            <w:tcW w:w="1980" w:type="dxa"/>
            <w:tcBorders>
              <w:top w:val="nil"/>
              <w:left w:val="nil"/>
              <w:bottom w:val="nil"/>
              <w:right w:val="nil"/>
            </w:tcBorders>
          </w:tcPr>
          <w:p w14:paraId="0B1698E8" w14:textId="77777777" w:rsidR="0048282A" w:rsidRPr="00442034" w:rsidRDefault="0048282A" w:rsidP="00BE5E6D">
            <w:pPr>
              <w:ind w:left="66" w:hanging="66"/>
              <w:rPr>
                <w:rFonts w:ascii="Times New Roman" w:hAnsi="Times New Roman" w:cs="Times New Roman"/>
                <w:sz w:val="20"/>
                <w:szCs w:val="20"/>
              </w:rPr>
            </w:pPr>
            <w:r w:rsidRPr="00442034">
              <w:rPr>
                <w:rFonts w:ascii="Times New Roman" w:hAnsi="Times New Roman" w:cs="Times New Roman"/>
                <w:sz w:val="20"/>
                <w:szCs w:val="20"/>
              </w:rPr>
              <w:t>Relationship with Caregiver</w:t>
            </w:r>
          </w:p>
        </w:tc>
        <w:tc>
          <w:tcPr>
            <w:tcW w:w="1350" w:type="dxa"/>
            <w:tcBorders>
              <w:top w:val="nil"/>
              <w:left w:val="nil"/>
              <w:bottom w:val="nil"/>
              <w:right w:val="nil"/>
            </w:tcBorders>
          </w:tcPr>
          <w:p w14:paraId="7CF4C0EA"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-0.012 (.04)</w:t>
            </w:r>
          </w:p>
        </w:tc>
        <w:tc>
          <w:tcPr>
            <w:tcW w:w="1980" w:type="dxa"/>
            <w:tcBorders>
              <w:top w:val="nil"/>
              <w:left w:val="nil"/>
              <w:bottom w:val="nil"/>
              <w:right w:val="nil"/>
            </w:tcBorders>
          </w:tcPr>
          <w:p w14:paraId="5499B988"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-0.017 (.03)</w:t>
            </w:r>
          </w:p>
        </w:tc>
        <w:tc>
          <w:tcPr>
            <w:tcW w:w="1620" w:type="dxa"/>
            <w:tcBorders>
              <w:top w:val="nil"/>
              <w:left w:val="nil"/>
              <w:bottom w:val="nil"/>
              <w:right w:val="nil"/>
            </w:tcBorders>
          </w:tcPr>
          <w:p w14:paraId="286F7F3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-0.0015 (.04)</w:t>
            </w:r>
          </w:p>
        </w:tc>
        <w:tc>
          <w:tcPr>
            <w:tcW w:w="2250" w:type="dxa"/>
            <w:tcBorders>
              <w:top w:val="nil"/>
              <w:left w:val="nil"/>
              <w:bottom w:val="nil"/>
              <w:right w:val="nil"/>
            </w:tcBorders>
          </w:tcPr>
          <w:p w14:paraId="5870D8B1"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0.011 (.04)</w:t>
            </w:r>
          </w:p>
        </w:tc>
      </w:tr>
      <w:tr w:rsidR="0048282A" w:rsidRPr="00442034" w14:paraId="1252EB7C" w14:textId="77777777" w:rsidTr="00352747">
        <w:tc>
          <w:tcPr>
            <w:tcW w:w="1980" w:type="dxa"/>
            <w:tcBorders>
              <w:top w:val="nil"/>
              <w:left w:val="nil"/>
              <w:bottom w:val="nil"/>
              <w:right w:val="nil"/>
            </w:tcBorders>
          </w:tcPr>
          <w:p w14:paraId="3B974D62" w14:textId="77777777" w:rsidR="0048282A" w:rsidRPr="00442034" w:rsidRDefault="0048282A" w:rsidP="00BE5E6D">
            <w:pPr>
              <w:rPr>
                <w:rFonts w:ascii="Times New Roman" w:hAnsi="Times New Roman" w:cs="Times New Roman"/>
                <w:i/>
                <w:iCs/>
                <w:sz w:val="20"/>
                <w:szCs w:val="20"/>
              </w:rPr>
            </w:pPr>
            <w:r w:rsidRPr="00442034">
              <w:rPr>
                <w:rFonts w:ascii="Times New Roman" w:hAnsi="Times New Roman" w:cs="Times New Roman"/>
                <w:i/>
                <w:iCs/>
                <w:sz w:val="20"/>
                <w:szCs w:val="20"/>
              </w:rPr>
              <w:t>Interaction Terms</w:t>
            </w:r>
          </w:p>
        </w:tc>
        <w:tc>
          <w:tcPr>
            <w:tcW w:w="1350" w:type="dxa"/>
            <w:tcBorders>
              <w:top w:val="nil"/>
              <w:left w:val="nil"/>
              <w:bottom w:val="nil"/>
              <w:right w:val="nil"/>
            </w:tcBorders>
          </w:tcPr>
          <w:p w14:paraId="36808CEE" w14:textId="77777777" w:rsidR="0048282A" w:rsidRPr="00442034" w:rsidRDefault="0048282A" w:rsidP="00BE5E6D">
            <w:pPr>
              <w:rPr>
                <w:rFonts w:ascii="Times New Roman" w:hAnsi="Times New Roman" w:cs="Times New Roman"/>
                <w:sz w:val="20"/>
                <w:szCs w:val="20"/>
              </w:rPr>
            </w:pPr>
          </w:p>
        </w:tc>
        <w:tc>
          <w:tcPr>
            <w:tcW w:w="1980" w:type="dxa"/>
            <w:tcBorders>
              <w:top w:val="nil"/>
              <w:left w:val="nil"/>
              <w:bottom w:val="nil"/>
              <w:right w:val="nil"/>
            </w:tcBorders>
          </w:tcPr>
          <w:p w14:paraId="7CAB689D" w14:textId="77777777" w:rsidR="0048282A" w:rsidRPr="00442034" w:rsidRDefault="0048282A" w:rsidP="00BE5E6D">
            <w:pPr>
              <w:jc w:val="center"/>
              <w:rPr>
                <w:rFonts w:ascii="Times New Roman" w:hAnsi="Times New Roman" w:cs="Times New Roman"/>
                <w:sz w:val="20"/>
                <w:szCs w:val="20"/>
              </w:rPr>
            </w:pPr>
          </w:p>
        </w:tc>
        <w:tc>
          <w:tcPr>
            <w:tcW w:w="1620" w:type="dxa"/>
            <w:tcBorders>
              <w:top w:val="nil"/>
              <w:left w:val="nil"/>
              <w:bottom w:val="nil"/>
              <w:right w:val="nil"/>
            </w:tcBorders>
          </w:tcPr>
          <w:p w14:paraId="56D94D4A" w14:textId="77777777" w:rsidR="0048282A" w:rsidRPr="00442034" w:rsidRDefault="0048282A" w:rsidP="00BE5E6D">
            <w:pPr>
              <w:jc w:val="center"/>
              <w:rPr>
                <w:rFonts w:ascii="Times New Roman" w:hAnsi="Times New Roman" w:cs="Times New Roman"/>
                <w:sz w:val="20"/>
                <w:szCs w:val="20"/>
              </w:rPr>
            </w:pPr>
          </w:p>
        </w:tc>
        <w:tc>
          <w:tcPr>
            <w:tcW w:w="2250" w:type="dxa"/>
            <w:tcBorders>
              <w:top w:val="nil"/>
              <w:left w:val="nil"/>
              <w:bottom w:val="nil"/>
              <w:right w:val="nil"/>
            </w:tcBorders>
          </w:tcPr>
          <w:p w14:paraId="6976EC44" w14:textId="77777777" w:rsidR="0048282A" w:rsidRPr="00442034" w:rsidRDefault="0048282A" w:rsidP="00BE5E6D">
            <w:pPr>
              <w:jc w:val="center"/>
              <w:rPr>
                <w:rFonts w:ascii="Times New Roman" w:hAnsi="Times New Roman" w:cs="Times New Roman"/>
                <w:sz w:val="20"/>
                <w:szCs w:val="20"/>
              </w:rPr>
            </w:pPr>
          </w:p>
        </w:tc>
      </w:tr>
      <w:tr w:rsidR="0048282A" w:rsidRPr="00442034" w14:paraId="286667F8" w14:textId="77777777" w:rsidTr="00352747">
        <w:tc>
          <w:tcPr>
            <w:tcW w:w="1980" w:type="dxa"/>
            <w:tcBorders>
              <w:top w:val="nil"/>
              <w:left w:val="nil"/>
              <w:bottom w:val="nil"/>
              <w:right w:val="nil"/>
            </w:tcBorders>
          </w:tcPr>
          <w:p w14:paraId="1220B46A"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LGBQ Youth * Peer Support</w:t>
            </w:r>
          </w:p>
        </w:tc>
        <w:tc>
          <w:tcPr>
            <w:tcW w:w="1350" w:type="dxa"/>
            <w:tcBorders>
              <w:top w:val="nil"/>
              <w:left w:val="nil"/>
              <w:bottom w:val="nil"/>
              <w:right w:val="nil"/>
            </w:tcBorders>
          </w:tcPr>
          <w:p w14:paraId="0BB5FB1C"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-0.016 (.05)</w:t>
            </w:r>
          </w:p>
        </w:tc>
        <w:tc>
          <w:tcPr>
            <w:tcW w:w="1980" w:type="dxa"/>
            <w:tcBorders>
              <w:top w:val="nil"/>
              <w:left w:val="nil"/>
              <w:bottom w:val="nil"/>
              <w:right w:val="nil"/>
            </w:tcBorders>
          </w:tcPr>
          <w:p w14:paraId="5F6F284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-0.0047 (.04)</w:t>
            </w:r>
          </w:p>
        </w:tc>
        <w:tc>
          <w:tcPr>
            <w:tcW w:w="1620" w:type="dxa"/>
            <w:tcBorders>
              <w:top w:val="nil"/>
              <w:left w:val="nil"/>
              <w:bottom w:val="nil"/>
              <w:right w:val="nil"/>
            </w:tcBorders>
          </w:tcPr>
          <w:p w14:paraId="46691418"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0.016 (.06)</w:t>
            </w:r>
          </w:p>
        </w:tc>
        <w:tc>
          <w:tcPr>
            <w:tcW w:w="2250" w:type="dxa"/>
            <w:tcBorders>
              <w:top w:val="nil"/>
              <w:left w:val="nil"/>
              <w:bottom w:val="nil"/>
              <w:right w:val="nil"/>
            </w:tcBorders>
          </w:tcPr>
          <w:p w14:paraId="4834B09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0.023 (.06)</w:t>
            </w:r>
          </w:p>
        </w:tc>
      </w:tr>
      <w:tr w:rsidR="0048282A" w:rsidRPr="00442034" w14:paraId="44333E4A" w14:textId="77777777" w:rsidTr="00352747">
        <w:tc>
          <w:tcPr>
            <w:tcW w:w="1980" w:type="dxa"/>
            <w:tcBorders>
              <w:top w:val="nil"/>
              <w:left w:val="nil"/>
              <w:bottom w:val="nil"/>
              <w:right w:val="nil"/>
            </w:tcBorders>
          </w:tcPr>
          <w:p w14:paraId="7BAF5EE5"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LGBQ Youth * Relationship with Caregiver</w:t>
            </w:r>
          </w:p>
        </w:tc>
        <w:tc>
          <w:tcPr>
            <w:tcW w:w="1350" w:type="dxa"/>
            <w:tcBorders>
              <w:top w:val="nil"/>
              <w:left w:val="nil"/>
              <w:bottom w:val="nil"/>
              <w:right w:val="nil"/>
            </w:tcBorders>
          </w:tcPr>
          <w:p w14:paraId="11D8742D"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-0.015 (.08)</w:t>
            </w:r>
          </w:p>
        </w:tc>
        <w:tc>
          <w:tcPr>
            <w:tcW w:w="1980" w:type="dxa"/>
            <w:tcBorders>
              <w:top w:val="nil"/>
              <w:left w:val="nil"/>
              <w:bottom w:val="nil"/>
              <w:right w:val="nil"/>
            </w:tcBorders>
          </w:tcPr>
          <w:p w14:paraId="37ED94ED"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-0.0069 (.07)</w:t>
            </w:r>
          </w:p>
        </w:tc>
        <w:tc>
          <w:tcPr>
            <w:tcW w:w="1620" w:type="dxa"/>
            <w:tcBorders>
              <w:top w:val="nil"/>
              <w:left w:val="nil"/>
              <w:bottom w:val="nil"/>
              <w:right w:val="nil"/>
            </w:tcBorders>
          </w:tcPr>
          <w:p w14:paraId="307712E1"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-0.0062 (.08)</w:t>
            </w:r>
          </w:p>
        </w:tc>
        <w:tc>
          <w:tcPr>
            <w:tcW w:w="2250" w:type="dxa"/>
            <w:tcBorders>
              <w:top w:val="nil"/>
              <w:left w:val="nil"/>
              <w:bottom w:val="nil"/>
              <w:right w:val="nil"/>
            </w:tcBorders>
          </w:tcPr>
          <w:p w14:paraId="631BFFDA"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-0.0045 (.10)</w:t>
            </w:r>
          </w:p>
        </w:tc>
      </w:tr>
      <w:tr w:rsidR="0048282A" w:rsidRPr="00442034" w14:paraId="29192F13" w14:textId="77777777" w:rsidTr="00352747">
        <w:tc>
          <w:tcPr>
            <w:tcW w:w="1980" w:type="dxa"/>
            <w:tcBorders>
              <w:top w:val="nil"/>
              <w:left w:val="nil"/>
              <w:bottom w:val="nil"/>
              <w:right w:val="nil"/>
            </w:tcBorders>
          </w:tcPr>
          <w:p w14:paraId="7CE96C87" w14:textId="77777777" w:rsidR="0048282A" w:rsidRPr="00442034" w:rsidRDefault="0048282A" w:rsidP="00BE5E6D">
            <w:pPr>
              <w:rPr>
                <w:rFonts w:ascii="Times New Roman" w:hAnsi="Times New Roman" w:cs="Times New Roman"/>
                <w:i/>
                <w:iCs/>
                <w:sz w:val="20"/>
                <w:szCs w:val="20"/>
              </w:rPr>
            </w:pPr>
            <w:r w:rsidRPr="00442034">
              <w:rPr>
                <w:rFonts w:ascii="Times New Roman" w:hAnsi="Times New Roman" w:cs="Times New Roman"/>
                <w:i/>
                <w:iCs/>
                <w:sz w:val="20"/>
                <w:szCs w:val="20"/>
              </w:rPr>
              <w:t>Controls</w:t>
            </w:r>
          </w:p>
        </w:tc>
        <w:tc>
          <w:tcPr>
            <w:tcW w:w="1350" w:type="dxa"/>
            <w:tcBorders>
              <w:top w:val="nil"/>
              <w:left w:val="nil"/>
              <w:bottom w:val="nil"/>
              <w:right w:val="nil"/>
            </w:tcBorders>
          </w:tcPr>
          <w:p w14:paraId="21F57A78" w14:textId="77777777" w:rsidR="0048282A" w:rsidRPr="00442034" w:rsidRDefault="0048282A" w:rsidP="00BE5E6D">
            <w:pPr>
              <w:rPr>
                <w:rFonts w:ascii="Times New Roman" w:hAnsi="Times New Roman" w:cs="Times New Roman"/>
                <w:sz w:val="20"/>
                <w:szCs w:val="20"/>
              </w:rPr>
            </w:pPr>
          </w:p>
        </w:tc>
        <w:tc>
          <w:tcPr>
            <w:tcW w:w="1980" w:type="dxa"/>
            <w:tcBorders>
              <w:top w:val="nil"/>
              <w:left w:val="nil"/>
              <w:bottom w:val="nil"/>
              <w:right w:val="nil"/>
            </w:tcBorders>
          </w:tcPr>
          <w:p w14:paraId="616817FF" w14:textId="77777777" w:rsidR="0048282A" w:rsidRPr="00442034" w:rsidRDefault="0048282A" w:rsidP="00BE5E6D">
            <w:pPr>
              <w:jc w:val="center"/>
              <w:rPr>
                <w:rFonts w:ascii="Times New Roman" w:hAnsi="Times New Roman" w:cs="Times New Roman"/>
                <w:sz w:val="20"/>
                <w:szCs w:val="20"/>
              </w:rPr>
            </w:pPr>
          </w:p>
        </w:tc>
        <w:tc>
          <w:tcPr>
            <w:tcW w:w="1620" w:type="dxa"/>
            <w:tcBorders>
              <w:top w:val="nil"/>
              <w:left w:val="nil"/>
              <w:bottom w:val="nil"/>
              <w:right w:val="nil"/>
            </w:tcBorders>
          </w:tcPr>
          <w:p w14:paraId="716D79A2" w14:textId="77777777" w:rsidR="0048282A" w:rsidRPr="00442034" w:rsidRDefault="0048282A" w:rsidP="00BE5E6D">
            <w:pPr>
              <w:jc w:val="center"/>
              <w:rPr>
                <w:rFonts w:ascii="Times New Roman" w:hAnsi="Times New Roman" w:cs="Times New Roman"/>
                <w:sz w:val="20"/>
                <w:szCs w:val="20"/>
              </w:rPr>
            </w:pPr>
          </w:p>
        </w:tc>
        <w:tc>
          <w:tcPr>
            <w:tcW w:w="2250" w:type="dxa"/>
            <w:tcBorders>
              <w:top w:val="nil"/>
              <w:left w:val="nil"/>
              <w:bottom w:val="nil"/>
              <w:right w:val="nil"/>
            </w:tcBorders>
          </w:tcPr>
          <w:p w14:paraId="0FE0408E" w14:textId="77777777" w:rsidR="0048282A" w:rsidRPr="00442034" w:rsidRDefault="0048282A" w:rsidP="00BE5E6D">
            <w:pPr>
              <w:jc w:val="center"/>
              <w:rPr>
                <w:rFonts w:ascii="Times New Roman" w:hAnsi="Times New Roman" w:cs="Times New Roman"/>
                <w:sz w:val="20"/>
                <w:szCs w:val="20"/>
              </w:rPr>
            </w:pPr>
          </w:p>
        </w:tc>
      </w:tr>
      <w:tr w:rsidR="0048282A" w:rsidRPr="00442034" w14:paraId="319EB419" w14:textId="77777777" w:rsidTr="00352747">
        <w:tc>
          <w:tcPr>
            <w:tcW w:w="1980" w:type="dxa"/>
            <w:tcBorders>
              <w:top w:val="nil"/>
              <w:left w:val="nil"/>
              <w:bottom w:val="nil"/>
              <w:right w:val="nil"/>
            </w:tcBorders>
          </w:tcPr>
          <w:p w14:paraId="462FBB2D"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 xml:space="preserve">Black </w:t>
            </w:r>
            <w:proofErr w:type="gramStart"/>
            <w:r w:rsidRPr="00442034">
              <w:rPr>
                <w:rFonts w:ascii="Times New Roman" w:hAnsi="Times New Roman" w:cs="Times New Roman"/>
                <w:sz w:val="20"/>
                <w:szCs w:val="20"/>
              </w:rPr>
              <w:t>Non-Hispanic</w:t>
            </w:r>
            <w:proofErr w:type="gramEnd"/>
          </w:p>
        </w:tc>
        <w:tc>
          <w:tcPr>
            <w:tcW w:w="1350" w:type="dxa"/>
            <w:tcBorders>
              <w:top w:val="nil"/>
              <w:left w:val="nil"/>
              <w:bottom w:val="nil"/>
              <w:right w:val="nil"/>
            </w:tcBorders>
          </w:tcPr>
          <w:p w14:paraId="302C8DEE"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-0.33 (.45)</w:t>
            </w:r>
          </w:p>
        </w:tc>
        <w:tc>
          <w:tcPr>
            <w:tcW w:w="1980" w:type="dxa"/>
            <w:tcBorders>
              <w:top w:val="nil"/>
              <w:left w:val="nil"/>
              <w:bottom w:val="nil"/>
              <w:right w:val="nil"/>
            </w:tcBorders>
          </w:tcPr>
          <w:p w14:paraId="384DC279"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-0.65 (.43)</w:t>
            </w:r>
          </w:p>
        </w:tc>
        <w:tc>
          <w:tcPr>
            <w:tcW w:w="1620" w:type="dxa"/>
            <w:tcBorders>
              <w:top w:val="nil"/>
              <w:left w:val="nil"/>
              <w:bottom w:val="nil"/>
              <w:right w:val="nil"/>
            </w:tcBorders>
          </w:tcPr>
          <w:p w14:paraId="1A2A5BB9"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-1.15 (.</w:t>
            </w:r>
            <w:proofErr w:type="gramStart"/>
            <w:r w:rsidRPr="00442034">
              <w:rPr>
                <w:rFonts w:ascii="Times New Roman" w:hAnsi="Times New Roman" w:cs="Times New Roman"/>
                <w:sz w:val="20"/>
                <w:szCs w:val="20"/>
              </w:rPr>
              <w:t>47)</w:t>
            </w:r>
            <w:r w:rsidRPr="00442034">
              <w:rPr>
                <w:rFonts w:ascii="Times New Roman" w:hAnsi="Times New Roman" w:cs="Times New Roman"/>
                <w:sz w:val="20"/>
                <w:szCs w:val="20"/>
                <w:vertAlign w:val="superscript"/>
              </w:rPr>
              <w:t>*</w:t>
            </w:r>
            <w:proofErr w:type="gramEnd"/>
          </w:p>
        </w:tc>
        <w:tc>
          <w:tcPr>
            <w:tcW w:w="2250" w:type="dxa"/>
            <w:tcBorders>
              <w:top w:val="nil"/>
              <w:left w:val="nil"/>
              <w:bottom w:val="nil"/>
              <w:right w:val="nil"/>
            </w:tcBorders>
          </w:tcPr>
          <w:p w14:paraId="660D91C9"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-0.02 (.53)</w:t>
            </w:r>
          </w:p>
        </w:tc>
      </w:tr>
      <w:tr w:rsidR="0048282A" w:rsidRPr="00442034" w14:paraId="3FC69814" w14:textId="77777777" w:rsidTr="00352747">
        <w:tc>
          <w:tcPr>
            <w:tcW w:w="1980" w:type="dxa"/>
            <w:tcBorders>
              <w:top w:val="nil"/>
              <w:left w:val="nil"/>
              <w:bottom w:val="nil"/>
              <w:right w:val="nil"/>
            </w:tcBorders>
          </w:tcPr>
          <w:p w14:paraId="306FE206"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 xml:space="preserve">Hispanic </w:t>
            </w:r>
          </w:p>
        </w:tc>
        <w:tc>
          <w:tcPr>
            <w:tcW w:w="1350" w:type="dxa"/>
            <w:tcBorders>
              <w:top w:val="nil"/>
              <w:left w:val="nil"/>
              <w:bottom w:val="nil"/>
              <w:right w:val="nil"/>
            </w:tcBorders>
          </w:tcPr>
          <w:p w14:paraId="4F3EC9D5"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-0.13 (.49)</w:t>
            </w:r>
          </w:p>
        </w:tc>
        <w:tc>
          <w:tcPr>
            <w:tcW w:w="1980" w:type="dxa"/>
            <w:tcBorders>
              <w:top w:val="nil"/>
              <w:left w:val="nil"/>
              <w:bottom w:val="nil"/>
              <w:right w:val="nil"/>
            </w:tcBorders>
          </w:tcPr>
          <w:p w14:paraId="36D1DF6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-0.56 (.47)</w:t>
            </w:r>
          </w:p>
        </w:tc>
        <w:tc>
          <w:tcPr>
            <w:tcW w:w="1620" w:type="dxa"/>
            <w:tcBorders>
              <w:top w:val="nil"/>
              <w:left w:val="nil"/>
              <w:bottom w:val="nil"/>
              <w:right w:val="nil"/>
            </w:tcBorders>
          </w:tcPr>
          <w:p w14:paraId="2C75136B"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-0.48 (.49)</w:t>
            </w:r>
          </w:p>
        </w:tc>
        <w:tc>
          <w:tcPr>
            <w:tcW w:w="2250" w:type="dxa"/>
            <w:tcBorders>
              <w:top w:val="nil"/>
              <w:left w:val="nil"/>
              <w:bottom w:val="nil"/>
              <w:right w:val="nil"/>
            </w:tcBorders>
          </w:tcPr>
          <w:p w14:paraId="2276B9E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-0.22 (.59)</w:t>
            </w:r>
          </w:p>
        </w:tc>
      </w:tr>
      <w:tr w:rsidR="0048282A" w:rsidRPr="00442034" w14:paraId="79025C8F" w14:textId="77777777" w:rsidTr="00352747">
        <w:tc>
          <w:tcPr>
            <w:tcW w:w="1980" w:type="dxa"/>
            <w:tcBorders>
              <w:top w:val="nil"/>
              <w:left w:val="nil"/>
              <w:bottom w:val="nil"/>
              <w:right w:val="nil"/>
            </w:tcBorders>
          </w:tcPr>
          <w:p w14:paraId="40C503D8"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Other Race</w:t>
            </w:r>
          </w:p>
        </w:tc>
        <w:tc>
          <w:tcPr>
            <w:tcW w:w="1350" w:type="dxa"/>
            <w:tcBorders>
              <w:top w:val="nil"/>
              <w:left w:val="nil"/>
              <w:bottom w:val="nil"/>
              <w:right w:val="nil"/>
            </w:tcBorders>
          </w:tcPr>
          <w:p w14:paraId="6131415F" w14:textId="77777777" w:rsidR="0048282A" w:rsidRPr="00442034" w:rsidRDefault="0048282A" w:rsidP="00BE5E6D">
            <w:pPr>
              <w:rPr>
                <w:rFonts w:ascii="Times New Roman" w:hAnsi="Times New Roman" w:cs="Times New Roman"/>
                <w:sz w:val="20"/>
                <w:szCs w:val="20"/>
                <w:vertAlign w:val="superscript"/>
              </w:rPr>
            </w:pPr>
            <w:r w:rsidRPr="00442034">
              <w:rPr>
                <w:rFonts w:ascii="Times New Roman" w:hAnsi="Times New Roman" w:cs="Times New Roman"/>
                <w:sz w:val="20"/>
                <w:szCs w:val="20"/>
              </w:rPr>
              <w:t>-0.76 (.77)</w:t>
            </w:r>
          </w:p>
        </w:tc>
        <w:tc>
          <w:tcPr>
            <w:tcW w:w="1980" w:type="dxa"/>
            <w:tcBorders>
              <w:top w:val="nil"/>
              <w:left w:val="nil"/>
              <w:bottom w:val="nil"/>
              <w:right w:val="nil"/>
            </w:tcBorders>
          </w:tcPr>
          <w:p w14:paraId="39A5B36D"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-0.029 (.66)</w:t>
            </w:r>
          </w:p>
        </w:tc>
        <w:tc>
          <w:tcPr>
            <w:tcW w:w="1620" w:type="dxa"/>
            <w:tcBorders>
              <w:top w:val="nil"/>
              <w:left w:val="nil"/>
              <w:bottom w:val="nil"/>
              <w:right w:val="nil"/>
            </w:tcBorders>
          </w:tcPr>
          <w:p w14:paraId="24E1353D"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-0.24 (.70)</w:t>
            </w:r>
          </w:p>
        </w:tc>
        <w:tc>
          <w:tcPr>
            <w:tcW w:w="2250" w:type="dxa"/>
            <w:tcBorders>
              <w:top w:val="nil"/>
              <w:left w:val="nil"/>
              <w:bottom w:val="nil"/>
              <w:right w:val="nil"/>
            </w:tcBorders>
          </w:tcPr>
          <w:p w14:paraId="6EC43A6D"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0.48 (.79)</w:t>
            </w:r>
          </w:p>
        </w:tc>
      </w:tr>
      <w:tr w:rsidR="0048282A" w:rsidRPr="00442034" w14:paraId="6BC53E5F" w14:textId="77777777" w:rsidTr="00352747">
        <w:tc>
          <w:tcPr>
            <w:tcW w:w="1980" w:type="dxa"/>
            <w:tcBorders>
              <w:top w:val="nil"/>
              <w:left w:val="nil"/>
              <w:bottom w:val="nil"/>
              <w:right w:val="nil"/>
            </w:tcBorders>
          </w:tcPr>
          <w:p w14:paraId="6AA5C89E"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Female</w:t>
            </w:r>
          </w:p>
        </w:tc>
        <w:tc>
          <w:tcPr>
            <w:tcW w:w="1350" w:type="dxa"/>
            <w:tcBorders>
              <w:top w:val="nil"/>
              <w:left w:val="nil"/>
              <w:bottom w:val="nil"/>
              <w:right w:val="nil"/>
            </w:tcBorders>
          </w:tcPr>
          <w:p w14:paraId="750E3A2D" w14:textId="77777777" w:rsidR="0048282A" w:rsidRPr="00442034" w:rsidRDefault="0048282A" w:rsidP="00BE5E6D">
            <w:pPr>
              <w:rPr>
                <w:rFonts w:ascii="Times New Roman" w:hAnsi="Times New Roman" w:cs="Times New Roman"/>
                <w:sz w:val="20"/>
                <w:szCs w:val="20"/>
                <w:vertAlign w:val="superscript"/>
              </w:rPr>
            </w:pPr>
            <w:r w:rsidRPr="00442034">
              <w:rPr>
                <w:rFonts w:ascii="Times New Roman" w:hAnsi="Times New Roman" w:cs="Times New Roman"/>
                <w:sz w:val="20"/>
                <w:szCs w:val="20"/>
              </w:rPr>
              <w:t>-0.81 (.</w:t>
            </w:r>
            <w:proofErr w:type="gramStart"/>
            <w:r w:rsidRPr="00442034">
              <w:rPr>
                <w:rFonts w:ascii="Times New Roman" w:hAnsi="Times New Roman" w:cs="Times New Roman"/>
                <w:sz w:val="20"/>
                <w:szCs w:val="20"/>
              </w:rPr>
              <w:t>38)</w:t>
            </w:r>
            <w:r w:rsidRPr="00442034">
              <w:rPr>
                <w:rFonts w:ascii="Times New Roman" w:hAnsi="Times New Roman" w:cs="Times New Roman"/>
                <w:sz w:val="20"/>
                <w:szCs w:val="20"/>
                <w:vertAlign w:val="superscript"/>
              </w:rPr>
              <w:t>*</w:t>
            </w:r>
            <w:proofErr w:type="gramEnd"/>
          </w:p>
        </w:tc>
        <w:tc>
          <w:tcPr>
            <w:tcW w:w="1980" w:type="dxa"/>
            <w:tcBorders>
              <w:top w:val="nil"/>
              <w:left w:val="nil"/>
              <w:bottom w:val="nil"/>
              <w:right w:val="nil"/>
            </w:tcBorders>
          </w:tcPr>
          <w:p w14:paraId="3DDAB5F3"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-1.01 (.</w:t>
            </w:r>
            <w:proofErr w:type="gramStart"/>
            <w:r w:rsidRPr="00442034">
              <w:rPr>
                <w:rFonts w:ascii="Times New Roman" w:hAnsi="Times New Roman" w:cs="Times New Roman"/>
                <w:sz w:val="20"/>
                <w:szCs w:val="20"/>
              </w:rPr>
              <w:t>36)</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c>
          <w:tcPr>
            <w:tcW w:w="1620" w:type="dxa"/>
            <w:tcBorders>
              <w:top w:val="nil"/>
              <w:left w:val="nil"/>
              <w:bottom w:val="nil"/>
              <w:right w:val="nil"/>
            </w:tcBorders>
          </w:tcPr>
          <w:p w14:paraId="0A8310C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-0.44 (.38)</w:t>
            </w:r>
          </w:p>
        </w:tc>
        <w:tc>
          <w:tcPr>
            <w:tcW w:w="2250" w:type="dxa"/>
            <w:tcBorders>
              <w:top w:val="nil"/>
              <w:left w:val="nil"/>
              <w:bottom w:val="nil"/>
              <w:right w:val="nil"/>
            </w:tcBorders>
          </w:tcPr>
          <w:p w14:paraId="61288D65"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-1.68 (.</w:t>
            </w:r>
            <w:proofErr w:type="gramStart"/>
            <w:r w:rsidRPr="00442034">
              <w:rPr>
                <w:rFonts w:ascii="Times New Roman" w:hAnsi="Times New Roman" w:cs="Times New Roman"/>
                <w:sz w:val="20"/>
                <w:szCs w:val="20"/>
              </w:rPr>
              <w:t>45)</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r>
      <w:tr w:rsidR="0048282A" w:rsidRPr="00442034" w14:paraId="58CC54C0" w14:textId="77777777" w:rsidTr="00352747">
        <w:tc>
          <w:tcPr>
            <w:tcW w:w="1980" w:type="dxa"/>
            <w:tcBorders>
              <w:top w:val="nil"/>
              <w:left w:val="nil"/>
              <w:bottom w:val="nil"/>
              <w:right w:val="nil"/>
            </w:tcBorders>
          </w:tcPr>
          <w:p w14:paraId="08F6A4D2"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Age</w:t>
            </w:r>
          </w:p>
        </w:tc>
        <w:tc>
          <w:tcPr>
            <w:tcW w:w="1350" w:type="dxa"/>
            <w:tcBorders>
              <w:top w:val="nil"/>
              <w:left w:val="nil"/>
              <w:bottom w:val="nil"/>
              <w:right w:val="nil"/>
            </w:tcBorders>
          </w:tcPr>
          <w:p w14:paraId="791DCBC0" w14:textId="77777777" w:rsidR="0048282A" w:rsidRPr="00442034" w:rsidRDefault="0048282A" w:rsidP="00BE5E6D">
            <w:pPr>
              <w:rPr>
                <w:rFonts w:ascii="Times New Roman" w:hAnsi="Times New Roman" w:cs="Times New Roman"/>
                <w:sz w:val="20"/>
                <w:szCs w:val="20"/>
                <w:vertAlign w:val="superscript"/>
              </w:rPr>
            </w:pPr>
            <w:r w:rsidRPr="00442034">
              <w:rPr>
                <w:rFonts w:ascii="Times New Roman" w:hAnsi="Times New Roman" w:cs="Times New Roman"/>
                <w:sz w:val="20"/>
                <w:szCs w:val="20"/>
              </w:rPr>
              <w:t>-0.077 (.09)</w:t>
            </w:r>
          </w:p>
        </w:tc>
        <w:tc>
          <w:tcPr>
            <w:tcW w:w="1980" w:type="dxa"/>
            <w:tcBorders>
              <w:top w:val="nil"/>
              <w:left w:val="nil"/>
              <w:bottom w:val="nil"/>
              <w:right w:val="nil"/>
            </w:tcBorders>
          </w:tcPr>
          <w:p w14:paraId="071E7F30"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-0.074 (.09)</w:t>
            </w:r>
          </w:p>
        </w:tc>
        <w:tc>
          <w:tcPr>
            <w:tcW w:w="1620" w:type="dxa"/>
            <w:tcBorders>
              <w:top w:val="nil"/>
              <w:left w:val="nil"/>
              <w:bottom w:val="nil"/>
              <w:right w:val="nil"/>
            </w:tcBorders>
          </w:tcPr>
          <w:p w14:paraId="38020045"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-0.20 (.</w:t>
            </w:r>
            <w:proofErr w:type="gramStart"/>
            <w:r w:rsidRPr="00442034">
              <w:rPr>
                <w:rFonts w:ascii="Times New Roman" w:hAnsi="Times New Roman" w:cs="Times New Roman"/>
                <w:sz w:val="20"/>
                <w:szCs w:val="20"/>
              </w:rPr>
              <w:t>09)</w:t>
            </w:r>
            <w:r w:rsidRPr="00442034">
              <w:rPr>
                <w:rFonts w:ascii="Times New Roman" w:hAnsi="Times New Roman" w:cs="Times New Roman"/>
                <w:sz w:val="20"/>
                <w:szCs w:val="20"/>
                <w:vertAlign w:val="superscript"/>
              </w:rPr>
              <w:t>*</w:t>
            </w:r>
            <w:proofErr w:type="gramEnd"/>
          </w:p>
        </w:tc>
        <w:tc>
          <w:tcPr>
            <w:tcW w:w="2250" w:type="dxa"/>
            <w:tcBorders>
              <w:top w:val="nil"/>
              <w:left w:val="nil"/>
              <w:bottom w:val="nil"/>
              <w:right w:val="nil"/>
            </w:tcBorders>
          </w:tcPr>
          <w:p w14:paraId="3FD13ADF"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-0.11 (.11)</w:t>
            </w:r>
          </w:p>
        </w:tc>
      </w:tr>
      <w:tr w:rsidR="0048282A" w:rsidRPr="00442034" w14:paraId="3F559F36" w14:textId="77777777" w:rsidTr="00352747">
        <w:tc>
          <w:tcPr>
            <w:tcW w:w="1980" w:type="dxa"/>
            <w:tcBorders>
              <w:top w:val="nil"/>
              <w:left w:val="nil"/>
              <w:bottom w:val="nil"/>
              <w:right w:val="nil"/>
            </w:tcBorders>
          </w:tcPr>
          <w:p w14:paraId="31DC3E7D"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Urban</w:t>
            </w:r>
          </w:p>
        </w:tc>
        <w:tc>
          <w:tcPr>
            <w:tcW w:w="1350" w:type="dxa"/>
            <w:tcBorders>
              <w:top w:val="nil"/>
              <w:left w:val="nil"/>
              <w:bottom w:val="nil"/>
              <w:right w:val="nil"/>
            </w:tcBorders>
          </w:tcPr>
          <w:p w14:paraId="69561B19"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0.24 (.53)</w:t>
            </w:r>
          </w:p>
        </w:tc>
        <w:tc>
          <w:tcPr>
            <w:tcW w:w="1980" w:type="dxa"/>
            <w:tcBorders>
              <w:top w:val="nil"/>
              <w:left w:val="nil"/>
              <w:bottom w:val="nil"/>
              <w:right w:val="nil"/>
            </w:tcBorders>
          </w:tcPr>
          <w:p w14:paraId="275A782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0.73 (.52)</w:t>
            </w:r>
          </w:p>
        </w:tc>
        <w:tc>
          <w:tcPr>
            <w:tcW w:w="1620" w:type="dxa"/>
            <w:tcBorders>
              <w:top w:val="nil"/>
              <w:left w:val="nil"/>
              <w:bottom w:val="nil"/>
              <w:right w:val="nil"/>
            </w:tcBorders>
          </w:tcPr>
          <w:p w14:paraId="54C15E5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-0.053 (.52)</w:t>
            </w:r>
          </w:p>
        </w:tc>
        <w:tc>
          <w:tcPr>
            <w:tcW w:w="2250" w:type="dxa"/>
            <w:tcBorders>
              <w:top w:val="nil"/>
              <w:left w:val="nil"/>
              <w:bottom w:val="nil"/>
              <w:right w:val="nil"/>
            </w:tcBorders>
          </w:tcPr>
          <w:p w14:paraId="194D2373"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1.42 (.76)</w:t>
            </w:r>
            <w:r w:rsidRPr="00442034">
              <w:rPr>
                <w:rFonts w:ascii="Times New Roman" w:hAnsi="Times New Roman" w:cs="Times New Roman"/>
                <w:sz w:val="20"/>
                <w:szCs w:val="20"/>
                <w:vertAlign w:val="superscript"/>
              </w:rPr>
              <w:t xml:space="preserve"> †</w:t>
            </w:r>
          </w:p>
        </w:tc>
      </w:tr>
      <w:tr w:rsidR="0048282A" w:rsidRPr="00442034" w14:paraId="6C6B8612" w14:textId="77777777" w:rsidTr="00352747">
        <w:tc>
          <w:tcPr>
            <w:tcW w:w="1980" w:type="dxa"/>
            <w:tcBorders>
              <w:top w:val="nil"/>
              <w:left w:val="nil"/>
              <w:bottom w:val="nil"/>
              <w:right w:val="nil"/>
            </w:tcBorders>
          </w:tcPr>
          <w:p w14:paraId="52C9A971"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Below Poverty</w:t>
            </w:r>
          </w:p>
        </w:tc>
        <w:tc>
          <w:tcPr>
            <w:tcW w:w="1350" w:type="dxa"/>
            <w:tcBorders>
              <w:top w:val="nil"/>
              <w:left w:val="nil"/>
              <w:bottom w:val="nil"/>
              <w:right w:val="nil"/>
            </w:tcBorders>
          </w:tcPr>
          <w:p w14:paraId="1D763130"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-0.20 (.36)</w:t>
            </w:r>
          </w:p>
        </w:tc>
        <w:tc>
          <w:tcPr>
            <w:tcW w:w="1980" w:type="dxa"/>
            <w:tcBorders>
              <w:top w:val="nil"/>
              <w:left w:val="nil"/>
              <w:bottom w:val="nil"/>
              <w:right w:val="nil"/>
            </w:tcBorders>
          </w:tcPr>
          <w:p w14:paraId="5A49CFC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-0.36 (.34)</w:t>
            </w:r>
          </w:p>
        </w:tc>
        <w:tc>
          <w:tcPr>
            <w:tcW w:w="1620" w:type="dxa"/>
            <w:tcBorders>
              <w:top w:val="nil"/>
              <w:left w:val="nil"/>
              <w:bottom w:val="nil"/>
              <w:right w:val="nil"/>
            </w:tcBorders>
          </w:tcPr>
          <w:p w14:paraId="5CB61C14"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-0.61 (.36)</w:t>
            </w:r>
            <w:r w:rsidRPr="00442034">
              <w:rPr>
                <w:rFonts w:ascii="Times New Roman" w:hAnsi="Times New Roman" w:cs="Times New Roman"/>
                <w:sz w:val="20"/>
                <w:szCs w:val="20"/>
                <w:vertAlign w:val="superscript"/>
              </w:rPr>
              <w:t xml:space="preserve"> †</w:t>
            </w:r>
          </w:p>
        </w:tc>
        <w:tc>
          <w:tcPr>
            <w:tcW w:w="2250" w:type="dxa"/>
            <w:tcBorders>
              <w:top w:val="nil"/>
              <w:left w:val="nil"/>
              <w:bottom w:val="nil"/>
              <w:right w:val="nil"/>
            </w:tcBorders>
          </w:tcPr>
          <w:p w14:paraId="516009F9"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0.054 (.42)</w:t>
            </w:r>
          </w:p>
        </w:tc>
      </w:tr>
      <w:tr w:rsidR="0048282A" w:rsidRPr="00442034" w14:paraId="1B2B25E7" w14:textId="77777777" w:rsidTr="00352747">
        <w:tc>
          <w:tcPr>
            <w:tcW w:w="1980" w:type="dxa"/>
            <w:tcBorders>
              <w:top w:val="nil"/>
              <w:left w:val="nil"/>
              <w:bottom w:val="nil"/>
              <w:right w:val="nil"/>
            </w:tcBorders>
          </w:tcPr>
          <w:p w14:paraId="740360F7"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Foster Parents</w:t>
            </w:r>
          </w:p>
        </w:tc>
        <w:tc>
          <w:tcPr>
            <w:tcW w:w="1350" w:type="dxa"/>
            <w:tcBorders>
              <w:top w:val="nil"/>
              <w:left w:val="nil"/>
              <w:bottom w:val="nil"/>
              <w:right w:val="nil"/>
            </w:tcBorders>
          </w:tcPr>
          <w:p w14:paraId="40ABCA4F"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1.46 (1.24)</w:t>
            </w:r>
          </w:p>
        </w:tc>
        <w:tc>
          <w:tcPr>
            <w:tcW w:w="1980" w:type="dxa"/>
            <w:tcBorders>
              <w:top w:val="nil"/>
              <w:left w:val="nil"/>
              <w:bottom w:val="nil"/>
              <w:right w:val="nil"/>
            </w:tcBorders>
          </w:tcPr>
          <w:p w14:paraId="197D05CE"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1.77 (1.16)</w:t>
            </w:r>
          </w:p>
        </w:tc>
        <w:tc>
          <w:tcPr>
            <w:tcW w:w="1620" w:type="dxa"/>
            <w:tcBorders>
              <w:top w:val="nil"/>
              <w:left w:val="nil"/>
              <w:bottom w:val="nil"/>
              <w:right w:val="nil"/>
            </w:tcBorders>
          </w:tcPr>
          <w:p w14:paraId="6C545FCA"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1.73 (1.23)</w:t>
            </w:r>
          </w:p>
        </w:tc>
        <w:tc>
          <w:tcPr>
            <w:tcW w:w="2250" w:type="dxa"/>
            <w:tcBorders>
              <w:top w:val="nil"/>
              <w:left w:val="nil"/>
              <w:bottom w:val="nil"/>
              <w:right w:val="nil"/>
            </w:tcBorders>
          </w:tcPr>
          <w:p w14:paraId="7BEBABC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0.64 (1.33)</w:t>
            </w:r>
          </w:p>
        </w:tc>
      </w:tr>
      <w:tr w:rsidR="0048282A" w:rsidRPr="00442034" w14:paraId="44258C4D" w14:textId="77777777" w:rsidTr="00352747">
        <w:tc>
          <w:tcPr>
            <w:tcW w:w="1980" w:type="dxa"/>
            <w:tcBorders>
              <w:top w:val="nil"/>
              <w:left w:val="nil"/>
              <w:bottom w:val="nil"/>
              <w:right w:val="nil"/>
            </w:tcBorders>
          </w:tcPr>
          <w:p w14:paraId="6159D294"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Kinship Care</w:t>
            </w:r>
          </w:p>
        </w:tc>
        <w:tc>
          <w:tcPr>
            <w:tcW w:w="1350" w:type="dxa"/>
            <w:tcBorders>
              <w:top w:val="nil"/>
              <w:left w:val="nil"/>
              <w:bottom w:val="nil"/>
              <w:right w:val="nil"/>
            </w:tcBorders>
          </w:tcPr>
          <w:p w14:paraId="4DF0526E"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1.29 (1.13)</w:t>
            </w:r>
          </w:p>
        </w:tc>
        <w:tc>
          <w:tcPr>
            <w:tcW w:w="1980" w:type="dxa"/>
            <w:tcBorders>
              <w:top w:val="nil"/>
              <w:left w:val="nil"/>
              <w:bottom w:val="nil"/>
              <w:right w:val="nil"/>
            </w:tcBorders>
          </w:tcPr>
          <w:p w14:paraId="1797179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0.90 (1.07)</w:t>
            </w:r>
          </w:p>
        </w:tc>
        <w:tc>
          <w:tcPr>
            <w:tcW w:w="1620" w:type="dxa"/>
            <w:tcBorders>
              <w:top w:val="nil"/>
              <w:left w:val="nil"/>
              <w:bottom w:val="nil"/>
              <w:right w:val="nil"/>
            </w:tcBorders>
          </w:tcPr>
          <w:p w14:paraId="1A6F9B5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0.90 (1.15)</w:t>
            </w:r>
          </w:p>
        </w:tc>
        <w:tc>
          <w:tcPr>
            <w:tcW w:w="2250" w:type="dxa"/>
            <w:tcBorders>
              <w:top w:val="nil"/>
              <w:left w:val="nil"/>
              <w:bottom w:val="nil"/>
              <w:right w:val="nil"/>
            </w:tcBorders>
          </w:tcPr>
          <w:p w14:paraId="46A85DD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0.076 (1.21)</w:t>
            </w:r>
          </w:p>
        </w:tc>
      </w:tr>
      <w:tr w:rsidR="0048282A" w:rsidRPr="00442034" w14:paraId="61E7B77A" w14:textId="77777777" w:rsidTr="00352747">
        <w:tc>
          <w:tcPr>
            <w:tcW w:w="1980" w:type="dxa"/>
            <w:tcBorders>
              <w:top w:val="nil"/>
              <w:left w:val="nil"/>
              <w:bottom w:val="nil"/>
              <w:right w:val="nil"/>
            </w:tcBorders>
          </w:tcPr>
          <w:p w14:paraId="6F843578"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Substantiated Report</w:t>
            </w:r>
          </w:p>
        </w:tc>
        <w:tc>
          <w:tcPr>
            <w:tcW w:w="1350" w:type="dxa"/>
            <w:tcBorders>
              <w:top w:val="nil"/>
              <w:left w:val="nil"/>
              <w:bottom w:val="nil"/>
              <w:right w:val="nil"/>
            </w:tcBorders>
          </w:tcPr>
          <w:p w14:paraId="3E043215" w14:textId="77777777" w:rsidR="0048282A" w:rsidRPr="00442034" w:rsidRDefault="0048282A" w:rsidP="00BE5E6D">
            <w:pPr>
              <w:rPr>
                <w:rFonts w:ascii="Times New Roman" w:hAnsi="Times New Roman" w:cs="Times New Roman"/>
                <w:sz w:val="20"/>
                <w:szCs w:val="20"/>
                <w:vertAlign w:val="superscript"/>
              </w:rPr>
            </w:pPr>
            <w:r w:rsidRPr="00442034">
              <w:rPr>
                <w:rFonts w:ascii="Times New Roman" w:hAnsi="Times New Roman" w:cs="Times New Roman"/>
                <w:sz w:val="20"/>
                <w:szCs w:val="20"/>
              </w:rPr>
              <w:t>-0.30 (.35)</w:t>
            </w:r>
          </w:p>
        </w:tc>
        <w:tc>
          <w:tcPr>
            <w:tcW w:w="1980" w:type="dxa"/>
            <w:tcBorders>
              <w:top w:val="nil"/>
              <w:left w:val="nil"/>
              <w:bottom w:val="nil"/>
              <w:right w:val="nil"/>
            </w:tcBorders>
          </w:tcPr>
          <w:p w14:paraId="42022246"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-0.15 (.34)</w:t>
            </w:r>
          </w:p>
        </w:tc>
        <w:tc>
          <w:tcPr>
            <w:tcW w:w="1620" w:type="dxa"/>
            <w:tcBorders>
              <w:top w:val="nil"/>
              <w:left w:val="nil"/>
              <w:bottom w:val="nil"/>
              <w:right w:val="nil"/>
            </w:tcBorders>
          </w:tcPr>
          <w:p w14:paraId="66E9BEAE"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0.036 (.36)</w:t>
            </w:r>
          </w:p>
        </w:tc>
        <w:tc>
          <w:tcPr>
            <w:tcW w:w="2250" w:type="dxa"/>
            <w:tcBorders>
              <w:top w:val="nil"/>
              <w:left w:val="nil"/>
              <w:bottom w:val="nil"/>
              <w:right w:val="nil"/>
            </w:tcBorders>
          </w:tcPr>
          <w:p w14:paraId="3044FE97"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-0.54 (.42)</w:t>
            </w:r>
          </w:p>
        </w:tc>
      </w:tr>
      <w:tr w:rsidR="0048282A" w:rsidRPr="00442034" w14:paraId="598726A1" w14:textId="77777777" w:rsidTr="00352747">
        <w:tc>
          <w:tcPr>
            <w:tcW w:w="1980" w:type="dxa"/>
            <w:tcBorders>
              <w:top w:val="nil"/>
              <w:left w:val="nil"/>
              <w:bottom w:val="nil"/>
              <w:right w:val="nil"/>
            </w:tcBorders>
          </w:tcPr>
          <w:p w14:paraId="1176AE3F"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Neglect</w:t>
            </w:r>
          </w:p>
        </w:tc>
        <w:tc>
          <w:tcPr>
            <w:tcW w:w="1350" w:type="dxa"/>
            <w:tcBorders>
              <w:top w:val="nil"/>
              <w:left w:val="nil"/>
              <w:bottom w:val="nil"/>
              <w:right w:val="nil"/>
            </w:tcBorders>
          </w:tcPr>
          <w:p w14:paraId="11076215"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0.54 (.46)</w:t>
            </w:r>
          </w:p>
        </w:tc>
        <w:tc>
          <w:tcPr>
            <w:tcW w:w="1980" w:type="dxa"/>
            <w:tcBorders>
              <w:top w:val="nil"/>
              <w:left w:val="nil"/>
              <w:bottom w:val="nil"/>
              <w:right w:val="nil"/>
            </w:tcBorders>
          </w:tcPr>
          <w:p w14:paraId="634A8622"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0.0047 (.44)</w:t>
            </w:r>
          </w:p>
        </w:tc>
        <w:tc>
          <w:tcPr>
            <w:tcW w:w="1620" w:type="dxa"/>
            <w:tcBorders>
              <w:top w:val="nil"/>
              <w:left w:val="nil"/>
              <w:bottom w:val="nil"/>
              <w:right w:val="nil"/>
            </w:tcBorders>
          </w:tcPr>
          <w:p w14:paraId="3D08C3A2"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-0.17 (.48)</w:t>
            </w:r>
          </w:p>
        </w:tc>
        <w:tc>
          <w:tcPr>
            <w:tcW w:w="2250" w:type="dxa"/>
            <w:tcBorders>
              <w:top w:val="nil"/>
              <w:left w:val="nil"/>
              <w:bottom w:val="nil"/>
              <w:right w:val="nil"/>
            </w:tcBorders>
          </w:tcPr>
          <w:p w14:paraId="1445EC4E"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-0.53 (.58)</w:t>
            </w:r>
          </w:p>
        </w:tc>
      </w:tr>
      <w:tr w:rsidR="0048282A" w:rsidRPr="00442034" w14:paraId="3B4E719D" w14:textId="77777777" w:rsidTr="00352747">
        <w:tc>
          <w:tcPr>
            <w:tcW w:w="1980" w:type="dxa"/>
            <w:tcBorders>
              <w:top w:val="nil"/>
              <w:left w:val="nil"/>
              <w:bottom w:val="nil"/>
              <w:right w:val="nil"/>
            </w:tcBorders>
          </w:tcPr>
          <w:p w14:paraId="30E1D478"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Substance Related</w:t>
            </w:r>
          </w:p>
        </w:tc>
        <w:tc>
          <w:tcPr>
            <w:tcW w:w="1350" w:type="dxa"/>
            <w:tcBorders>
              <w:top w:val="nil"/>
              <w:left w:val="nil"/>
              <w:bottom w:val="nil"/>
              <w:right w:val="nil"/>
            </w:tcBorders>
          </w:tcPr>
          <w:p w14:paraId="62A0BB3C"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-0.54 (.59)</w:t>
            </w:r>
          </w:p>
        </w:tc>
        <w:tc>
          <w:tcPr>
            <w:tcW w:w="1980" w:type="dxa"/>
            <w:tcBorders>
              <w:top w:val="nil"/>
              <w:left w:val="nil"/>
              <w:bottom w:val="nil"/>
              <w:right w:val="nil"/>
            </w:tcBorders>
          </w:tcPr>
          <w:p w14:paraId="4B3BDD1D"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-0.75 (.54)</w:t>
            </w:r>
          </w:p>
        </w:tc>
        <w:tc>
          <w:tcPr>
            <w:tcW w:w="1620" w:type="dxa"/>
            <w:tcBorders>
              <w:top w:val="nil"/>
              <w:left w:val="nil"/>
              <w:bottom w:val="nil"/>
              <w:right w:val="nil"/>
            </w:tcBorders>
          </w:tcPr>
          <w:p w14:paraId="529E8617"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-0.76 (.58)</w:t>
            </w:r>
          </w:p>
        </w:tc>
        <w:tc>
          <w:tcPr>
            <w:tcW w:w="2250" w:type="dxa"/>
            <w:tcBorders>
              <w:top w:val="nil"/>
              <w:left w:val="nil"/>
              <w:bottom w:val="nil"/>
              <w:right w:val="nil"/>
            </w:tcBorders>
          </w:tcPr>
          <w:p w14:paraId="268AF10E"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-0.44 (.67)</w:t>
            </w:r>
          </w:p>
        </w:tc>
      </w:tr>
      <w:tr w:rsidR="0048282A" w:rsidRPr="00442034" w14:paraId="3C13B8E4" w14:textId="77777777" w:rsidTr="00352747">
        <w:tc>
          <w:tcPr>
            <w:tcW w:w="1980" w:type="dxa"/>
            <w:tcBorders>
              <w:top w:val="nil"/>
              <w:left w:val="nil"/>
              <w:bottom w:val="nil"/>
              <w:right w:val="nil"/>
            </w:tcBorders>
          </w:tcPr>
          <w:p w14:paraId="4B697178"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Domestic Violence</w:t>
            </w:r>
          </w:p>
        </w:tc>
        <w:tc>
          <w:tcPr>
            <w:tcW w:w="1350" w:type="dxa"/>
            <w:tcBorders>
              <w:top w:val="nil"/>
              <w:left w:val="nil"/>
              <w:bottom w:val="nil"/>
              <w:right w:val="nil"/>
            </w:tcBorders>
          </w:tcPr>
          <w:p w14:paraId="2732F5D7"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0.57 (.90)</w:t>
            </w:r>
          </w:p>
        </w:tc>
        <w:tc>
          <w:tcPr>
            <w:tcW w:w="1980" w:type="dxa"/>
            <w:tcBorders>
              <w:top w:val="nil"/>
              <w:left w:val="nil"/>
              <w:bottom w:val="nil"/>
              <w:right w:val="nil"/>
            </w:tcBorders>
          </w:tcPr>
          <w:p w14:paraId="690E0C8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0.30 (.86)</w:t>
            </w:r>
          </w:p>
        </w:tc>
        <w:tc>
          <w:tcPr>
            <w:tcW w:w="1620" w:type="dxa"/>
            <w:tcBorders>
              <w:top w:val="nil"/>
              <w:left w:val="nil"/>
              <w:bottom w:val="nil"/>
              <w:right w:val="nil"/>
            </w:tcBorders>
          </w:tcPr>
          <w:p w14:paraId="5B026AB5"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0.86 (.86)</w:t>
            </w:r>
          </w:p>
        </w:tc>
        <w:tc>
          <w:tcPr>
            <w:tcW w:w="2250" w:type="dxa"/>
            <w:tcBorders>
              <w:top w:val="nil"/>
              <w:left w:val="nil"/>
              <w:bottom w:val="nil"/>
              <w:right w:val="nil"/>
            </w:tcBorders>
          </w:tcPr>
          <w:p w14:paraId="06C4844A"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0.92 (.96)</w:t>
            </w:r>
          </w:p>
        </w:tc>
      </w:tr>
      <w:tr w:rsidR="0048282A" w:rsidRPr="00442034" w14:paraId="1F92FDD9" w14:textId="77777777" w:rsidTr="00352747">
        <w:tc>
          <w:tcPr>
            <w:tcW w:w="1980" w:type="dxa"/>
            <w:tcBorders>
              <w:top w:val="nil"/>
              <w:left w:val="nil"/>
              <w:bottom w:val="nil"/>
              <w:right w:val="nil"/>
            </w:tcBorders>
          </w:tcPr>
          <w:p w14:paraId="5BA8CA88"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Sexual Abuse</w:t>
            </w:r>
          </w:p>
        </w:tc>
        <w:tc>
          <w:tcPr>
            <w:tcW w:w="1350" w:type="dxa"/>
            <w:tcBorders>
              <w:top w:val="nil"/>
              <w:left w:val="nil"/>
              <w:bottom w:val="nil"/>
              <w:right w:val="nil"/>
            </w:tcBorders>
          </w:tcPr>
          <w:p w14:paraId="756EBD16" w14:textId="77777777" w:rsidR="0048282A" w:rsidRPr="00442034" w:rsidRDefault="0048282A" w:rsidP="00BE5E6D">
            <w:pPr>
              <w:rPr>
                <w:rFonts w:ascii="Times New Roman" w:hAnsi="Times New Roman" w:cs="Times New Roman"/>
                <w:sz w:val="20"/>
                <w:szCs w:val="20"/>
                <w:vertAlign w:val="superscript"/>
              </w:rPr>
            </w:pPr>
            <w:r w:rsidRPr="00442034">
              <w:rPr>
                <w:rFonts w:ascii="Times New Roman" w:hAnsi="Times New Roman" w:cs="Times New Roman"/>
                <w:sz w:val="20"/>
                <w:szCs w:val="20"/>
              </w:rPr>
              <w:t>0.44 (.60)</w:t>
            </w:r>
          </w:p>
        </w:tc>
        <w:tc>
          <w:tcPr>
            <w:tcW w:w="1980" w:type="dxa"/>
            <w:tcBorders>
              <w:top w:val="nil"/>
              <w:left w:val="nil"/>
              <w:bottom w:val="nil"/>
              <w:right w:val="nil"/>
            </w:tcBorders>
          </w:tcPr>
          <w:p w14:paraId="3458F499"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0.11 (.58)</w:t>
            </w:r>
          </w:p>
        </w:tc>
        <w:tc>
          <w:tcPr>
            <w:tcW w:w="1620" w:type="dxa"/>
            <w:tcBorders>
              <w:top w:val="nil"/>
              <w:left w:val="nil"/>
              <w:bottom w:val="nil"/>
              <w:right w:val="nil"/>
            </w:tcBorders>
          </w:tcPr>
          <w:p w14:paraId="53AC51F2"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0.28 (.60)</w:t>
            </w:r>
          </w:p>
        </w:tc>
        <w:tc>
          <w:tcPr>
            <w:tcW w:w="2250" w:type="dxa"/>
            <w:tcBorders>
              <w:top w:val="nil"/>
              <w:left w:val="nil"/>
              <w:bottom w:val="nil"/>
              <w:right w:val="nil"/>
            </w:tcBorders>
          </w:tcPr>
          <w:p w14:paraId="14D08BE1"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0.95 (.68)</w:t>
            </w:r>
          </w:p>
        </w:tc>
      </w:tr>
      <w:tr w:rsidR="0048282A" w:rsidRPr="00442034" w14:paraId="19484016" w14:textId="77777777" w:rsidTr="00352747">
        <w:tc>
          <w:tcPr>
            <w:tcW w:w="1980" w:type="dxa"/>
            <w:tcBorders>
              <w:top w:val="nil"/>
              <w:left w:val="nil"/>
              <w:bottom w:val="nil"/>
              <w:right w:val="nil"/>
            </w:tcBorders>
          </w:tcPr>
          <w:p w14:paraId="65212FC4"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Other</w:t>
            </w:r>
          </w:p>
        </w:tc>
        <w:tc>
          <w:tcPr>
            <w:tcW w:w="1350" w:type="dxa"/>
            <w:tcBorders>
              <w:top w:val="nil"/>
              <w:left w:val="nil"/>
              <w:bottom w:val="nil"/>
              <w:right w:val="nil"/>
            </w:tcBorders>
          </w:tcPr>
          <w:p w14:paraId="45326C69"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0.19 (.59)</w:t>
            </w:r>
          </w:p>
        </w:tc>
        <w:tc>
          <w:tcPr>
            <w:tcW w:w="1980" w:type="dxa"/>
            <w:tcBorders>
              <w:top w:val="nil"/>
              <w:left w:val="nil"/>
              <w:bottom w:val="nil"/>
              <w:right w:val="nil"/>
            </w:tcBorders>
          </w:tcPr>
          <w:p w14:paraId="3A75DBCD"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-0.11 (.55)</w:t>
            </w:r>
          </w:p>
        </w:tc>
        <w:tc>
          <w:tcPr>
            <w:tcW w:w="1620" w:type="dxa"/>
            <w:tcBorders>
              <w:top w:val="nil"/>
              <w:left w:val="nil"/>
              <w:bottom w:val="nil"/>
              <w:right w:val="nil"/>
            </w:tcBorders>
          </w:tcPr>
          <w:p w14:paraId="567E114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0.16 (.58)</w:t>
            </w:r>
          </w:p>
        </w:tc>
        <w:tc>
          <w:tcPr>
            <w:tcW w:w="2250" w:type="dxa"/>
            <w:tcBorders>
              <w:top w:val="nil"/>
              <w:left w:val="nil"/>
              <w:bottom w:val="nil"/>
              <w:right w:val="nil"/>
            </w:tcBorders>
          </w:tcPr>
          <w:p w14:paraId="3D69A769"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0.26 (.66)</w:t>
            </w:r>
          </w:p>
        </w:tc>
      </w:tr>
      <w:tr w:rsidR="0048282A" w:rsidRPr="00442034" w14:paraId="26A3FEE0" w14:textId="77777777" w:rsidTr="00352747">
        <w:tc>
          <w:tcPr>
            <w:tcW w:w="1980" w:type="dxa"/>
            <w:tcBorders>
              <w:top w:val="nil"/>
              <w:left w:val="nil"/>
              <w:bottom w:val="nil"/>
              <w:right w:val="nil"/>
            </w:tcBorders>
          </w:tcPr>
          <w:p w14:paraId="03CF56C6" w14:textId="77777777" w:rsidR="0048282A" w:rsidRPr="00442034" w:rsidRDefault="0048282A" w:rsidP="00BE5E6D">
            <w:pPr>
              <w:ind w:left="156" w:hanging="156"/>
              <w:rPr>
                <w:rFonts w:ascii="Times New Roman" w:hAnsi="Times New Roman" w:cs="Times New Roman"/>
                <w:sz w:val="20"/>
                <w:szCs w:val="20"/>
              </w:rPr>
            </w:pPr>
            <w:r w:rsidRPr="00442034">
              <w:rPr>
                <w:rFonts w:ascii="Times New Roman" w:hAnsi="Times New Roman" w:cs="Times New Roman"/>
                <w:sz w:val="20"/>
                <w:szCs w:val="20"/>
              </w:rPr>
              <w:t>Out-of-Home Care</w:t>
            </w:r>
          </w:p>
        </w:tc>
        <w:tc>
          <w:tcPr>
            <w:tcW w:w="1350" w:type="dxa"/>
            <w:tcBorders>
              <w:top w:val="nil"/>
              <w:left w:val="nil"/>
              <w:bottom w:val="nil"/>
              <w:right w:val="nil"/>
            </w:tcBorders>
          </w:tcPr>
          <w:p w14:paraId="4440A80C"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-1.21 (1.10)</w:t>
            </w:r>
          </w:p>
        </w:tc>
        <w:tc>
          <w:tcPr>
            <w:tcW w:w="1980" w:type="dxa"/>
            <w:tcBorders>
              <w:top w:val="nil"/>
              <w:left w:val="nil"/>
              <w:bottom w:val="nil"/>
              <w:right w:val="nil"/>
            </w:tcBorders>
          </w:tcPr>
          <w:p w14:paraId="7F7B9E16"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-1.55 (1.04)</w:t>
            </w:r>
          </w:p>
        </w:tc>
        <w:tc>
          <w:tcPr>
            <w:tcW w:w="1620" w:type="dxa"/>
            <w:tcBorders>
              <w:top w:val="nil"/>
              <w:left w:val="nil"/>
              <w:bottom w:val="nil"/>
              <w:right w:val="nil"/>
            </w:tcBorders>
          </w:tcPr>
          <w:p w14:paraId="446CA801"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-1.22 (1.10)</w:t>
            </w:r>
          </w:p>
        </w:tc>
        <w:tc>
          <w:tcPr>
            <w:tcW w:w="2250" w:type="dxa"/>
            <w:tcBorders>
              <w:top w:val="nil"/>
              <w:left w:val="nil"/>
              <w:bottom w:val="nil"/>
              <w:right w:val="nil"/>
            </w:tcBorders>
          </w:tcPr>
          <w:p w14:paraId="17760B8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-0.076 (1.16)</w:t>
            </w:r>
          </w:p>
        </w:tc>
      </w:tr>
      <w:tr w:rsidR="0048282A" w:rsidRPr="00442034" w14:paraId="07D89E5E" w14:textId="77777777" w:rsidTr="00352747">
        <w:tc>
          <w:tcPr>
            <w:tcW w:w="1980" w:type="dxa"/>
            <w:tcBorders>
              <w:top w:val="nil"/>
              <w:left w:val="nil"/>
              <w:bottom w:val="single" w:sz="4" w:space="0" w:color="auto"/>
              <w:right w:val="nil"/>
            </w:tcBorders>
          </w:tcPr>
          <w:p w14:paraId="7C7594E3"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Constant</w:t>
            </w:r>
          </w:p>
        </w:tc>
        <w:tc>
          <w:tcPr>
            <w:tcW w:w="1350" w:type="dxa"/>
            <w:tcBorders>
              <w:top w:val="nil"/>
              <w:left w:val="nil"/>
              <w:bottom w:val="single" w:sz="4" w:space="0" w:color="auto"/>
              <w:right w:val="nil"/>
            </w:tcBorders>
          </w:tcPr>
          <w:p w14:paraId="45DDCD8A" w14:textId="77777777" w:rsidR="0048282A" w:rsidRPr="00442034" w:rsidRDefault="0048282A" w:rsidP="00BE5E6D">
            <w:pPr>
              <w:rPr>
                <w:rFonts w:ascii="Times New Roman" w:hAnsi="Times New Roman" w:cs="Times New Roman"/>
                <w:sz w:val="20"/>
                <w:szCs w:val="20"/>
                <w:vertAlign w:val="superscript"/>
              </w:rPr>
            </w:pPr>
            <w:r w:rsidRPr="00442034">
              <w:rPr>
                <w:rFonts w:ascii="Times New Roman" w:hAnsi="Times New Roman" w:cs="Times New Roman"/>
                <w:sz w:val="20"/>
                <w:szCs w:val="20"/>
              </w:rPr>
              <w:t>1.56 (2.28)</w:t>
            </w:r>
          </w:p>
        </w:tc>
        <w:tc>
          <w:tcPr>
            <w:tcW w:w="1980" w:type="dxa"/>
            <w:tcBorders>
              <w:top w:val="nil"/>
              <w:left w:val="nil"/>
              <w:bottom w:val="single" w:sz="4" w:space="0" w:color="auto"/>
              <w:right w:val="nil"/>
            </w:tcBorders>
          </w:tcPr>
          <w:p w14:paraId="6922F162"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1.29 (2.18)</w:t>
            </w:r>
          </w:p>
        </w:tc>
        <w:tc>
          <w:tcPr>
            <w:tcW w:w="1620" w:type="dxa"/>
            <w:tcBorders>
              <w:top w:val="nil"/>
              <w:left w:val="nil"/>
              <w:bottom w:val="single" w:sz="4" w:space="0" w:color="auto"/>
              <w:right w:val="nil"/>
            </w:tcBorders>
          </w:tcPr>
          <w:p w14:paraId="7C933D06"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2.09 (2.31)</w:t>
            </w:r>
          </w:p>
        </w:tc>
        <w:tc>
          <w:tcPr>
            <w:tcW w:w="2250" w:type="dxa"/>
            <w:tcBorders>
              <w:top w:val="nil"/>
              <w:left w:val="nil"/>
              <w:bottom w:val="single" w:sz="4" w:space="0" w:color="auto"/>
              <w:right w:val="nil"/>
            </w:tcBorders>
          </w:tcPr>
          <w:p w14:paraId="37991C1F"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-0.58 (2.72)</w:t>
            </w:r>
          </w:p>
        </w:tc>
      </w:tr>
      <w:tr w:rsidR="0048282A" w:rsidRPr="00442034" w14:paraId="5BBB4387" w14:textId="77777777" w:rsidTr="00352747">
        <w:tc>
          <w:tcPr>
            <w:tcW w:w="1980" w:type="dxa"/>
            <w:tcBorders>
              <w:top w:val="single" w:sz="4" w:space="0" w:color="auto"/>
              <w:left w:val="nil"/>
              <w:bottom w:val="single" w:sz="4" w:space="0" w:color="auto"/>
              <w:right w:val="nil"/>
            </w:tcBorders>
          </w:tcPr>
          <w:p w14:paraId="1C402C1B"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Observations</w:t>
            </w:r>
          </w:p>
        </w:tc>
        <w:tc>
          <w:tcPr>
            <w:tcW w:w="1350" w:type="dxa"/>
            <w:tcBorders>
              <w:top w:val="single" w:sz="4" w:space="0" w:color="auto"/>
              <w:left w:val="nil"/>
              <w:bottom w:val="single" w:sz="4" w:space="0" w:color="auto"/>
              <w:right w:val="nil"/>
            </w:tcBorders>
          </w:tcPr>
          <w:p w14:paraId="64E8C4E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497</w:t>
            </w:r>
          </w:p>
        </w:tc>
        <w:tc>
          <w:tcPr>
            <w:tcW w:w="1980" w:type="dxa"/>
            <w:tcBorders>
              <w:top w:val="single" w:sz="4" w:space="0" w:color="auto"/>
              <w:left w:val="nil"/>
              <w:bottom w:val="single" w:sz="4" w:space="0" w:color="auto"/>
              <w:right w:val="nil"/>
            </w:tcBorders>
          </w:tcPr>
          <w:p w14:paraId="50D5A0A3"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497</w:t>
            </w:r>
          </w:p>
        </w:tc>
        <w:tc>
          <w:tcPr>
            <w:tcW w:w="1620" w:type="dxa"/>
            <w:tcBorders>
              <w:top w:val="single" w:sz="4" w:space="0" w:color="auto"/>
              <w:left w:val="nil"/>
              <w:bottom w:val="single" w:sz="4" w:space="0" w:color="auto"/>
              <w:right w:val="nil"/>
            </w:tcBorders>
          </w:tcPr>
          <w:p w14:paraId="2E807032"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497</w:t>
            </w:r>
          </w:p>
        </w:tc>
        <w:tc>
          <w:tcPr>
            <w:tcW w:w="2250" w:type="dxa"/>
            <w:tcBorders>
              <w:top w:val="single" w:sz="4" w:space="0" w:color="auto"/>
              <w:left w:val="nil"/>
              <w:bottom w:val="single" w:sz="4" w:space="0" w:color="auto"/>
              <w:right w:val="nil"/>
            </w:tcBorders>
          </w:tcPr>
          <w:p w14:paraId="105D05F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497</w:t>
            </w:r>
          </w:p>
        </w:tc>
      </w:tr>
      <w:tr w:rsidR="0048282A" w:rsidRPr="00442034" w14:paraId="5029878D" w14:textId="77777777" w:rsidTr="00352747">
        <w:tc>
          <w:tcPr>
            <w:tcW w:w="9180" w:type="dxa"/>
            <w:gridSpan w:val="5"/>
            <w:tcBorders>
              <w:left w:val="nil"/>
              <w:bottom w:val="nil"/>
              <w:right w:val="nil"/>
            </w:tcBorders>
          </w:tcPr>
          <w:p w14:paraId="3A1A679D" w14:textId="77777777" w:rsidR="0048282A" w:rsidRPr="00442034" w:rsidRDefault="0048282A" w:rsidP="00BE5E6D">
            <w:pPr>
              <w:widowControl w:val="0"/>
              <w:autoSpaceDE w:val="0"/>
              <w:autoSpaceDN w:val="0"/>
              <w:adjustRightInd w:val="0"/>
              <w:rPr>
                <w:rFonts w:ascii="Times New Roman" w:hAnsi="Times New Roman" w:cs="Times New Roman"/>
                <w:sz w:val="20"/>
                <w:szCs w:val="20"/>
              </w:rPr>
            </w:pPr>
            <w:r w:rsidRPr="00442034">
              <w:rPr>
                <w:rFonts w:ascii="Times New Roman" w:hAnsi="Times New Roman" w:cs="Times New Roman"/>
                <w:sz w:val="20"/>
                <w:szCs w:val="20"/>
              </w:rPr>
              <w:t>Source: National Survey of Child and Adolescent Well-Being (NSCAW II)</w:t>
            </w:r>
          </w:p>
          <w:p w14:paraId="2205B626"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0.10,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0.05,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0.01,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0.001</w:t>
            </w:r>
          </w:p>
        </w:tc>
      </w:tr>
    </w:tbl>
    <w:p w14:paraId="64420B74" w14:textId="4F66EAF1" w:rsidR="0048282A" w:rsidRPr="00442034" w:rsidRDefault="0048282A" w:rsidP="00C37F60">
      <w:pPr>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lastRenderedPageBreak/>
        <w:t>Analyses of Living to Thirty-Five</w:t>
      </w:r>
    </w:p>
    <w:p w14:paraId="01CFFF3F" w14:textId="0D6693D3" w:rsidR="00AD7D5D"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Table 6 illustrates the expectations for living to thirty-five, compared to a 50-50 chance base outcome (no chance </w:t>
      </w:r>
      <w:r w:rsidRPr="00442034">
        <w:rPr>
          <w:rFonts w:ascii="Times New Roman" w:hAnsi="Times New Roman" w:cs="Times New Roman"/>
          <w:i/>
          <w:iCs/>
          <w:sz w:val="24"/>
          <w:szCs w:val="24"/>
        </w:rPr>
        <w:t xml:space="preserve">n </w:t>
      </w:r>
      <w:r w:rsidRPr="00442034">
        <w:rPr>
          <w:rFonts w:ascii="Times New Roman" w:hAnsi="Times New Roman" w:cs="Times New Roman"/>
          <w:sz w:val="24"/>
          <w:szCs w:val="24"/>
        </w:rPr>
        <w:t xml:space="preserve">= 1; some chance </w:t>
      </w:r>
      <w:r w:rsidRPr="00442034">
        <w:rPr>
          <w:rFonts w:ascii="Times New Roman" w:hAnsi="Times New Roman" w:cs="Times New Roman"/>
          <w:i/>
          <w:iCs/>
          <w:sz w:val="24"/>
          <w:szCs w:val="24"/>
        </w:rPr>
        <w:t>n</w:t>
      </w:r>
      <w:r w:rsidRPr="00442034">
        <w:rPr>
          <w:rFonts w:ascii="Times New Roman" w:hAnsi="Times New Roman" w:cs="Times New Roman"/>
          <w:sz w:val="24"/>
          <w:szCs w:val="24"/>
        </w:rPr>
        <w:t xml:space="preserve"> = 6 were excluded). Sexual orientation was not significant in either column. Peer support was not significantly different for “Pretty Likely” chances for living to thirty-five compared to a 50-50 chance but was associated with significantly higher log odds for chances that living to thirty-five “Will Happen” compared to a 50-50 chance. In the model comparing “It Will Happen” to a 50-50 chance (Column 2), we also found that relationship with caregiver was associated with higher log odds for expectations for living to thirty-five, though this was marginally significant. This model also revealed that youth living below poverty and maltreatment reports of neglect and sexual abuse all predicted significantly lower log odds for expecting that living to thirty-five will happen. </w:t>
      </w:r>
    </w:p>
    <w:tbl>
      <w:tblPr>
        <w:tblStyle w:val="TableGrid"/>
        <w:tblW w:w="9180" w:type="dxa"/>
        <w:tblLook w:val="04A0" w:firstRow="1" w:lastRow="0" w:firstColumn="1" w:lastColumn="0" w:noHBand="0" w:noVBand="1"/>
      </w:tblPr>
      <w:tblGrid>
        <w:gridCol w:w="3505"/>
        <w:gridCol w:w="3060"/>
        <w:gridCol w:w="2615"/>
      </w:tblGrid>
      <w:tr w:rsidR="0048282A" w:rsidRPr="00442034" w14:paraId="31E84454" w14:textId="77777777" w:rsidTr="00352747">
        <w:tc>
          <w:tcPr>
            <w:tcW w:w="9180" w:type="dxa"/>
            <w:gridSpan w:val="3"/>
            <w:tcBorders>
              <w:top w:val="nil"/>
              <w:left w:val="nil"/>
              <w:bottom w:val="single" w:sz="4" w:space="0" w:color="auto"/>
              <w:right w:val="nil"/>
            </w:tcBorders>
          </w:tcPr>
          <w:p w14:paraId="25E2E791" w14:textId="77777777" w:rsidR="0048282A" w:rsidRPr="00442034" w:rsidRDefault="0048282A" w:rsidP="00BE5E6D">
            <w:pPr>
              <w:ind w:right="-4874"/>
              <w:rPr>
                <w:rFonts w:ascii="Times New Roman" w:hAnsi="Times New Roman" w:cs="Times New Roman"/>
                <w:b/>
                <w:bCs/>
                <w:sz w:val="22"/>
                <w:szCs w:val="22"/>
              </w:rPr>
            </w:pPr>
            <w:r w:rsidRPr="00442034">
              <w:rPr>
                <w:rFonts w:ascii="Times New Roman" w:hAnsi="Times New Roman" w:cs="Times New Roman"/>
                <w:b/>
                <w:bCs/>
                <w:sz w:val="22"/>
                <w:szCs w:val="22"/>
              </w:rPr>
              <w:t xml:space="preserve">Table 6. Main Effects Multinomial Logistic Regression of Expectations for Living to Thirty-Five on Sexual </w:t>
            </w:r>
          </w:p>
          <w:p w14:paraId="0CDA6884" w14:textId="77777777" w:rsidR="0048282A" w:rsidRPr="00442034" w:rsidRDefault="0048282A" w:rsidP="00BE5E6D">
            <w:pPr>
              <w:ind w:right="-4874"/>
              <w:rPr>
                <w:rFonts w:ascii="Times New Roman" w:hAnsi="Times New Roman" w:cs="Times New Roman"/>
                <w:sz w:val="20"/>
                <w:szCs w:val="20"/>
              </w:rPr>
            </w:pPr>
            <w:r w:rsidRPr="00442034">
              <w:rPr>
                <w:rFonts w:ascii="Times New Roman" w:hAnsi="Times New Roman" w:cs="Times New Roman"/>
                <w:b/>
                <w:bCs/>
                <w:sz w:val="22"/>
                <w:szCs w:val="22"/>
              </w:rPr>
              <w:t>Orientation, Peer Support, and Relationship with Caregiver Compared to About 50-50 Chance</w:t>
            </w:r>
          </w:p>
        </w:tc>
      </w:tr>
      <w:tr w:rsidR="0048282A" w:rsidRPr="00442034" w14:paraId="3769FFD8" w14:textId="77777777" w:rsidTr="00352747">
        <w:tc>
          <w:tcPr>
            <w:tcW w:w="3505" w:type="dxa"/>
            <w:tcBorders>
              <w:left w:val="nil"/>
              <w:bottom w:val="single" w:sz="4" w:space="0" w:color="auto"/>
              <w:right w:val="nil"/>
            </w:tcBorders>
          </w:tcPr>
          <w:p w14:paraId="36922315" w14:textId="77777777" w:rsidR="0048282A" w:rsidRPr="00442034" w:rsidRDefault="0048282A" w:rsidP="00BE5E6D">
            <w:pPr>
              <w:rPr>
                <w:rFonts w:ascii="Times New Roman" w:hAnsi="Times New Roman" w:cs="Times New Roman"/>
                <w:sz w:val="20"/>
                <w:szCs w:val="20"/>
              </w:rPr>
            </w:pPr>
          </w:p>
        </w:tc>
        <w:tc>
          <w:tcPr>
            <w:tcW w:w="3060" w:type="dxa"/>
            <w:tcBorders>
              <w:left w:val="nil"/>
              <w:bottom w:val="single" w:sz="4" w:space="0" w:color="auto"/>
              <w:right w:val="nil"/>
            </w:tcBorders>
          </w:tcPr>
          <w:p w14:paraId="1F58AAEE"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Pretty Likely</w:t>
            </w:r>
          </w:p>
          <w:p w14:paraId="27A23F2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2615" w:type="dxa"/>
            <w:tcBorders>
              <w:left w:val="nil"/>
              <w:bottom w:val="single" w:sz="4" w:space="0" w:color="auto"/>
              <w:right w:val="nil"/>
            </w:tcBorders>
          </w:tcPr>
          <w:p w14:paraId="165EB5E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It Will Happen</w:t>
            </w:r>
          </w:p>
          <w:p w14:paraId="4A764CB8"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r>
      <w:tr w:rsidR="0048282A" w:rsidRPr="00442034" w14:paraId="4EA368E6" w14:textId="77777777" w:rsidTr="00352747">
        <w:tc>
          <w:tcPr>
            <w:tcW w:w="3505" w:type="dxa"/>
            <w:tcBorders>
              <w:top w:val="single" w:sz="4" w:space="0" w:color="auto"/>
              <w:left w:val="nil"/>
              <w:bottom w:val="nil"/>
              <w:right w:val="nil"/>
            </w:tcBorders>
          </w:tcPr>
          <w:p w14:paraId="7888C281"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LGBQ Youth</w:t>
            </w:r>
          </w:p>
        </w:tc>
        <w:tc>
          <w:tcPr>
            <w:tcW w:w="3060" w:type="dxa"/>
            <w:tcBorders>
              <w:top w:val="single" w:sz="4" w:space="0" w:color="auto"/>
              <w:left w:val="nil"/>
              <w:bottom w:val="nil"/>
              <w:right w:val="nil"/>
            </w:tcBorders>
          </w:tcPr>
          <w:p w14:paraId="319AC22E"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0.27 (.75)</w:t>
            </w:r>
          </w:p>
        </w:tc>
        <w:tc>
          <w:tcPr>
            <w:tcW w:w="2615" w:type="dxa"/>
            <w:tcBorders>
              <w:top w:val="single" w:sz="4" w:space="0" w:color="auto"/>
              <w:left w:val="nil"/>
              <w:bottom w:val="nil"/>
              <w:right w:val="nil"/>
            </w:tcBorders>
          </w:tcPr>
          <w:p w14:paraId="1918272B"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0.34 (.79)</w:t>
            </w:r>
          </w:p>
        </w:tc>
      </w:tr>
      <w:tr w:rsidR="0048282A" w:rsidRPr="00442034" w14:paraId="02793953" w14:textId="77777777" w:rsidTr="00352747">
        <w:tc>
          <w:tcPr>
            <w:tcW w:w="3505" w:type="dxa"/>
            <w:tcBorders>
              <w:top w:val="nil"/>
              <w:left w:val="nil"/>
              <w:bottom w:val="nil"/>
              <w:right w:val="nil"/>
            </w:tcBorders>
          </w:tcPr>
          <w:p w14:paraId="6DFC15F2"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Peer Support</w:t>
            </w:r>
          </w:p>
        </w:tc>
        <w:tc>
          <w:tcPr>
            <w:tcW w:w="3060" w:type="dxa"/>
            <w:tcBorders>
              <w:top w:val="nil"/>
              <w:left w:val="nil"/>
              <w:bottom w:val="nil"/>
              <w:right w:val="nil"/>
            </w:tcBorders>
          </w:tcPr>
          <w:p w14:paraId="7AE2CF4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0.034 (.03)</w:t>
            </w:r>
          </w:p>
        </w:tc>
        <w:tc>
          <w:tcPr>
            <w:tcW w:w="2615" w:type="dxa"/>
            <w:tcBorders>
              <w:top w:val="nil"/>
              <w:left w:val="nil"/>
              <w:bottom w:val="nil"/>
              <w:right w:val="nil"/>
            </w:tcBorders>
          </w:tcPr>
          <w:p w14:paraId="6A380734"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0.055 (.</w:t>
            </w:r>
            <w:proofErr w:type="gramStart"/>
            <w:r w:rsidRPr="00442034">
              <w:rPr>
                <w:rFonts w:ascii="Times New Roman" w:hAnsi="Times New Roman" w:cs="Times New Roman"/>
                <w:sz w:val="20"/>
                <w:szCs w:val="20"/>
              </w:rPr>
              <w:t>03)</w:t>
            </w:r>
            <w:r w:rsidRPr="00442034">
              <w:rPr>
                <w:rFonts w:ascii="Times New Roman" w:hAnsi="Times New Roman" w:cs="Times New Roman"/>
                <w:sz w:val="20"/>
                <w:szCs w:val="20"/>
                <w:vertAlign w:val="superscript"/>
              </w:rPr>
              <w:t>*</w:t>
            </w:r>
            <w:proofErr w:type="gramEnd"/>
          </w:p>
        </w:tc>
      </w:tr>
      <w:tr w:rsidR="0048282A" w:rsidRPr="00442034" w14:paraId="1836AAE6" w14:textId="77777777" w:rsidTr="00352747">
        <w:trPr>
          <w:trHeight w:val="324"/>
        </w:trPr>
        <w:tc>
          <w:tcPr>
            <w:tcW w:w="3505" w:type="dxa"/>
            <w:tcBorders>
              <w:top w:val="nil"/>
              <w:left w:val="nil"/>
              <w:bottom w:val="nil"/>
              <w:right w:val="nil"/>
            </w:tcBorders>
          </w:tcPr>
          <w:p w14:paraId="7F98DA0C"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Relationship with Caregiver</w:t>
            </w:r>
          </w:p>
        </w:tc>
        <w:tc>
          <w:tcPr>
            <w:tcW w:w="3060" w:type="dxa"/>
            <w:tcBorders>
              <w:top w:val="nil"/>
              <w:left w:val="nil"/>
              <w:bottom w:val="nil"/>
              <w:right w:val="nil"/>
            </w:tcBorders>
          </w:tcPr>
          <w:p w14:paraId="25F207B5"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0.033 (.04)</w:t>
            </w:r>
          </w:p>
        </w:tc>
        <w:tc>
          <w:tcPr>
            <w:tcW w:w="2615" w:type="dxa"/>
            <w:tcBorders>
              <w:top w:val="nil"/>
              <w:left w:val="nil"/>
              <w:bottom w:val="nil"/>
              <w:right w:val="nil"/>
            </w:tcBorders>
          </w:tcPr>
          <w:p w14:paraId="511E7335"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0.072 (.04)</w:t>
            </w:r>
            <w:r w:rsidRPr="00442034">
              <w:rPr>
                <w:rFonts w:ascii="Times New Roman" w:hAnsi="Times New Roman" w:cs="Times New Roman"/>
                <w:sz w:val="20"/>
                <w:szCs w:val="20"/>
                <w:vertAlign w:val="superscript"/>
              </w:rPr>
              <w:t xml:space="preserve"> †</w:t>
            </w:r>
          </w:p>
        </w:tc>
      </w:tr>
      <w:tr w:rsidR="0048282A" w:rsidRPr="00442034" w14:paraId="7A9FB36D" w14:textId="77777777" w:rsidTr="00352747">
        <w:tc>
          <w:tcPr>
            <w:tcW w:w="3505" w:type="dxa"/>
            <w:tcBorders>
              <w:top w:val="nil"/>
              <w:left w:val="nil"/>
              <w:bottom w:val="nil"/>
              <w:right w:val="nil"/>
            </w:tcBorders>
          </w:tcPr>
          <w:p w14:paraId="0446E996"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i/>
                <w:iCs/>
                <w:sz w:val="20"/>
                <w:szCs w:val="20"/>
              </w:rPr>
              <w:t>Controls</w:t>
            </w:r>
          </w:p>
        </w:tc>
        <w:tc>
          <w:tcPr>
            <w:tcW w:w="3060" w:type="dxa"/>
            <w:tcBorders>
              <w:top w:val="nil"/>
              <w:left w:val="nil"/>
              <w:bottom w:val="nil"/>
              <w:right w:val="nil"/>
            </w:tcBorders>
          </w:tcPr>
          <w:p w14:paraId="2F7BE387" w14:textId="77777777" w:rsidR="0048282A" w:rsidRPr="00442034" w:rsidRDefault="0048282A" w:rsidP="00BE5E6D">
            <w:pPr>
              <w:jc w:val="center"/>
              <w:rPr>
                <w:rFonts w:ascii="Times New Roman" w:hAnsi="Times New Roman" w:cs="Times New Roman"/>
                <w:sz w:val="20"/>
                <w:szCs w:val="20"/>
              </w:rPr>
            </w:pPr>
          </w:p>
        </w:tc>
        <w:tc>
          <w:tcPr>
            <w:tcW w:w="2615" w:type="dxa"/>
            <w:tcBorders>
              <w:top w:val="nil"/>
              <w:left w:val="nil"/>
              <w:bottom w:val="nil"/>
              <w:right w:val="nil"/>
            </w:tcBorders>
          </w:tcPr>
          <w:p w14:paraId="3ED4892F" w14:textId="77777777" w:rsidR="0048282A" w:rsidRPr="00442034" w:rsidRDefault="0048282A" w:rsidP="00BE5E6D">
            <w:pPr>
              <w:jc w:val="center"/>
              <w:rPr>
                <w:rFonts w:ascii="Times New Roman" w:hAnsi="Times New Roman" w:cs="Times New Roman"/>
                <w:sz w:val="20"/>
                <w:szCs w:val="20"/>
              </w:rPr>
            </w:pPr>
          </w:p>
        </w:tc>
      </w:tr>
      <w:tr w:rsidR="0048282A" w:rsidRPr="00442034" w14:paraId="545C6E7D" w14:textId="77777777" w:rsidTr="00352747">
        <w:tc>
          <w:tcPr>
            <w:tcW w:w="3505" w:type="dxa"/>
            <w:tcBorders>
              <w:top w:val="nil"/>
              <w:left w:val="nil"/>
              <w:bottom w:val="nil"/>
              <w:right w:val="nil"/>
            </w:tcBorders>
          </w:tcPr>
          <w:p w14:paraId="5BB35741" w14:textId="77777777" w:rsidR="0048282A" w:rsidRPr="00442034" w:rsidRDefault="0048282A" w:rsidP="00BE5E6D">
            <w:pPr>
              <w:rPr>
                <w:rFonts w:ascii="Times New Roman" w:hAnsi="Times New Roman" w:cs="Times New Roman"/>
                <w:i/>
                <w:iCs/>
                <w:sz w:val="20"/>
                <w:szCs w:val="20"/>
              </w:rPr>
            </w:pPr>
            <w:r w:rsidRPr="00442034">
              <w:rPr>
                <w:rFonts w:ascii="Times New Roman" w:hAnsi="Times New Roman" w:cs="Times New Roman"/>
                <w:sz w:val="20"/>
                <w:szCs w:val="20"/>
              </w:rPr>
              <w:t xml:space="preserve">Black </w:t>
            </w:r>
            <w:proofErr w:type="gramStart"/>
            <w:r w:rsidRPr="00442034">
              <w:rPr>
                <w:rFonts w:ascii="Times New Roman" w:hAnsi="Times New Roman" w:cs="Times New Roman"/>
                <w:sz w:val="20"/>
                <w:szCs w:val="20"/>
              </w:rPr>
              <w:t>Non-Hispanic</w:t>
            </w:r>
            <w:proofErr w:type="gramEnd"/>
          </w:p>
        </w:tc>
        <w:tc>
          <w:tcPr>
            <w:tcW w:w="3060" w:type="dxa"/>
            <w:tcBorders>
              <w:top w:val="nil"/>
              <w:left w:val="nil"/>
              <w:bottom w:val="nil"/>
              <w:right w:val="nil"/>
            </w:tcBorders>
          </w:tcPr>
          <w:p w14:paraId="0A273FCB"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0.57 (.69)</w:t>
            </w:r>
          </w:p>
        </w:tc>
        <w:tc>
          <w:tcPr>
            <w:tcW w:w="2615" w:type="dxa"/>
            <w:tcBorders>
              <w:top w:val="nil"/>
              <w:left w:val="nil"/>
              <w:bottom w:val="nil"/>
              <w:right w:val="nil"/>
            </w:tcBorders>
          </w:tcPr>
          <w:p w14:paraId="1EC706CB"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1.43 (.</w:t>
            </w:r>
            <w:proofErr w:type="gramStart"/>
            <w:r w:rsidRPr="00442034">
              <w:rPr>
                <w:rFonts w:ascii="Times New Roman" w:hAnsi="Times New Roman" w:cs="Times New Roman"/>
                <w:sz w:val="20"/>
                <w:szCs w:val="20"/>
              </w:rPr>
              <w:t>64)</w:t>
            </w:r>
            <w:r w:rsidRPr="00442034">
              <w:rPr>
                <w:rFonts w:ascii="Times New Roman" w:hAnsi="Times New Roman" w:cs="Times New Roman"/>
                <w:sz w:val="20"/>
                <w:szCs w:val="20"/>
                <w:vertAlign w:val="superscript"/>
              </w:rPr>
              <w:t>*</w:t>
            </w:r>
            <w:proofErr w:type="gramEnd"/>
          </w:p>
        </w:tc>
      </w:tr>
      <w:tr w:rsidR="0048282A" w:rsidRPr="00442034" w14:paraId="3D59B0F0" w14:textId="77777777" w:rsidTr="00352747">
        <w:tc>
          <w:tcPr>
            <w:tcW w:w="3505" w:type="dxa"/>
            <w:tcBorders>
              <w:top w:val="nil"/>
              <w:left w:val="nil"/>
              <w:bottom w:val="nil"/>
              <w:right w:val="nil"/>
            </w:tcBorders>
          </w:tcPr>
          <w:p w14:paraId="79079BF4"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 xml:space="preserve">Hispanic </w:t>
            </w:r>
          </w:p>
        </w:tc>
        <w:tc>
          <w:tcPr>
            <w:tcW w:w="3060" w:type="dxa"/>
            <w:tcBorders>
              <w:top w:val="nil"/>
              <w:left w:val="nil"/>
              <w:bottom w:val="nil"/>
              <w:right w:val="nil"/>
            </w:tcBorders>
          </w:tcPr>
          <w:p w14:paraId="33F6EB15"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0.34 (.65)</w:t>
            </w:r>
          </w:p>
        </w:tc>
        <w:tc>
          <w:tcPr>
            <w:tcW w:w="2615" w:type="dxa"/>
            <w:tcBorders>
              <w:top w:val="nil"/>
              <w:left w:val="nil"/>
              <w:bottom w:val="nil"/>
              <w:right w:val="nil"/>
            </w:tcBorders>
          </w:tcPr>
          <w:p w14:paraId="22A55FD2"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0.35 (.66)</w:t>
            </w:r>
          </w:p>
        </w:tc>
      </w:tr>
      <w:tr w:rsidR="0048282A" w:rsidRPr="00442034" w14:paraId="26953E7E" w14:textId="77777777" w:rsidTr="00352747">
        <w:tc>
          <w:tcPr>
            <w:tcW w:w="3505" w:type="dxa"/>
            <w:tcBorders>
              <w:top w:val="nil"/>
              <w:left w:val="nil"/>
              <w:bottom w:val="nil"/>
              <w:right w:val="nil"/>
            </w:tcBorders>
          </w:tcPr>
          <w:p w14:paraId="34E5C320"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Other Race</w:t>
            </w:r>
          </w:p>
        </w:tc>
        <w:tc>
          <w:tcPr>
            <w:tcW w:w="3060" w:type="dxa"/>
            <w:tcBorders>
              <w:top w:val="nil"/>
              <w:left w:val="nil"/>
              <w:bottom w:val="nil"/>
              <w:right w:val="nil"/>
            </w:tcBorders>
          </w:tcPr>
          <w:p w14:paraId="6D7B7797"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-0.31 (.71)</w:t>
            </w:r>
          </w:p>
        </w:tc>
        <w:tc>
          <w:tcPr>
            <w:tcW w:w="2615" w:type="dxa"/>
            <w:tcBorders>
              <w:top w:val="nil"/>
              <w:left w:val="nil"/>
              <w:bottom w:val="nil"/>
              <w:right w:val="nil"/>
            </w:tcBorders>
          </w:tcPr>
          <w:p w14:paraId="34A7DB4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-0.72 (.74)</w:t>
            </w:r>
          </w:p>
        </w:tc>
      </w:tr>
      <w:tr w:rsidR="0048282A" w:rsidRPr="00442034" w14:paraId="7631ED31" w14:textId="77777777" w:rsidTr="00352747">
        <w:tc>
          <w:tcPr>
            <w:tcW w:w="3505" w:type="dxa"/>
            <w:tcBorders>
              <w:top w:val="nil"/>
              <w:left w:val="nil"/>
              <w:bottom w:val="nil"/>
              <w:right w:val="nil"/>
            </w:tcBorders>
          </w:tcPr>
          <w:p w14:paraId="468B249D"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Female</w:t>
            </w:r>
          </w:p>
        </w:tc>
        <w:tc>
          <w:tcPr>
            <w:tcW w:w="3060" w:type="dxa"/>
            <w:tcBorders>
              <w:top w:val="nil"/>
              <w:left w:val="nil"/>
              <w:bottom w:val="nil"/>
              <w:right w:val="nil"/>
            </w:tcBorders>
          </w:tcPr>
          <w:p w14:paraId="630887C1"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-0.18 (.50)</w:t>
            </w:r>
          </w:p>
        </w:tc>
        <w:tc>
          <w:tcPr>
            <w:tcW w:w="2615" w:type="dxa"/>
            <w:tcBorders>
              <w:top w:val="nil"/>
              <w:left w:val="nil"/>
              <w:bottom w:val="nil"/>
              <w:right w:val="nil"/>
            </w:tcBorders>
          </w:tcPr>
          <w:p w14:paraId="594CE675"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0.042 (.47)</w:t>
            </w:r>
          </w:p>
        </w:tc>
      </w:tr>
      <w:tr w:rsidR="0048282A" w:rsidRPr="00442034" w14:paraId="176C78FE" w14:textId="77777777" w:rsidTr="00352747">
        <w:tc>
          <w:tcPr>
            <w:tcW w:w="3505" w:type="dxa"/>
            <w:tcBorders>
              <w:top w:val="nil"/>
              <w:left w:val="nil"/>
              <w:bottom w:val="nil"/>
              <w:right w:val="nil"/>
            </w:tcBorders>
          </w:tcPr>
          <w:p w14:paraId="74657712"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Age</w:t>
            </w:r>
          </w:p>
        </w:tc>
        <w:tc>
          <w:tcPr>
            <w:tcW w:w="3060" w:type="dxa"/>
            <w:tcBorders>
              <w:top w:val="nil"/>
              <w:left w:val="nil"/>
              <w:bottom w:val="nil"/>
              <w:right w:val="nil"/>
            </w:tcBorders>
          </w:tcPr>
          <w:p w14:paraId="7395DA8F"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0.17 (.15)</w:t>
            </w:r>
          </w:p>
        </w:tc>
        <w:tc>
          <w:tcPr>
            <w:tcW w:w="2615" w:type="dxa"/>
            <w:tcBorders>
              <w:top w:val="nil"/>
              <w:left w:val="nil"/>
              <w:bottom w:val="nil"/>
              <w:right w:val="nil"/>
            </w:tcBorders>
          </w:tcPr>
          <w:p w14:paraId="56EE84E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0.066 (.10)</w:t>
            </w:r>
          </w:p>
        </w:tc>
      </w:tr>
      <w:tr w:rsidR="0048282A" w:rsidRPr="00442034" w14:paraId="6C9E9288" w14:textId="77777777" w:rsidTr="00352747">
        <w:tc>
          <w:tcPr>
            <w:tcW w:w="3505" w:type="dxa"/>
            <w:tcBorders>
              <w:top w:val="nil"/>
              <w:left w:val="nil"/>
              <w:bottom w:val="nil"/>
              <w:right w:val="nil"/>
            </w:tcBorders>
          </w:tcPr>
          <w:p w14:paraId="376A662A"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Urban</w:t>
            </w:r>
          </w:p>
        </w:tc>
        <w:tc>
          <w:tcPr>
            <w:tcW w:w="3060" w:type="dxa"/>
            <w:tcBorders>
              <w:top w:val="nil"/>
              <w:left w:val="nil"/>
              <w:bottom w:val="nil"/>
              <w:right w:val="nil"/>
            </w:tcBorders>
          </w:tcPr>
          <w:p w14:paraId="07DE3473"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-1.09 (.80)</w:t>
            </w:r>
          </w:p>
        </w:tc>
        <w:tc>
          <w:tcPr>
            <w:tcW w:w="2615" w:type="dxa"/>
            <w:tcBorders>
              <w:top w:val="nil"/>
              <w:left w:val="nil"/>
              <w:bottom w:val="nil"/>
              <w:right w:val="nil"/>
            </w:tcBorders>
          </w:tcPr>
          <w:p w14:paraId="728ED56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-0.20 (.83)</w:t>
            </w:r>
          </w:p>
        </w:tc>
      </w:tr>
      <w:tr w:rsidR="0048282A" w:rsidRPr="00442034" w14:paraId="0B0F9290" w14:textId="77777777" w:rsidTr="00352747">
        <w:tc>
          <w:tcPr>
            <w:tcW w:w="3505" w:type="dxa"/>
            <w:tcBorders>
              <w:top w:val="nil"/>
              <w:left w:val="nil"/>
              <w:bottom w:val="nil"/>
              <w:right w:val="nil"/>
            </w:tcBorders>
          </w:tcPr>
          <w:p w14:paraId="1A6866D1"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Below Poverty</w:t>
            </w:r>
          </w:p>
        </w:tc>
        <w:tc>
          <w:tcPr>
            <w:tcW w:w="3060" w:type="dxa"/>
            <w:tcBorders>
              <w:top w:val="nil"/>
              <w:left w:val="nil"/>
              <w:bottom w:val="nil"/>
              <w:right w:val="nil"/>
            </w:tcBorders>
          </w:tcPr>
          <w:p w14:paraId="323D19B2"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-0.81 (.44)</w:t>
            </w:r>
            <w:r w:rsidRPr="00442034">
              <w:rPr>
                <w:rFonts w:ascii="Times New Roman" w:hAnsi="Times New Roman" w:cs="Times New Roman"/>
                <w:sz w:val="20"/>
                <w:szCs w:val="20"/>
                <w:vertAlign w:val="superscript"/>
              </w:rPr>
              <w:t xml:space="preserve"> †</w:t>
            </w:r>
          </w:p>
        </w:tc>
        <w:tc>
          <w:tcPr>
            <w:tcW w:w="2615" w:type="dxa"/>
            <w:tcBorders>
              <w:top w:val="nil"/>
              <w:left w:val="nil"/>
              <w:bottom w:val="nil"/>
              <w:right w:val="nil"/>
            </w:tcBorders>
          </w:tcPr>
          <w:p w14:paraId="6D0F9D39"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-0.70 (.</w:t>
            </w:r>
            <w:proofErr w:type="gramStart"/>
            <w:r w:rsidRPr="00442034">
              <w:rPr>
                <w:rFonts w:ascii="Times New Roman" w:hAnsi="Times New Roman" w:cs="Times New Roman"/>
                <w:sz w:val="20"/>
                <w:szCs w:val="20"/>
              </w:rPr>
              <w:t>33)</w:t>
            </w:r>
            <w:r w:rsidRPr="00442034">
              <w:rPr>
                <w:rFonts w:ascii="Times New Roman" w:hAnsi="Times New Roman" w:cs="Times New Roman"/>
                <w:sz w:val="20"/>
                <w:szCs w:val="20"/>
                <w:vertAlign w:val="superscript"/>
              </w:rPr>
              <w:t>*</w:t>
            </w:r>
            <w:proofErr w:type="gramEnd"/>
          </w:p>
        </w:tc>
      </w:tr>
      <w:tr w:rsidR="0048282A" w:rsidRPr="00442034" w14:paraId="422BFA7B" w14:textId="77777777" w:rsidTr="00352747">
        <w:tc>
          <w:tcPr>
            <w:tcW w:w="3505" w:type="dxa"/>
            <w:tcBorders>
              <w:top w:val="nil"/>
              <w:left w:val="nil"/>
              <w:bottom w:val="nil"/>
              <w:right w:val="nil"/>
            </w:tcBorders>
          </w:tcPr>
          <w:p w14:paraId="6F7665B7"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Foster Parents</w:t>
            </w:r>
          </w:p>
        </w:tc>
        <w:tc>
          <w:tcPr>
            <w:tcW w:w="3060" w:type="dxa"/>
            <w:tcBorders>
              <w:top w:val="nil"/>
              <w:left w:val="nil"/>
              <w:bottom w:val="nil"/>
              <w:right w:val="nil"/>
            </w:tcBorders>
          </w:tcPr>
          <w:p w14:paraId="2C2921A8"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0.33 (1.32)</w:t>
            </w:r>
          </w:p>
        </w:tc>
        <w:tc>
          <w:tcPr>
            <w:tcW w:w="2615" w:type="dxa"/>
            <w:tcBorders>
              <w:top w:val="nil"/>
              <w:left w:val="nil"/>
              <w:bottom w:val="nil"/>
              <w:right w:val="nil"/>
            </w:tcBorders>
          </w:tcPr>
          <w:p w14:paraId="40FCED64"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-0.78 (1.49)</w:t>
            </w:r>
          </w:p>
        </w:tc>
      </w:tr>
      <w:tr w:rsidR="0048282A" w:rsidRPr="00442034" w14:paraId="3F2BE686" w14:textId="77777777" w:rsidTr="00352747">
        <w:tc>
          <w:tcPr>
            <w:tcW w:w="3505" w:type="dxa"/>
            <w:tcBorders>
              <w:top w:val="nil"/>
              <w:left w:val="nil"/>
              <w:bottom w:val="nil"/>
              <w:right w:val="nil"/>
            </w:tcBorders>
          </w:tcPr>
          <w:p w14:paraId="2C3522C4"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Kinship Care</w:t>
            </w:r>
          </w:p>
        </w:tc>
        <w:tc>
          <w:tcPr>
            <w:tcW w:w="3060" w:type="dxa"/>
            <w:tcBorders>
              <w:top w:val="nil"/>
              <w:left w:val="nil"/>
              <w:bottom w:val="nil"/>
              <w:right w:val="nil"/>
            </w:tcBorders>
          </w:tcPr>
          <w:p w14:paraId="0D838A21"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0.20 (1.32)</w:t>
            </w:r>
          </w:p>
        </w:tc>
        <w:tc>
          <w:tcPr>
            <w:tcW w:w="2615" w:type="dxa"/>
            <w:tcBorders>
              <w:top w:val="nil"/>
              <w:left w:val="nil"/>
              <w:bottom w:val="nil"/>
              <w:right w:val="nil"/>
            </w:tcBorders>
          </w:tcPr>
          <w:p w14:paraId="0A56CE10"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-0.12 (1.38)</w:t>
            </w:r>
          </w:p>
        </w:tc>
      </w:tr>
      <w:tr w:rsidR="0048282A" w:rsidRPr="00442034" w14:paraId="57370203" w14:textId="77777777" w:rsidTr="00352747">
        <w:tc>
          <w:tcPr>
            <w:tcW w:w="3505" w:type="dxa"/>
            <w:tcBorders>
              <w:top w:val="nil"/>
              <w:left w:val="nil"/>
              <w:bottom w:val="nil"/>
              <w:right w:val="nil"/>
            </w:tcBorders>
          </w:tcPr>
          <w:p w14:paraId="12376AB0"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Substantiated Report</w:t>
            </w:r>
          </w:p>
        </w:tc>
        <w:tc>
          <w:tcPr>
            <w:tcW w:w="3060" w:type="dxa"/>
            <w:tcBorders>
              <w:top w:val="nil"/>
              <w:left w:val="nil"/>
              <w:bottom w:val="nil"/>
              <w:right w:val="nil"/>
            </w:tcBorders>
          </w:tcPr>
          <w:p w14:paraId="7304AAC4"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-0.64 (.56)</w:t>
            </w:r>
          </w:p>
        </w:tc>
        <w:tc>
          <w:tcPr>
            <w:tcW w:w="2615" w:type="dxa"/>
            <w:tcBorders>
              <w:top w:val="nil"/>
              <w:left w:val="nil"/>
              <w:bottom w:val="nil"/>
              <w:right w:val="nil"/>
            </w:tcBorders>
          </w:tcPr>
          <w:p w14:paraId="15181053"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0.21 (.44)</w:t>
            </w:r>
          </w:p>
        </w:tc>
      </w:tr>
      <w:tr w:rsidR="0048282A" w:rsidRPr="00442034" w14:paraId="457B62DC" w14:textId="77777777" w:rsidTr="00352747">
        <w:tc>
          <w:tcPr>
            <w:tcW w:w="3505" w:type="dxa"/>
            <w:tcBorders>
              <w:top w:val="nil"/>
              <w:left w:val="nil"/>
              <w:bottom w:val="nil"/>
              <w:right w:val="nil"/>
            </w:tcBorders>
          </w:tcPr>
          <w:p w14:paraId="74552054"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Neglect</w:t>
            </w:r>
          </w:p>
        </w:tc>
        <w:tc>
          <w:tcPr>
            <w:tcW w:w="3060" w:type="dxa"/>
            <w:tcBorders>
              <w:top w:val="nil"/>
              <w:left w:val="nil"/>
              <w:bottom w:val="nil"/>
              <w:right w:val="nil"/>
            </w:tcBorders>
          </w:tcPr>
          <w:p w14:paraId="00C61E4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-0.79 (.74)</w:t>
            </w:r>
          </w:p>
        </w:tc>
        <w:tc>
          <w:tcPr>
            <w:tcW w:w="2615" w:type="dxa"/>
            <w:tcBorders>
              <w:top w:val="nil"/>
              <w:left w:val="nil"/>
              <w:bottom w:val="nil"/>
              <w:right w:val="nil"/>
            </w:tcBorders>
          </w:tcPr>
          <w:p w14:paraId="4B84ECC0"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-1.35 (.</w:t>
            </w:r>
            <w:proofErr w:type="gramStart"/>
            <w:r w:rsidRPr="00442034">
              <w:rPr>
                <w:rFonts w:ascii="Times New Roman" w:hAnsi="Times New Roman" w:cs="Times New Roman"/>
                <w:sz w:val="20"/>
                <w:szCs w:val="20"/>
              </w:rPr>
              <w:t>68)</w:t>
            </w:r>
            <w:r w:rsidRPr="00442034">
              <w:rPr>
                <w:rFonts w:ascii="Times New Roman" w:hAnsi="Times New Roman" w:cs="Times New Roman"/>
                <w:sz w:val="20"/>
                <w:szCs w:val="20"/>
                <w:vertAlign w:val="superscript"/>
              </w:rPr>
              <w:t>*</w:t>
            </w:r>
            <w:proofErr w:type="gramEnd"/>
          </w:p>
        </w:tc>
      </w:tr>
      <w:tr w:rsidR="0048282A" w:rsidRPr="00442034" w14:paraId="5DD15FCA" w14:textId="77777777" w:rsidTr="00352747">
        <w:tc>
          <w:tcPr>
            <w:tcW w:w="3505" w:type="dxa"/>
            <w:tcBorders>
              <w:top w:val="nil"/>
              <w:left w:val="nil"/>
              <w:bottom w:val="nil"/>
              <w:right w:val="nil"/>
            </w:tcBorders>
          </w:tcPr>
          <w:p w14:paraId="298C6073"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Substance Related</w:t>
            </w:r>
          </w:p>
        </w:tc>
        <w:tc>
          <w:tcPr>
            <w:tcW w:w="3060" w:type="dxa"/>
            <w:tcBorders>
              <w:top w:val="nil"/>
              <w:left w:val="nil"/>
              <w:bottom w:val="nil"/>
              <w:right w:val="nil"/>
            </w:tcBorders>
          </w:tcPr>
          <w:p w14:paraId="095CDD0B"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-1.15 (1.31)</w:t>
            </w:r>
          </w:p>
        </w:tc>
        <w:tc>
          <w:tcPr>
            <w:tcW w:w="2615" w:type="dxa"/>
            <w:tcBorders>
              <w:top w:val="nil"/>
              <w:left w:val="nil"/>
              <w:bottom w:val="nil"/>
              <w:right w:val="nil"/>
            </w:tcBorders>
          </w:tcPr>
          <w:p w14:paraId="4A98AA7D"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-0.92 (1.01)</w:t>
            </w:r>
          </w:p>
        </w:tc>
      </w:tr>
      <w:tr w:rsidR="0048282A" w:rsidRPr="00442034" w14:paraId="6DF73203" w14:textId="77777777" w:rsidTr="00352747">
        <w:tc>
          <w:tcPr>
            <w:tcW w:w="3505" w:type="dxa"/>
            <w:tcBorders>
              <w:top w:val="nil"/>
              <w:left w:val="nil"/>
              <w:bottom w:val="nil"/>
              <w:right w:val="nil"/>
            </w:tcBorders>
          </w:tcPr>
          <w:p w14:paraId="4454B52E"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Domestic Violence</w:t>
            </w:r>
          </w:p>
        </w:tc>
        <w:tc>
          <w:tcPr>
            <w:tcW w:w="3060" w:type="dxa"/>
            <w:tcBorders>
              <w:top w:val="nil"/>
              <w:left w:val="nil"/>
              <w:bottom w:val="nil"/>
              <w:right w:val="nil"/>
            </w:tcBorders>
          </w:tcPr>
          <w:p w14:paraId="00B775AA"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-1.27 (.88)</w:t>
            </w:r>
          </w:p>
        </w:tc>
        <w:tc>
          <w:tcPr>
            <w:tcW w:w="2615" w:type="dxa"/>
            <w:tcBorders>
              <w:top w:val="nil"/>
              <w:left w:val="nil"/>
              <w:bottom w:val="nil"/>
              <w:right w:val="nil"/>
            </w:tcBorders>
          </w:tcPr>
          <w:p w14:paraId="1929A6F8"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-0.79 (.92)</w:t>
            </w:r>
          </w:p>
        </w:tc>
      </w:tr>
      <w:tr w:rsidR="0048282A" w:rsidRPr="00442034" w14:paraId="705444B2" w14:textId="77777777" w:rsidTr="00352747">
        <w:tc>
          <w:tcPr>
            <w:tcW w:w="3505" w:type="dxa"/>
            <w:tcBorders>
              <w:top w:val="nil"/>
              <w:left w:val="nil"/>
              <w:bottom w:val="nil"/>
              <w:right w:val="nil"/>
            </w:tcBorders>
          </w:tcPr>
          <w:p w14:paraId="3F469217"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Sexual Abuse</w:t>
            </w:r>
          </w:p>
        </w:tc>
        <w:tc>
          <w:tcPr>
            <w:tcW w:w="3060" w:type="dxa"/>
            <w:tcBorders>
              <w:top w:val="nil"/>
              <w:left w:val="nil"/>
              <w:bottom w:val="nil"/>
              <w:right w:val="nil"/>
            </w:tcBorders>
          </w:tcPr>
          <w:p w14:paraId="115F5B4B"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-1.56 (.80)</w:t>
            </w:r>
            <w:r w:rsidRPr="00442034">
              <w:rPr>
                <w:rFonts w:ascii="Times New Roman" w:hAnsi="Times New Roman" w:cs="Times New Roman"/>
                <w:sz w:val="20"/>
                <w:szCs w:val="20"/>
                <w:vertAlign w:val="superscript"/>
              </w:rPr>
              <w:t xml:space="preserve"> †</w:t>
            </w:r>
          </w:p>
        </w:tc>
        <w:tc>
          <w:tcPr>
            <w:tcW w:w="2615" w:type="dxa"/>
            <w:tcBorders>
              <w:top w:val="nil"/>
              <w:left w:val="nil"/>
              <w:bottom w:val="nil"/>
              <w:right w:val="nil"/>
            </w:tcBorders>
          </w:tcPr>
          <w:p w14:paraId="123E050B"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-1.97 (.</w:t>
            </w:r>
            <w:proofErr w:type="gramStart"/>
            <w:r w:rsidRPr="00442034">
              <w:rPr>
                <w:rFonts w:ascii="Times New Roman" w:hAnsi="Times New Roman" w:cs="Times New Roman"/>
                <w:sz w:val="20"/>
                <w:szCs w:val="20"/>
              </w:rPr>
              <w:t>78)</w:t>
            </w:r>
            <w:r w:rsidRPr="00442034">
              <w:rPr>
                <w:rFonts w:ascii="Times New Roman" w:hAnsi="Times New Roman" w:cs="Times New Roman"/>
                <w:sz w:val="20"/>
                <w:szCs w:val="20"/>
                <w:vertAlign w:val="superscript"/>
              </w:rPr>
              <w:t>*</w:t>
            </w:r>
            <w:proofErr w:type="gramEnd"/>
          </w:p>
        </w:tc>
      </w:tr>
      <w:tr w:rsidR="0048282A" w:rsidRPr="00442034" w14:paraId="25AAFD94" w14:textId="77777777" w:rsidTr="00352747">
        <w:tc>
          <w:tcPr>
            <w:tcW w:w="3505" w:type="dxa"/>
            <w:tcBorders>
              <w:top w:val="nil"/>
              <w:left w:val="nil"/>
              <w:bottom w:val="nil"/>
              <w:right w:val="nil"/>
            </w:tcBorders>
          </w:tcPr>
          <w:p w14:paraId="6BDC485D"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Other</w:t>
            </w:r>
          </w:p>
        </w:tc>
        <w:tc>
          <w:tcPr>
            <w:tcW w:w="3060" w:type="dxa"/>
            <w:tcBorders>
              <w:top w:val="nil"/>
              <w:left w:val="nil"/>
              <w:bottom w:val="nil"/>
              <w:right w:val="nil"/>
            </w:tcBorders>
          </w:tcPr>
          <w:p w14:paraId="7CD1009B"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-0.93 (.87)</w:t>
            </w:r>
          </w:p>
        </w:tc>
        <w:tc>
          <w:tcPr>
            <w:tcW w:w="2615" w:type="dxa"/>
            <w:tcBorders>
              <w:top w:val="nil"/>
              <w:left w:val="nil"/>
              <w:bottom w:val="nil"/>
              <w:right w:val="nil"/>
            </w:tcBorders>
          </w:tcPr>
          <w:p w14:paraId="79113F01"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0.30 (.87)</w:t>
            </w:r>
          </w:p>
        </w:tc>
      </w:tr>
      <w:tr w:rsidR="0048282A" w:rsidRPr="00442034" w14:paraId="23362A3E" w14:textId="77777777" w:rsidTr="00352747">
        <w:tc>
          <w:tcPr>
            <w:tcW w:w="3505" w:type="dxa"/>
            <w:tcBorders>
              <w:top w:val="nil"/>
              <w:left w:val="nil"/>
              <w:bottom w:val="nil"/>
              <w:right w:val="nil"/>
            </w:tcBorders>
          </w:tcPr>
          <w:p w14:paraId="2BCEE61E"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Out-of-Home Care</w:t>
            </w:r>
          </w:p>
        </w:tc>
        <w:tc>
          <w:tcPr>
            <w:tcW w:w="3060" w:type="dxa"/>
            <w:tcBorders>
              <w:top w:val="nil"/>
              <w:left w:val="nil"/>
              <w:bottom w:val="nil"/>
              <w:right w:val="nil"/>
            </w:tcBorders>
          </w:tcPr>
          <w:p w14:paraId="3B5ECE16"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-0.56 (1.15)</w:t>
            </w:r>
          </w:p>
        </w:tc>
        <w:tc>
          <w:tcPr>
            <w:tcW w:w="2615" w:type="dxa"/>
            <w:tcBorders>
              <w:top w:val="nil"/>
              <w:left w:val="nil"/>
              <w:bottom w:val="nil"/>
              <w:right w:val="nil"/>
            </w:tcBorders>
          </w:tcPr>
          <w:p w14:paraId="3F14FCE1"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0.08 (1.29)</w:t>
            </w:r>
          </w:p>
        </w:tc>
      </w:tr>
      <w:tr w:rsidR="0048282A" w:rsidRPr="00442034" w14:paraId="62172DE2" w14:textId="77777777" w:rsidTr="00352747">
        <w:tc>
          <w:tcPr>
            <w:tcW w:w="3505" w:type="dxa"/>
            <w:tcBorders>
              <w:top w:val="nil"/>
              <w:left w:val="nil"/>
              <w:bottom w:val="single" w:sz="4" w:space="0" w:color="auto"/>
              <w:right w:val="nil"/>
            </w:tcBorders>
          </w:tcPr>
          <w:p w14:paraId="6FFF5294"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Constant</w:t>
            </w:r>
          </w:p>
        </w:tc>
        <w:tc>
          <w:tcPr>
            <w:tcW w:w="3060" w:type="dxa"/>
            <w:tcBorders>
              <w:top w:val="nil"/>
              <w:left w:val="nil"/>
              <w:bottom w:val="single" w:sz="4" w:space="0" w:color="auto"/>
              <w:right w:val="nil"/>
            </w:tcBorders>
          </w:tcPr>
          <w:p w14:paraId="310FF19A"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-2.48 (3.51)</w:t>
            </w:r>
          </w:p>
        </w:tc>
        <w:tc>
          <w:tcPr>
            <w:tcW w:w="2615" w:type="dxa"/>
            <w:tcBorders>
              <w:top w:val="nil"/>
              <w:left w:val="nil"/>
              <w:bottom w:val="single" w:sz="4" w:space="0" w:color="auto"/>
              <w:right w:val="nil"/>
            </w:tcBorders>
          </w:tcPr>
          <w:p w14:paraId="4BB461C2" w14:textId="77777777" w:rsidR="0048282A" w:rsidRPr="00442034" w:rsidRDefault="0048282A" w:rsidP="00BE5E6D">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-5.07 (2.87)</w:t>
            </w:r>
            <w:r w:rsidRPr="00442034">
              <w:rPr>
                <w:rFonts w:ascii="Times New Roman" w:hAnsi="Times New Roman" w:cs="Times New Roman"/>
                <w:sz w:val="20"/>
                <w:szCs w:val="20"/>
                <w:vertAlign w:val="superscript"/>
              </w:rPr>
              <w:t xml:space="preserve"> †</w:t>
            </w:r>
          </w:p>
        </w:tc>
      </w:tr>
      <w:tr w:rsidR="0048282A" w:rsidRPr="00442034" w14:paraId="05CFF257" w14:textId="77777777" w:rsidTr="00352747">
        <w:tc>
          <w:tcPr>
            <w:tcW w:w="3505" w:type="dxa"/>
            <w:tcBorders>
              <w:top w:val="single" w:sz="4" w:space="0" w:color="auto"/>
              <w:left w:val="nil"/>
              <w:bottom w:val="single" w:sz="4" w:space="0" w:color="auto"/>
              <w:right w:val="nil"/>
            </w:tcBorders>
          </w:tcPr>
          <w:p w14:paraId="2E483236" w14:textId="77777777" w:rsidR="0048282A" w:rsidRPr="00442034" w:rsidRDefault="0048282A" w:rsidP="00BE5E6D">
            <w:pPr>
              <w:rPr>
                <w:rFonts w:ascii="Times New Roman" w:hAnsi="Times New Roman" w:cs="Times New Roman"/>
                <w:sz w:val="20"/>
                <w:szCs w:val="20"/>
              </w:rPr>
            </w:pPr>
            <w:r w:rsidRPr="00442034">
              <w:rPr>
                <w:rFonts w:ascii="Times New Roman" w:hAnsi="Times New Roman" w:cs="Times New Roman"/>
                <w:sz w:val="20"/>
                <w:szCs w:val="20"/>
              </w:rPr>
              <w:t>Observations</w:t>
            </w:r>
          </w:p>
        </w:tc>
        <w:tc>
          <w:tcPr>
            <w:tcW w:w="3060" w:type="dxa"/>
            <w:tcBorders>
              <w:top w:val="single" w:sz="4" w:space="0" w:color="auto"/>
              <w:left w:val="nil"/>
              <w:bottom w:val="single" w:sz="4" w:space="0" w:color="auto"/>
              <w:right w:val="nil"/>
            </w:tcBorders>
          </w:tcPr>
          <w:p w14:paraId="22BB05CE"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491</w:t>
            </w:r>
          </w:p>
        </w:tc>
        <w:tc>
          <w:tcPr>
            <w:tcW w:w="2615" w:type="dxa"/>
            <w:tcBorders>
              <w:top w:val="single" w:sz="4" w:space="0" w:color="auto"/>
              <w:left w:val="nil"/>
              <w:bottom w:val="single" w:sz="4" w:space="0" w:color="auto"/>
              <w:right w:val="nil"/>
            </w:tcBorders>
          </w:tcPr>
          <w:p w14:paraId="7BDA6E8C" w14:textId="77777777" w:rsidR="0048282A" w:rsidRPr="00442034" w:rsidRDefault="0048282A" w:rsidP="00BE5E6D">
            <w:pPr>
              <w:jc w:val="center"/>
              <w:rPr>
                <w:rFonts w:ascii="Times New Roman" w:hAnsi="Times New Roman" w:cs="Times New Roman"/>
                <w:sz w:val="20"/>
                <w:szCs w:val="20"/>
              </w:rPr>
            </w:pPr>
            <w:r w:rsidRPr="00442034">
              <w:rPr>
                <w:rFonts w:ascii="Times New Roman" w:hAnsi="Times New Roman" w:cs="Times New Roman"/>
                <w:sz w:val="20"/>
                <w:szCs w:val="20"/>
              </w:rPr>
              <w:t>491</w:t>
            </w:r>
          </w:p>
        </w:tc>
      </w:tr>
      <w:tr w:rsidR="00AD7D5D" w:rsidRPr="00442034" w14:paraId="56BBD5AA" w14:textId="77777777" w:rsidTr="00352747">
        <w:tc>
          <w:tcPr>
            <w:tcW w:w="9180" w:type="dxa"/>
            <w:gridSpan w:val="3"/>
            <w:tcBorders>
              <w:top w:val="single" w:sz="4" w:space="0" w:color="auto"/>
              <w:left w:val="nil"/>
              <w:bottom w:val="nil"/>
              <w:right w:val="nil"/>
            </w:tcBorders>
          </w:tcPr>
          <w:p w14:paraId="4ADB3638" w14:textId="77777777" w:rsidR="00AD7D5D" w:rsidRPr="00442034" w:rsidRDefault="00AD7D5D" w:rsidP="00BE5E6D">
            <w:pPr>
              <w:widowControl w:val="0"/>
              <w:autoSpaceDE w:val="0"/>
              <w:autoSpaceDN w:val="0"/>
              <w:adjustRightInd w:val="0"/>
              <w:rPr>
                <w:rFonts w:ascii="Times New Roman" w:hAnsi="Times New Roman" w:cs="Times New Roman"/>
                <w:sz w:val="20"/>
                <w:szCs w:val="20"/>
              </w:rPr>
            </w:pPr>
          </w:p>
        </w:tc>
      </w:tr>
    </w:tbl>
    <w:tbl>
      <w:tblPr>
        <w:tblStyle w:val="TableGrid"/>
        <w:tblpPr w:leftFromText="180" w:rightFromText="180" w:vertAnchor="text" w:horzAnchor="margin" w:tblpY="-9963"/>
        <w:tblW w:w="9180" w:type="dxa"/>
        <w:tblLook w:val="04A0" w:firstRow="1" w:lastRow="0" w:firstColumn="1" w:lastColumn="0" w:noHBand="0" w:noVBand="1"/>
      </w:tblPr>
      <w:tblGrid>
        <w:gridCol w:w="3505"/>
        <w:gridCol w:w="3060"/>
        <w:gridCol w:w="2615"/>
      </w:tblGrid>
      <w:tr w:rsidR="00442034" w:rsidRPr="00442034" w14:paraId="5222D741" w14:textId="77777777" w:rsidTr="00352747">
        <w:tc>
          <w:tcPr>
            <w:tcW w:w="9180" w:type="dxa"/>
            <w:gridSpan w:val="3"/>
            <w:tcBorders>
              <w:top w:val="nil"/>
              <w:left w:val="nil"/>
              <w:bottom w:val="single" w:sz="4" w:space="0" w:color="auto"/>
              <w:right w:val="nil"/>
            </w:tcBorders>
          </w:tcPr>
          <w:p w14:paraId="1F981FBC" w14:textId="77777777" w:rsidR="00442034" w:rsidRDefault="00442034" w:rsidP="00442034">
            <w:pPr>
              <w:ind w:right="-4874"/>
              <w:rPr>
                <w:rFonts w:ascii="Times New Roman" w:hAnsi="Times New Roman" w:cs="Times New Roman"/>
                <w:b/>
                <w:bCs/>
                <w:sz w:val="20"/>
                <w:szCs w:val="20"/>
              </w:rPr>
            </w:pPr>
          </w:p>
          <w:p w14:paraId="481A9B7B" w14:textId="77777777" w:rsidR="00442034" w:rsidRDefault="00442034" w:rsidP="00442034">
            <w:pPr>
              <w:ind w:right="-4874"/>
              <w:rPr>
                <w:rFonts w:ascii="Times New Roman" w:hAnsi="Times New Roman" w:cs="Times New Roman"/>
                <w:b/>
                <w:bCs/>
                <w:sz w:val="20"/>
                <w:szCs w:val="20"/>
              </w:rPr>
            </w:pPr>
          </w:p>
          <w:p w14:paraId="01B73363" w14:textId="77777777" w:rsidR="00442034" w:rsidRDefault="00442034" w:rsidP="00442034">
            <w:pPr>
              <w:ind w:right="-4874"/>
              <w:rPr>
                <w:rFonts w:ascii="Times New Roman" w:hAnsi="Times New Roman" w:cs="Times New Roman"/>
                <w:b/>
                <w:bCs/>
                <w:sz w:val="20"/>
                <w:szCs w:val="20"/>
              </w:rPr>
            </w:pPr>
          </w:p>
          <w:p w14:paraId="3E46CBF5" w14:textId="77777777" w:rsidR="00442034" w:rsidRDefault="00442034" w:rsidP="00442034">
            <w:pPr>
              <w:ind w:right="-4874"/>
              <w:rPr>
                <w:rFonts w:ascii="Times New Roman" w:hAnsi="Times New Roman" w:cs="Times New Roman"/>
                <w:b/>
                <w:bCs/>
                <w:sz w:val="20"/>
                <w:szCs w:val="20"/>
              </w:rPr>
            </w:pPr>
          </w:p>
          <w:p w14:paraId="77DA4DEE" w14:textId="77777777" w:rsidR="00442034" w:rsidRDefault="00442034" w:rsidP="00442034">
            <w:pPr>
              <w:ind w:right="-4874"/>
              <w:rPr>
                <w:rFonts w:ascii="Times New Roman" w:hAnsi="Times New Roman" w:cs="Times New Roman"/>
                <w:b/>
                <w:bCs/>
                <w:sz w:val="20"/>
                <w:szCs w:val="20"/>
              </w:rPr>
            </w:pPr>
          </w:p>
          <w:p w14:paraId="69B1EC25" w14:textId="77777777" w:rsidR="00442034" w:rsidRDefault="00442034" w:rsidP="00442034">
            <w:pPr>
              <w:ind w:right="-4874"/>
              <w:rPr>
                <w:rFonts w:ascii="Times New Roman" w:hAnsi="Times New Roman" w:cs="Times New Roman"/>
                <w:b/>
                <w:bCs/>
                <w:sz w:val="20"/>
                <w:szCs w:val="20"/>
              </w:rPr>
            </w:pPr>
          </w:p>
          <w:p w14:paraId="2DDEF6EA" w14:textId="0CEC8B8A" w:rsidR="00442034" w:rsidRPr="00442034" w:rsidRDefault="00442034" w:rsidP="00442034">
            <w:pPr>
              <w:ind w:right="-4874"/>
              <w:rPr>
                <w:rFonts w:ascii="Times New Roman" w:hAnsi="Times New Roman" w:cs="Times New Roman"/>
                <w:b/>
                <w:bCs/>
                <w:sz w:val="20"/>
                <w:szCs w:val="20"/>
              </w:rPr>
            </w:pPr>
            <w:r w:rsidRPr="00442034">
              <w:rPr>
                <w:rFonts w:ascii="Times New Roman" w:hAnsi="Times New Roman" w:cs="Times New Roman"/>
                <w:b/>
                <w:bCs/>
                <w:sz w:val="20"/>
                <w:szCs w:val="20"/>
              </w:rPr>
              <w:t xml:space="preserve">Table 7. Multinomial Logistic Regression of Expectations for Living to Thirty-Five on </w:t>
            </w:r>
          </w:p>
          <w:p w14:paraId="5DB32CBF" w14:textId="77777777" w:rsidR="00442034" w:rsidRPr="00442034" w:rsidRDefault="00442034" w:rsidP="00442034">
            <w:pPr>
              <w:ind w:right="-4874"/>
              <w:rPr>
                <w:rFonts w:ascii="Times New Roman" w:hAnsi="Times New Roman" w:cs="Times New Roman"/>
                <w:b/>
                <w:bCs/>
                <w:sz w:val="20"/>
                <w:szCs w:val="20"/>
              </w:rPr>
            </w:pPr>
            <w:r w:rsidRPr="00442034">
              <w:rPr>
                <w:rFonts w:ascii="Times New Roman" w:hAnsi="Times New Roman" w:cs="Times New Roman"/>
                <w:b/>
                <w:bCs/>
                <w:sz w:val="20"/>
                <w:szCs w:val="20"/>
              </w:rPr>
              <w:t xml:space="preserve">Sexual Orientation, Peer Support, and Relationship with Caregiver Compared to About 50-50 Chance with </w:t>
            </w:r>
          </w:p>
          <w:p w14:paraId="3DC88F00" w14:textId="77777777" w:rsidR="00442034" w:rsidRPr="00442034" w:rsidRDefault="00442034" w:rsidP="00442034">
            <w:pPr>
              <w:ind w:right="-4874"/>
              <w:rPr>
                <w:rFonts w:ascii="Times New Roman" w:hAnsi="Times New Roman" w:cs="Times New Roman"/>
                <w:b/>
                <w:bCs/>
                <w:sz w:val="20"/>
                <w:szCs w:val="20"/>
              </w:rPr>
            </w:pPr>
            <w:r w:rsidRPr="00442034">
              <w:rPr>
                <w:rFonts w:ascii="Times New Roman" w:hAnsi="Times New Roman" w:cs="Times New Roman"/>
                <w:b/>
                <w:bCs/>
                <w:sz w:val="20"/>
                <w:szCs w:val="20"/>
              </w:rPr>
              <w:t>Interactions</w:t>
            </w:r>
          </w:p>
        </w:tc>
      </w:tr>
      <w:tr w:rsidR="00442034" w:rsidRPr="00442034" w14:paraId="79E57899" w14:textId="77777777" w:rsidTr="00352747">
        <w:tc>
          <w:tcPr>
            <w:tcW w:w="3505" w:type="dxa"/>
            <w:tcBorders>
              <w:left w:val="nil"/>
              <w:bottom w:val="single" w:sz="4" w:space="0" w:color="auto"/>
              <w:right w:val="nil"/>
            </w:tcBorders>
          </w:tcPr>
          <w:p w14:paraId="1DA8B3CE" w14:textId="77777777" w:rsidR="00442034" w:rsidRPr="00442034" w:rsidRDefault="00442034" w:rsidP="00442034">
            <w:pPr>
              <w:rPr>
                <w:rFonts w:ascii="Times New Roman" w:hAnsi="Times New Roman" w:cs="Times New Roman"/>
                <w:sz w:val="20"/>
                <w:szCs w:val="20"/>
              </w:rPr>
            </w:pPr>
          </w:p>
        </w:tc>
        <w:tc>
          <w:tcPr>
            <w:tcW w:w="3060" w:type="dxa"/>
            <w:tcBorders>
              <w:left w:val="nil"/>
              <w:bottom w:val="single" w:sz="4" w:space="0" w:color="auto"/>
              <w:right w:val="nil"/>
            </w:tcBorders>
          </w:tcPr>
          <w:p w14:paraId="6C069B7B"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Pretty Likely</w:t>
            </w:r>
          </w:p>
          <w:p w14:paraId="5487BFFC"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c>
          <w:tcPr>
            <w:tcW w:w="2615" w:type="dxa"/>
            <w:tcBorders>
              <w:left w:val="nil"/>
              <w:bottom w:val="single" w:sz="4" w:space="0" w:color="auto"/>
              <w:right w:val="nil"/>
            </w:tcBorders>
          </w:tcPr>
          <w:p w14:paraId="76DCFB96"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It Will Happen</w:t>
            </w:r>
          </w:p>
          <w:p w14:paraId="16ACAFEB"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β(</w:t>
            </w:r>
            <w:r w:rsidRPr="00442034">
              <w:rPr>
                <w:rFonts w:ascii="Times New Roman" w:hAnsi="Times New Roman" w:cs="Times New Roman"/>
                <w:i/>
                <w:iCs/>
                <w:sz w:val="20"/>
                <w:szCs w:val="20"/>
              </w:rPr>
              <w:t>SE</w:t>
            </w:r>
            <w:r w:rsidRPr="00442034">
              <w:rPr>
                <w:rFonts w:ascii="Times New Roman" w:hAnsi="Times New Roman" w:cs="Times New Roman"/>
                <w:sz w:val="20"/>
                <w:szCs w:val="20"/>
              </w:rPr>
              <w:t>)</w:t>
            </w:r>
          </w:p>
        </w:tc>
      </w:tr>
      <w:tr w:rsidR="00442034" w:rsidRPr="00442034" w14:paraId="29FA57FA" w14:textId="77777777" w:rsidTr="00352747">
        <w:tc>
          <w:tcPr>
            <w:tcW w:w="3505" w:type="dxa"/>
            <w:tcBorders>
              <w:top w:val="single" w:sz="4" w:space="0" w:color="auto"/>
              <w:left w:val="nil"/>
              <w:bottom w:val="nil"/>
              <w:right w:val="nil"/>
            </w:tcBorders>
          </w:tcPr>
          <w:p w14:paraId="7350888E"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LGBQ Youth</w:t>
            </w:r>
          </w:p>
        </w:tc>
        <w:tc>
          <w:tcPr>
            <w:tcW w:w="3060" w:type="dxa"/>
            <w:tcBorders>
              <w:top w:val="single" w:sz="4" w:space="0" w:color="auto"/>
              <w:left w:val="nil"/>
              <w:bottom w:val="nil"/>
              <w:right w:val="nil"/>
            </w:tcBorders>
          </w:tcPr>
          <w:p w14:paraId="73939CE7"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8.04 (6.16)</w:t>
            </w:r>
          </w:p>
        </w:tc>
        <w:tc>
          <w:tcPr>
            <w:tcW w:w="2615" w:type="dxa"/>
            <w:tcBorders>
              <w:top w:val="single" w:sz="4" w:space="0" w:color="auto"/>
              <w:left w:val="nil"/>
              <w:bottom w:val="nil"/>
              <w:right w:val="nil"/>
            </w:tcBorders>
          </w:tcPr>
          <w:p w14:paraId="00F74AB9"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12.0 (</w:t>
            </w:r>
            <w:proofErr w:type="gramStart"/>
            <w:r w:rsidRPr="00442034">
              <w:rPr>
                <w:rFonts w:ascii="Times New Roman" w:hAnsi="Times New Roman" w:cs="Times New Roman"/>
                <w:sz w:val="20"/>
                <w:szCs w:val="20"/>
              </w:rPr>
              <w:t>5.69)</w:t>
            </w:r>
            <w:r w:rsidRPr="00442034">
              <w:rPr>
                <w:rFonts w:ascii="Times New Roman" w:hAnsi="Times New Roman" w:cs="Times New Roman"/>
                <w:sz w:val="20"/>
                <w:szCs w:val="20"/>
                <w:vertAlign w:val="superscript"/>
              </w:rPr>
              <w:t>*</w:t>
            </w:r>
            <w:proofErr w:type="gramEnd"/>
          </w:p>
        </w:tc>
      </w:tr>
      <w:tr w:rsidR="00442034" w:rsidRPr="00442034" w14:paraId="05D7C48C" w14:textId="77777777" w:rsidTr="00352747">
        <w:tc>
          <w:tcPr>
            <w:tcW w:w="3505" w:type="dxa"/>
            <w:tcBorders>
              <w:top w:val="nil"/>
              <w:left w:val="nil"/>
              <w:bottom w:val="nil"/>
              <w:right w:val="nil"/>
            </w:tcBorders>
          </w:tcPr>
          <w:p w14:paraId="040DD137"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Peer Support</w:t>
            </w:r>
          </w:p>
        </w:tc>
        <w:tc>
          <w:tcPr>
            <w:tcW w:w="3060" w:type="dxa"/>
            <w:tcBorders>
              <w:top w:val="nil"/>
              <w:left w:val="nil"/>
              <w:bottom w:val="nil"/>
              <w:right w:val="nil"/>
            </w:tcBorders>
          </w:tcPr>
          <w:p w14:paraId="211FDD39"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0.048 (.03)</w:t>
            </w:r>
            <w:r w:rsidRPr="00442034">
              <w:rPr>
                <w:rFonts w:ascii="Times New Roman" w:hAnsi="Times New Roman" w:cs="Times New Roman"/>
                <w:sz w:val="20"/>
                <w:szCs w:val="20"/>
                <w:vertAlign w:val="superscript"/>
              </w:rPr>
              <w:t xml:space="preserve"> †</w:t>
            </w:r>
          </w:p>
        </w:tc>
        <w:tc>
          <w:tcPr>
            <w:tcW w:w="2615" w:type="dxa"/>
            <w:tcBorders>
              <w:top w:val="nil"/>
              <w:left w:val="nil"/>
              <w:bottom w:val="nil"/>
              <w:right w:val="nil"/>
            </w:tcBorders>
          </w:tcPr>
          <w:p w14:paraId="5E76924F"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0.076 (.</w:t>
            </w:r>
            <w:proofErr w:type="gramStart"/>
            <w:r w:rsidRPr="00442034">
              <w:rPr>
                <w:rFonts w:ascii="Times New Roman" w:hAnsi="Times New Roman" w:cs="Times New Roman"/>
                <w:sz w:val="20"/>
                <w:szCs w:val="20"/>
              </w:rPr>
              <w:t>03)</w:t>
            </w:r>
            <w:r w:rsidRPr="00442034">
              <w:rPr>
                <w:rFonts w:ascii="Times New Roman" w:hAnsi="Times New Roman" w:cs="Times New Roman"/>
                <w:sz w:val="20"/>
                <w:szCs w:val="20"/>
                <w:vertAlign w:val="superscript"/>
              </w:rPr>
              <w:t>*</w:t>
            </w:r>
            <w:proofErr w:type="gramEnd"/>
          </w:p>
        </w:tc>
      </w:tr>
      <w:tr w:rsidR="00442034" w:rsidRPr="00442034" w14:paraId="6E479739" w14:textId="77777777" w:rsidTr="00352747">
        <w:tc>
          <w:tcPr>
            <w:tcW w:w="3505" w:type="dxa"/>
            <w:tcBorders>
              <w:top w:val="nil"/>
              <w:left w:val="nil"/>
              <w:bottom w:val="nil"/>
              <w:right w:val="nil"/>
            </w:tcBorders>
          </w:tcPr>
          <w:p w14:paraId="419BD094"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Relationship with Caregiver</w:t>
            </w:r>
          </w:p>
        </w:tc>
        <w:tc>
          <w:tcPr>
            <w:tcW w:w="3060" w:type="dxa"/>
            <w:tcBorders>
              <w:top w:val="nil"/>
              <w:left w:val="nil"/>
              <w:bottom w:val="nil"/>
              <w:right w:val="nil"/>
            </w:tcBorders>
          </w:tcPr>
          <w:p w14:paraId="119D8D91"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0.024 (.04)</w:t>
            </w:r>
          </w:p>
        </w:tc>
        <w:tc>
          <w:tcPr>
            <w:tcW w:w="2615" w:type="dxa"/>
            <w:tcBorders>
              <w:top w:val="nil"/>
              <w:left w:val="nil"/>
              <w:bottom w:val="nil"/>
              <w:right w:val="nil"/>
            </w:tcBorders>
          </w:tcPr>
          <w:p w14:paraId="644CB84F"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0.069 (.04)</w:t>
            </w:r>
            <w:r w:rsidRPr="00442034">
              <w:rPr>
                <w:rFonts w:ascii="Times New Roman" w:hAnsi="Times New Roman" w:cs="Times New Roman"/>
                <w:sz w:val="20"/>
                <w:szCs w:val="20"/>
                <w:vertAlign w:val="superscript"/>
              </w:rPr>
              <w:t xml:space="preserve"> †</w:t>
            </w:r>
          </w:p>
        </w:tc>
      </w:tr>
      <w:tr w:rsidR="00442034" w:rsidRPr="00442034" w14:paraId="4A0F31AF" w14:textId="77777777" w:rsidTr="00352747">
        <w:tc>
          <w:tcPr>
            <w:tcW w:w="3505" w:type="dxa"/>
            <w:tcBorders>
              <w:top w:val="nil"/>
              <w:left w:val="nil"/>
              <w:bottom w:val="nil"/>
              <w:right w:val="nil"/>
            </w:tcBorders>
          </w:tcPr>
          <w:p w14:paraId="4B814E75" w14:textId="77777777" w:rsidR="00442034" w:rsidRPr="00442034" w:rsidRDefault="00442034" w:rsidP="00442034">
            <w:pPr>
              <w:rPr>
                <w:rFonts w:ascii="Times New Roman" w:hAnsi="Times New Roman" w:cs="Times New Roman"/>
                <w:sz w:val="20"/>
                <w:szCs w:val="20"/>
              </w:rPr>
            </w:pPr>
          </w:p>
        </w:tc>
        <w:tc>
          <w:tcPr>
            <w:tcW w:w="3060" w:type="dxa"/>
            <w:tcBorders>
              <w:top w:val="nil"/>
              <w:left w:val="nil"/>
              <w:bottom w:val="nil"/>
              <w:right w:val="nil"/>
            </w:tcBorders>
          </w:tcPr>
          <w:p w14:paraId="3AABB5CC" w14:textId="77777777" w:rsidR="00442034" w:rsidRPr="00442034" w:rsidRDefault="00442034" w:rsidP="00442034">
            <w:pPr>
              <w:jc w:val="center"/>
              <w:rPr>
                <w:rFonts w:ascii="Times New Roman" w:hAnsi="Times New Roman" w:cs="Times New Roman"/>
                <w:sz w:val="20"/>
                <w:szCs w:val="20"/>
              </w:rPr>
            </w:pPr>
          </w:p>
        </w:tc>
        <w:tc>
          <w:tcPr>
            <w:tcW w:w="2615" w:type="dxa"/>
            <w:tcBorders>
              <w:top w:val="nil"/>
              <w:left w:val="nil"/>
              <w:bottom w:val="nil"/>
              <w:right w:val="nil"/>
            </w:tcBorders>
          </w:tcPr>
          <w:p w14:paraId="686A1E09" w14:textId="77777777" w:rsidR="00442034" w:rsidRPr="00442034" w:rsidRDefault="00442034" w:rsidP="00442034">
            <w:pPr>
              <w:jc w:val="center"/>
              <w:rPr>
                <w:rFonts w:ascii="Times New Roman" w:hAnsi="Times New Roman" w:cs="Times New Roman"/>
                <w:sz w:val="20"/>
                <w:szCs w:val="20"/>
              </w:rPr>
            </w:pPr>
          </w:p>
        </w:tc>
      </w:tr>
      <w:tr w:rsidR="00442034" w:rsidRPr="00442034" w14:paraId="79560396" w14:textId="77777777" w:rsidTr="00352747">
        <w:tc>
          <w:tcPr>
            <w:tcW w:w="3505" w:type="dxa"/>
            <w:tcBorders>
              <w:top w:val="nil"/>
              <w:left w:val="nil"/>
              <w:bottom w:val="nil"/>
              <w:right w:val="nil"/>
            </w:tcBorders>
          </w:tcPr>
          <w:p w14:paraId="43F1EE6D"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i/>
                <w:iCs/>
                <w:sz w:val="20"/>
                <w:szCs w:val="20"/>
              </w:rPr>
              <w:t>Interaction Terms</w:t>
            </w:r>
          </w:p>
        </w:tc>
        <w:tc>
          <w:tcPr>
            <w:tcW w:w="3060" w:type="dxa"/>
            <w:tcBorders>
              <w:top w:val="nil"/>
              <w:left w:val="nil"/>
              <w:bottom w:val="nil"/>
              <w:right w:val="nil"/>
            </w:tcBorders>
          </w:tcPr>
          <w:p w14:paraId="33549BFF" w14:textId="77777777" w:rsidR="00442034" w:rsidRPr="00442034" w:rsidRDefault="00442034" w:rsidP="00442034">
            <w:pPr>
              <w:jc w:val="center"/>
              <w:rPr>
                <w:rFonts w:ascii="Times New Roman" w:hAnsi="Times New Roman" w:cs="Times New Roman"/>
                <w:sz w:val="20"/>
                <w:szCs w:val="20"/>
              </w:rPr>
            </w:pPr>
          </w:p>
        </w:tc>
        <w:tc>
          <w:tcPr>
            <w:tcW w:w="2615" w:type="dxa"/>
            <w:tcBorders>
              <w:top w:val="nil"/>
              <w:left w:val="nil"/>
              <w:bottom w:val="nil"/>
              <w:right w:val="nil"/>
            </w:tcBorders>
          </w:tcPr>
          <w:p w14:paraId="4FF15BA7" w14:textId="77777777" w:rsidR="00442034" w:rsidRPr="00442034" w:rsidRDefault="00442034" w:rsidP="00442034">
            <w:pPr>
              <w:jc w:val="center"/>
              <w:rPr>
                <w:rFonts w:ascii="Times New Roman" w:hAnsi="Times New Roman" w:cs="Times New Roman"/>
                <w:sz w:val="20"/>
                <w:szCs w:val="20"/>
              </w:rPr>
            </w:pPr>
          </w:p>
        </w:tc>
      </w:tr>
      <w:tr w:rsidR="00442034" w:rsidRPr="00442034" w14:paraId="147E7C98" w14:textId="77777777" w:rsidTr="00352747">
        <w:tc>
          <w:tcPr>
            <w:tcW w:w="3505" w:type="dxa"/>
            <w:tcBorders>
              <w:top w:val="nil"/>
              <w:left w:val="nil"/>
              <w:bottom w:val="nil"/>
              <w:right w:val="nil"/>
            </w:tcBorders>
          </w:tcPr>
          <w:p w14:paraId="73D47D3C"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LGBQ Youth * Peer Support</w:t>
            </w:r>
          </w:p>
        </w:tc>
        <w:tc>
          <w:tcPr>
            <w:tcW w:w="3060" w:type="dxa"/>
            <w:tcBorders>
              <w:top w:val="nil"/>
              <w:left w:val="nil"/>
              <w:bottom w:val="nil"/>
              <w:right w:val="nil"/>
            </w:tcBorders>
          </w:tcPr>
          <w:p w14:paraId="39D56EA4"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-0.17 (.</w:t>
            </w:r>
            <w:proofErr w:type="gramStart"/>
            <w:r w:rsidRPr="00442034">
              <w:rPr>
                <w:rFonts w:ascii="Times New Roman" w:hAnsi="Times New Roman" w:cs="Times New Roman"/>
                <w:sz w:val="20"/>
                <w:szCs w:val="20"/>
              </w:rPr>
              <w:t>08)</w:t>
            </w:r>
            <w:r w:rsidRPr="00442034">
              <w:rPr>
                <w:rFonts w:ascii="Times New Roman" w:hAnsi="Times New Roman" w:cs="Times New Roman"/>
                <w:sz w:val="20"/>
                <w:szCs w:val="20"/>
                <w:vertAlign w:val="superscript"/>
              </w:rPr>
              <w:t>*</w:t>
            </w:r>
            <w:proofErr w:type="gramEnd"/>
          </w:p>
        </w:tc>
        <w:tc>
          <w:tcPr>
            <w:tcW w:w="2615" w:type="dxa"/>
            <w:tcBorders>
              <w:top w:val="nil"/>
              <w:left w:val="nil"/>
              <w:bottom w:val="nil"/>
              <w:right w:val="nil"/>
            </w:tcBorders>
          </w:tcPr>
          <w:p w14:paraId="4C026F8E"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-0.22 (.</w:t>
            </w:r>
            <w:proofErr w:type="gramStart"/>
            <w:r w:rsidRPr="00442034">
              <w:rPr>
                <w:rFonts w:ascii="Times New Roman" w:hAnsi="Times New Roman" w:cs="Times New Roman"/>
                <w:sz w:val="20"/>
                <w:szCs w:val="20"/>
              </w:rPr>
              <w:t>07)</w:t>
            </w:r>
            <w:r w:rsidRPr="00442034">
              <w:rPr>
                <w:rFonts w:ascii="Times New Roman" w:hAnsi="Times New Roman" w:cs="Times New Roman"/>
                <w:sz w:val="20"/>
                <w:szCs w:val="20"/>
                <w:vertAlign w:val="superscript"/>
              </w:rPr>
              <w:t>*</w:t>
            </w:r>
            <w:proofErr w:type="gramEnd"/>
            <w:r w:rsidRPr="00442034">
              <w:rPr>
                <w:rFonts w:ascii="Times New Roman" w:hAnsi="Times New Roman" w:cs="Times New Roman"/>
                <w:sz w:val="20"/>
                <w:szCs w:val="20"/>
                <w:vertAlign w:val="superscript"/>
              </w:rPr>
              <w:t>*</w:t>
            </w:r>
          </w:p>
        </w:tc>
      </w:tr>
      <w:tr w:rsidR="00442034" w:rsidRPr="00442034" w14:paraId="0B04E9E9" w14:textId="77777777" w:rsidTr="00352747">
        <w:tc>
          <w:tcPr>
            <w:tcW w:w="3505" w:type="dxa"/>
            <w:tcBorders>
              <w:top w:val="nil"/>
              <w:left w:val="nil"/>
              <w:bottom w:val="nil"/>
              <w:right w:val="nil"/>
            </w:tcBorders>
          </w:tcPr>
          <w:p w14:paraId="537E9D2C"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LGBQ Youth * Relationship with Caregiver</w:t>
            </w:r>
          </w:p>
        </w:tc>
        <w:tc>
          <w:tcPr>
            <w:tcW w:w="3060" w:type="dxa"/>
            <w:tcBorders>
              <w:top w:val="nil"/>
              <w:left w:val="nil"/>
              <w:bottom w:val="nil"/>
              <w:right w:val="nil"/>
            </w:tcBorders>
          </w:tcPr>
          <w:p w14:paraId="3B60858A"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0.10 (.09)</w:t>
            </w:r>
          </w:p>
        </w:tc>
        <w:tc>
          <w:tcPr>
            <w:tcW w:w="2615" w:type="dxa"/>
            <w:tcBorders>
              <w:top w:val="nil"/>
              <w:left w:val="nil"/>
              <w:bottom w:val="nil"/>
              <w:right w:val="nil"/>
            </w:tcBorders>
          </w:tcPr>
          <w:p w14:paraId="00EFCFD6"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0.078 (.11)</w:t>
            </w:r>
          </w:p>
        </w:tc>
      </w:tr>
      <w:tr w:rsidR="00442034" w:rsidRPr="00442034" w14:paraId="2F7ABB18" w14:textId="77777777" w:rsidTr="00352747">
        <w:tc>
          <w:tcPr>
            <w:tcW w:w="3505" w:type="dxa"/>
            <w:tcBorders>
              <w:top w:val="nil"/>
              <w:left w:val="nil"/>
              <w:bottom w:val="nil"/>
              <w:right w:val="nil"/>
            </w:tcBorders>
          </w:tcPr>
          <w:p w14:paraId="568E46B8" w14:textId="77777777" w:rsidR="00442034" w:rsidRPr="00442034" w:rsidRDefault="00442034" w:rsidP="00442034">
            <w:pPr>
              <w:rPr>
                <w:rFonts w:ascii="Times New Roman" w:hAnsi="Times New Roman" w:cs="Times New Roman"/>
                <w:sz w:val="20"/>
                <w:szCs w:val="20"/>
              </w:rPr>
            </w:pPr>
          </w:p>
        </w:tc>
        <w:tc>
          <w:tcPr>
            <w:tcW w:w="3060" w:type="dxa"/>
            <w:tcBorders>
              <w:top w:val="nil"/>
              <w:left w:val="nil"/>
              <w:bottom w:val="nil"/>
              <w:right w:val="nil"/>
            </w:tcBorders>
          </w:tcPr>
          <w:p w14:paraId="2B3BD33B" w14:textId="77777777" w:rsidR="00442034" w:rsidRPr="00442034" w:rsidRDefault="00442034" w:rsidP="00442034">
            <w:pPr>
              <w:jc w:val="center"/>
              <w:rPr>
                <w:rFonts w:ascii="Times New Roman" w:hAnsi="Times New Roman" w:cs="Times New Roman"/>
                <w:sz w:val="20"/>
                <w:szCs w:val="20"/>
              </w:rPr>
            </w:pPr>
          </w:p>
        </w:tc>
        <w:tc>
          <w:tcPr>
            <w:tcW w:w="2615" w:type="dxa"/>
            <w:tcBorders>
              <w:top w:val="nil"/>
              <w:left w:val="nil"/>
              <w:bottom w:val="nil"/>
              <w:right w:val="nil"/>
            </w:tcBorders>
          </w:tcPr>
          <w:p w14:paraId="31233A27" w14:textId="77777777" w:rsidR="00442034" w:rsidRPr="00442034" w:rsidRDefault="00442034" w:rsidP="00442034">
            <w:pPr>
              <w:jc w:val="center"/>
              <w:rPr>
                <w:rFonts w:ascii="Times New Roman" w:hAnsi="Times New Roman" w:cs="Times New Roman"/>
                <w:sz w:val="20"/>
                <w:szCs w:val="20"/>
              </w:rPr>
            </w:pPr>
          </w:p>
        </w:tc>
      </w:tr>
      <w:tr w:rsidR="00442034" w:rsidRPr="00442034" w14:paraId="64E7056B" w14:textId="77777777" w:rsidTr="00352747">
        <w:tc>
          <w:tcPr>
            <w:tcW w:w="3505" w:type="dxa"/>
            <w:tcBorders>
              <w:top w:val="nil"/>
              <w:left w:val="nil"/>
              <w:bottom w:val="nil"/>
              <w:right w:val="nil"/>
            </w:tcBorders>
          </w:tcPr>
          <w:p w14:paraId="126841CB"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i/>
                <w:iCs/>
                <w:sz w:val="20"/>
                <w:szCs w:val="20"/>
              </w:rPr>
              <w:t>Controls</w:t>
            </w:r>
          </w:p>
        </w:tc>
        <w:tc>
          <w:tcPr>
            <w:tcW w:w="3060" w:type="dxa"/>
            <w:tcBorders>
              <w:top w:val="nil"/>
              <w:left w:val="nil"/>
              <w:bottom w:val="nil"/>
              <w:right w:val="nil"/>
            </w:tcBorders>
          </w:tcPr>
          <w:p w14:paraId="44B0B375" w14:textId="77777777" w:rsidR="00442034" w:rsidRPr="00442034" w:rsidRDefault="00442034" w:rsidP="00442034">
            <w:pPr>
              <w:jc w:val="center"/>
              <w:rPr>
                <w:rFonts w:ascii="Times New Roman" w:hAnsi="Times New Roman" w:cs="Times New Roman"/>
                <w:sz w:val="20"/>
                <w:szCs w:val="20"/>
              </w:rPr>
            </w:pPr>
          </w:p>
        </w:tc>
        <w:tc>
          <w:tcPr>
            <w:tcW w:w="2615" w:type="dxa"/>
            <w:tcBorders>
              <w:top w:val="nil"/>
              <w:left w:val="nil"/>
              <w:bottom w:val="nil"/>
              <w:right w:val="nil"/>
            </w:tcBorders>
          </w:tcPr>
          <w:p w14:paraId="49E15782" w14:textId="77777777" w:rsidR="00442034" w:rsidRPr="00442034" w:rsidRDefault="00442034" w:rsidP="00442034">
            <w:pPr>
              <w:jc w:val="center"/>
              <w:rPr>
                <w:rFonts w:ascii="Times New Roman" w:hAnsi="Times New Roman" w:cs="Times New Roman"/>
                <w:sz w:val="20"/>
                <w:szCs w:val="20"/>
              </w:rPr>
            </w:pPr>
          </w:p>
        </w:tc>
      </w:tr>
      <w:tr w:rsidR="00442034" w:rsidRPr="00442034" w14:paraId="6F24E7BD" w14:textId="77777777" w:rsidTr="00352747">
        <w:tc>
          <w:tcPr>
            <w:tcW w:w="3505" w:type="dxa"/>
            <w:tcBorders>
              <w:top w:val="nil"/>
              <w:left w:val="nil"/>
              <w:bottom w:val="nil"/>
              <w:right w:val="nil"/>
            </w:tcBorders>
          </w:tcPr>
          <w:p w14:paraId="0DC7C8FE" w14:textId="77777777" w:rsidR="00442034" w:rsidRPr="00442034" w:rsidRDefault="00442034" w:rsidP="00442034">
            <w:pPr>
              <w:rPr>
                <w:rFonts w:ascii="Times New Roman" w:hAnsi="Times New Roman" w:cs="Times New Roman"/>
                <w:i/>
                <w:iCs/>
                <w:sz w:val="20"/>
                <w:szCs w:val="20"/>
              </w:rPr>
            </w:pPr>
            <w:r w:rsidRPr="00442034">
              <w:rPr>
                <w:rFonts w:ascii="Times New Roman" w:hAnsi="Times New Roman" w:cs="Times New Roman"/>
                <w:sz w:val="20"/>
                <w:szCs w:val="20"/>
              </w:rPr>
              <w:t xml:space="preserve">Black </w:t>
            </w:r>
            <w:proofErr w:type="gramStart"/>
            <w:r w:rsidRPr="00442034">
              <w:rPr>
                <w:rFonts w:ascii="Times New Roman" w:hAnsi="Times New Roman" w:cs="Times New Roman"/>
                <w:sz w:val="20"/>
                <w:szCs w:val="20"/>
              </w:rPr>
              <w:t>Non-Hispanic</w:t>
            </w:r>
            <w:proofErr w:type="gramEnd"/>
          </w:p>
        </w:tc>
        <w:tc>
          <w:tcPr>
            <w:tcW w:w="3060" w:type="dxa"/>
            <w:tcBorders>
              <w:top w:val="nil"/>
              <w:left w:val="nil"/>
              <w:bottom w:val="nil"/>
              <w:right w:val="nil"/>
            </w:tcBorders>
          </w:tcPr>
          <w:p w14:paraId="44767A0F"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0.50 (.73)</w:t>
            </w:r>
          </w:p>
        </w:tc>
        <w:tc>
          <w:tcPr>
            <w:tcW w:w="2615" w:type="dxa"/>
            <w:tcBorders>
              <w:top w:val="nil"/>
              <w:left w:val="nil"/>
              <w:bottom w:val="nil"/>
              <w:right w:val="nil"/>
            </w:tcBorders>
          </w:tcPr>
          <w:p w14:paraId="10357DB9"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1.35 (.07)</w:t>
            </w:r>
            <w:r w:rsidRPr="00442034">
              <w:rPr>
                <w:rFonts w:ascii="Times New Roman" w:hAnsi="Times New Roman" w:cs="Times New Roman"/>
                <w:sz w:val="20"/>
                <w:szCs w:val="20"/>
                <w:vertAlign w:val="superscript"/>
              </w:rPr>
              <w:t xml:space="preserve"> †</w:t>
            </w:r>
          </w:p>
        </w:tc>
      </w:tr>
      <w:tr w:rsidR="00442034" w:rsidRPr="00442034" w14:paraId="50743555" w14:textId="77777777" w:rsidTr="00352747">
        <w:tc>
          <w:tcPr>
            <w:tcW w:w="3505" w:type="dxa"/>
            <w:tcBorders>
              <w:top w:val="nil"/>
              <w:left w:val="nil"/>
              <w:bottom w:val="nil"/>
              <w:right w:val="nil"/>
            </w:tcBorders>
          </w:tcPr>
          <w:p w14:paraId="75DB2D13"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 xml:space="preserve">Hispanic </w:t>
            </w:r>
          </w:p>
        </w:tc>
        <w:tc>
          <w:tcPr>
            <w:tcW w:w="3060" w:type="dxa"/>
            <w:tcBorders>
              <w:top w:val="nil"/>
              <w:left w:val="nil"/>
              <w:bottom w:val="nil"/>
              <w:right w:val="nil"/>
            </w:tcBorders>
          </w:tcPr>
          <w:p w14:paraId="745D3600"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0.25 (.68)</w:t>
            </w:r>
          </w:p>
        </w:tc>
        <w:tc>
          <w:tcPr>
            <w:tcW w:w="2615" w:type="dxa"/>
            <w:tcBorders>
              <w:top w:val="nil"/>
              <w:left w:val="nil"/>
              <w:bottom w:val="nil"/>
              <w:right w:val="nil"/>
            </w:tcBorders>
          </w:tcPr>
          <w:p w14:paraId="36ED80D5"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0.29 (.68)</w:t>
            </w:r>
          </w:p>
        </w:tc>
      </w:tr>
      <w:tr w:rsidR="00442034" w:rsidRPr="00442034" w14:paraId="1CE7FF31" w14:textId="77777777" w:rsidTr="00352747">
        <w:tc>
          <w:tcPr>
            <w:tcW w:w="3505" w:type="dxa"/>
            <w:tcBorders>
              <w:top w:val="nil"/>
              <w:left w:val="nil"/>
              <w:bottom w:val="nil"/>
              <w:right w:val="nil"/>
            </w:tcBorders>
          </w:tcPr>
          <w:p w14:paraId="152EE270"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Other Race</w:t>
            </w:r>
          </w:p>
        </w:tc>
        <w:tc>
          <w:tcPr>
            <w:tcW w:w="3060" w:type="dxa"/>
            <w:tcBorders>
              <w:top w:val="nil"/>
              <w:left w:val="nil"/>
              <w:bottom w:val="nil"/>
              <w:right w:val="nil"/>
            </w:tcBorders>
          </w:tcPr>
          <w:p w14:paraId="42B18D06"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-0.27 (.68)</w:t>
            </w:r>
          </w:p>
        </w:tc>
        <w:tc>
          <w:tcPr>
            <w:tcW w:w="2615" w:type="dxa"/>
            <w:tcBorders>
              <w:top w:val="nil"/>
              <w:left w:val="nil"/>
              <w:bottom w:val="nil"/>
              <w:right w:val="nil"/>
            </w:tcBorders>
          </w:tcPr>
          <w:p w14:paraId="307BEAB5"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-0.65 (.72)</w:t>
            </w:r>
          </w:p>
        </w:tc>
      </w:tr>
      <w:tr w:rsidR="00442034" w:rsidRPr="00442034" w14:paraId="4D1B3F81" w14:textId="77777777" w:rsidTr="00352747">
        <w:tc>
          <w:tcPr>
            <w:tcW w:w="3505" w:type="dxa"/>
            <w:tcBorders>
              <w:top w:val="nil"/>
              <w:left w:val="nil"/>
              <w:bottom w:val="nil"/>
              <w:right w:val="nil"/>
            </w:tcBorders>
          </w:tcPr>
          <w:p w14:paraId="0B35C1B0"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Female</w:t>
            </w:r>
          </w:p>
        </w:tc>
        <w:tc>
          <w:tcPr>
            <w:tcW w:w="3060" w:type="dxa"/>
            <w:tcBorders>
              <w:top w:val="nil"/>
              <w:left w:val="nil"/>
              <w:bottom w:val="nil"/>
              <w:right w:val="nil"/>
            </w:tcBorders>
          </w:tcPr>
          <w:p w14:paraId="285429F9"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-0.10 (.55)</w:t>
            </w:r>
          </w:p>
        </w:tc>
        <w:tc>
          <w:tcPr>
            <w:tcW w:w="2615" w:type="dxa"/>
            <w:tcBorders>
              <w:top w:val="nil"/>
              <w:left w:val="nil"/>
              <w:bottom w:val="nil"/>
              <w:right w:val="nil"/>
            </w:tcBorders>
          </w:tcPr>
          <w:p w14:paraId="3FDAEF4D"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0.15 (.53)</w:t>
            </w:r>
          </w:p>
        </w:tc>
      </w:tr>
      <w:tr w:rsidR="00442034" w:rsidRPr="00442034" w14:paraId="497B5550" w14:textId="77777777" w:rsidTr="00352747">
        <w:tc>
          <w:tcPr>
            <w:tcW w:w="3505" w:type="dxa"/>
            <w:tcBorders>
              <w:top w:val="nil"/>
              <w:left w:val="nil"/>
              <w:bottom w:val="nil"/>
              <w:right w:val="nil"/>
            </w:tcBorders>
          </w:tcPr>
          <w:p w14:paraId="29600C3C"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Age</w:t>
            </w:r>
          </w:p>
        </w:tc>
        <w:tc>
          <w:tcPr>
            <w:tcW w:w="3060" w:type="dxa"/>
            <w:tcBorders>
              <w:top w:val="nil"/>
              <w:left w:val="nil"/>
              <w:bottom w:val="nil"/>
              <w:right w:val="nil"/>
            </w:tcBorders>
          </w:tcPr>
          <w:p w14:paraId="64C22180"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0.15 (.14)</w:t>
            </w:r>
          </w:p>
        </w:tc>
        <w:tc>
          <w:tcPr>
            <w:tcW w:w="2615" w:type="dxa"/>
            <w:tcBorders>
              <w:top w:val="nil"/>
              <w:left w:val="nil"/>
              <w:bottom w:val="nil"/>
              <w:right w:val="nil"/>
            </w:tcBorders>
          </w:tcPr>
          <w:p w14:paraId="068C2530"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0.042 (.10)</w:t>
            </w:r>
          </w:p>
        </w:tc>
      </w:tr>
      <w:tr w:rsidR="00442034" w:rsidRPr="00442034" w14:paraId="2ACFDDC9" w14:textId="77777777" w:rsidTr="00352747">
        <w:tc>
          <w:tcPr>
            <w:tcW w:w="3505" w:type="dxa"/>
            <w:tcBorders>
              <w:top w:val="nil"/>
              <w:left w:val="nil"/>
              <w:bottom w:val="nil"/>
              <w:right w:val="nil"/>
            </w:tcBorders>
          </w:tcPr>
          <w:p w14:paraId="1B84C4B8"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Urban</w:t>
            </w:r>
          </w:p>
        </w:tc>
        <w:tc>
          <w:tcPr>
            <w:tcW w:w="3060" w:type="dxa"/>
            <w:tcBorders>
              <w:top w:val="nil"/>
              <w:left w:val="nil"/>
              <w:bottom w:val="nil"/>
              <w:right w:val="nil"/>
            </w:tcBorders>
          </w:tcPr>
          <w:p w14:paraId="4F7B7479"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-1.11 (.80)</w:t>
            </w:r>
          </w:p>
        </w:tc>
        <w:tc>
          <w:tcPr>
            <w:tcW w:w="2615" w:type="dxa"/>
            <w:tcBorders>
              <w:top w:val="nil"/>
              <w:left w:val="nil"/>
              <w:bottom w:val="nil"/>
              <w:right w:val="nil"/>
            </w:tcBorders>
          </w:tcPr>
          <w:p w14:paraId="4E30378C"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-0.24 (.83)</w:t>
            </w:r>
          </w:p>
        </w:tc>
      </w:tr>
      <w:tr w:rsidR="00442034" w:rsidRPr="00442034" w14:paraId="268C0E35" w14:textId="77777777" w:rsidTr="00352747">
        <w:tc>
          <w:tcPr>
            <w:tcW w:w="3505" w:type="dxa"/>
            <w:tcBorders>
              <w:top w:val="nil"/>
              <w:left w:val="nil"/>
              <w:bottom w:val="nil"/>
              <w:right w:val="nil"/>
            </w:tcBorders>
          </w:tcPr>
          <w:p w14:paraId="037C3F64"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Below Poverty</w:t>
            </w:r>
          </w:p>
        </w:tc>
        <w:tc>
          <w:tcPr>
            <w:tcW w:w="3060" w:type="dxa"/>
            <w:tcBorders>
              <w:top w:val="nil"/>
              <w:left w:val="nil"/>
              <w:bottom w:val="nil"/>
              <w:right w:val="nil"/>
            </w:tcBorders>
          </w:tcPr>
          <w:p w14:paraId="50988ADC"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-0.77 (.43)</w:t>
            </w:r>
            <w:r w:rsidRPr="00442034">
              <w:rPr>
                <w:rFonts w:ascii="Times New Roman" w:hAnsi="Times New Roman" w:cs="Times New Roman"/>
                <w:sz w:val="20"/>
                <w:szCs w:val="20"/>
                <w:vertAlign w:val="superscript"/>
              </w:rPr>
              <w:t xml:space="preserve"> †</w:t>
            </w:r>
          </w:p>
        </w:tc>
        <w:tc>
          <w:tcPr>
            <w:tcW w:w="2615" w:type="dxa"/>
            <w:tcBorders>
              <w:top w:val="nil"/>
              <w:left w:val="nil"/>
              <w:bottom w:val="nil"/>
              <w:right w:val="nil"/>
            </w:tcBorders>
          </w:tcPr>
          <w:p w14:paraId="07140838"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-0.67 (.34)</w:t>
            </w:r>
            <w:r w:rsidRPr="00442034">
              <w:rPr>
                <w:rFonts w:ascii="Times New Roman" w:hAnsi="Times New Roman" w:cs="Times New Roman"/>
                <w:sz w:val="20"/>
                <w:szCs w:val="20"/>
                <w:vertAlign w:val="superscript"/>
              </w:rPr>
              <w:t xml:space="preserve"> †</w:t>
            </w:r>
          </w:p>
        </w:tc>
      </w:tr>
      <w:tr w:rsidR="00442034" w:rsidRPr="00442034" w14:paraId="786F2DFD" w14:textId="77777777" w:rsidTr="00352747">
        <w:tc>
          <w:tcPr>
            <w:tcW w:w="3505" w:type="dxa"/>
            <w:tcBorders>
              <w:top w:val="nil"/>
              <w:left w:val="nil"/>
              <w:bottom w:val="nil"/>
              <w:right w:val="nil"/>
            </w:tcBorders>
          </w:tcPr>
          <w:p w14:paraId="6609D421"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Foster Parents</w:t>
            </w:r>
          </w:p>
        </w:tc>
        <w:tc>
          <w:tcPr>
            <w:tcW w:w="3060" w:type="dxa"/>
            <w:tcBorders>
              <w:top w:val="nil"/>
              <w:left w:val="nil"/>
              <w:bottom w:val="nil"/>
              <w:right w:val="nil"/>
            </w:tcBorders>
          </w:tcPr>
          <w:p w14:paraId="221BDDC4"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0.41 (1.31)</w:t>
            </w:r>
          </w:p>
        </w:tc>
        <w:tc>
          <w:tcPr>
            <w:tcW w:w="2615" w:type="dxa"/>
            <w:tcBorders>
              <w:top w:val="nil"/>
              <w:left w:val="nil"/>
              <w:bottom w:val="nil"/>
              <w:right w:val="nil"/>
            </w:tcBorders>
          </w:tcPr>
          <w:p w14:paraId="221771A3"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-0.57 (1.47)</w:t>
            </w:r>
          </w:p>
        </w:tc>
      </w:tr>
      <w:tr w:rsidR="00442034" w:rsidRPr="00442034" w14:paraId="6F9E30AD" w14:textId="77777777" w:rsidTr="00352747">
        <w:tc>
          <w:tcPr>
            <w:tcW w:w="3505" w:type="dxa"/>
            <w:tcBorders>
              <w:top w:val="nil"/>
              <w:left w:val="nil"/>
              <w:bottom w:val="nil"/>
              <w:right w:val="nil"/>
            </w:tcBorders>
          </w:tcPr>
          <w:p w14:paraId="5C443074"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Kinship Care</w:t>
            </w:r>
          </w:p>
        </w:tc>
        <w:tc>
          <w:tcPr>
            <w:tcW w:w="3060" w:type="dxa"/>
            <w:tcBorders>
              <w:top w:val="nil"/>
              <w:left w:val="nil"/>
              <w:bottom w:val="nil"/>
              <w:right w:val="nil"/>
            </w:tcBorders>
          </w:tcPr>
          <w:p w14:paraId="3F03C169"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0.40 (1.23)</w:t>
            </w:r>
          </w:p>
        </w:tc>
        <w:tc>
          <w:tcPr>
            <w:tcW w:w="2615" w:type="dxa"/>
            <w:tcBorders>
              <w:top w:val="nil"/>
              <w:left w:val="nil"/>
              <w:bottom w:val="nil"/>
              <w:right w:val="nil"/>
            </w:tcBorders>
          </w:tcPr>
          <w:p w14:paraId="0E1FA8DF"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0.19 (1.30)</w:t>
            </w:r>
          </w:p>
        </w:tc>
      </w:tr>
      <w:tr w:rsidR="00442034" w:rsidRPr="00442034" w14:paraId="2D806FEF" w14:textId="77777777" w:rsidTr="00352747">
        <w:tc>
          <w:tcPr>
            <w:tcW w:w="3505" w:type="dxa"/>
            <w:tcBorders>
              <w:top w:val="nil"/>
              <w:left w:val="nil"/>
              <w:bottom w:val="nil"/>
              <w:right w:val="nil"/>
            </w:tcBorders>
          </w:tcPr>
          <w:p w14:paraId="22BE497F"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Substantiated Report</w:t>
            </w:r>
          </w:p>
        </w:tc>
        <w:tc>
          <w:tcPr>
            <w:tcW w:w="3060" w:type="dxa"/>
            <w:tcBorders>
              <w:top w:val="nil"/>
              <w:left w:val="nil"/>
              <w:bottom w:val="nil"/>
              <w:right w:val="nil"/>
            </w:tcBorders>
          </w:tcPr>
          <w:p w14:paraId="79164F25"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-0.64 (.52)</w:t>
            </w:r>
          </w:p>
        </w:tc>
        <w:tc>
          <w:tcPr>
            <w:tcW w:w="2615" w:type="dxa"/>
            <w:tcBorders>
              <w:top w:val="nil"/>
              <w:left w:val="nil"/>
              <w:bottom w:val="nil"/>
              <w:right w:val="nil"/>
            </w:tcBorders>
          </w:tcPr>
          <w:p w14:paraId="67E73F9E"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0.25 (.40)</w:t>
            </w:r>
          </w:p>
        </w:tc>
      </w:tr>
      <w:tr w:rsidR="00442034" w:rsidRPr="00442034" w14:paraId="06C9858C" w14:textId="77777777" w:rsidTr="00352747">
        <w:tc>
          <w:tcPr>
            <w:tcW w:w="3505" w:type="dxa"/>
            <w:tcBorders>
              <w:top w:val="nil"/>
              <w:left w:val="nil"/>
              <w:bottom w:val="nil"/>
              <w:right w:val="nil"/>
            </w:tcBorders>
          </w:tcPr>
          <w:p w14:paraId="3352EE01"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Neglect</w:t>
            </w:r>
          </w:p>
        </w:tc>
        <w:tc>
          <w:tcPr>
            <w:tcW w:w="3060" w:type="dxa"/>
            <w:tcBorders>
              <w:top w:val="nil"/>
              <w:left w:val="nil"/>
              <w:bottom w:val="nil"/>
              <w:right w:val="nil"/>
            </w:tcBorders>
          </w:tcPr>
          <w:p w14:paraId="0F816F76"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-0.81 (.73)</w:t>
            </w:r>
          </w:p>
        </w:tc>
        <w:tc>
          <w:tcPr>
            <w:tcW w:w="2615" w:type="dxa"/>
            <w:tcBorders>
              <w:top w:val="nil"/>
              <w:left w:val="nil"/>
              <w:bottom w:val="nil"/>
              <w:right w:val="nil"/>
            </w:tcBorders>
          </w:tcPr>
          <w:p w14:paraId="739DC633"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-1.38 (.</w:t>
            </w:r>
            <w:proofErr w:type="gramStart"/>
            <w:r w:rsidRPr="00442034">
              <w:rPr>
                <w:rFonts w:ascii="Times New Roman" w:hAnsi="Times New Roman" w:cs="Times New Roman"/>
                <w:sz w:val="20"/>
                <w:szCs w:val="20"/>
              </w:rPr>
              <w:t>68)</w:t>
            </w:r>
            <w:r w:rsidRPr="00442034">
              <w:rPr>
                <w:rFonts w:ascii="Times New Roman" w:hAnsi="Times New Roman" w:cs="Times New Roman"/>
                <w:sz w:val="20"/>
                <w:szCs w:val="20"/>
                <w:vertAlign w:val="superscript"/>
              </w:rPr>
              <w:t>*</w:t>
            </w:r>
            <w:proofErr w:type="gramEnd"/>
          </w:p>
        </w:tc>
      </w:tr>
      <w:tr w:rsidR="00442034" w:rsidRPr="00442034" w14:paraId="7686959F" w14:textId="77777777" w:rsidTr="00352747">
        <w:tc>
          <w:tcPr>
            <w:tcW w:w="3505" w:type="dxa"/>
            <w:tcBorders>
              <w:top w:val="nil"/>
              <w:left w:val="nil"/>
              <w:bottom w:val="nil"/>
              <w:right w:val="nil"/>
            </w:tcBorders>
          </w:tcPr>
          <w:p w14:paraId="7C14F870"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Substance Related</w:t>
            </w:r>
          </w:p>
        </w:tc>
        <w:tc>
          <w:tcPr>
            <w:tcW w:w="3060" w:type="dxa"/>
            <w:tcBorders>
              <w:top w:val="nil"/>
              <w:left w:val="nil"/>
              <w:bottom w:val="nil"/>
              <w:right w:val="nil"/>
            </w:tcBorders>
          </w:tcPr>
          <w:p w14:paraId="4B8BE3D0"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-1.24 (1.29)</w:t>
            </w:r>
          </w:p>
        </w:tc>
        <w:tc>
          <w:tcPr>
            <w:tcW w:w="2615" w:type="dxa"/>
            <w:tcBorders>
              <w:top w:val="nil"/>
              <w:left w:val="nil"/>
              <w:bottom w:val="nil"/>
              <w:right w:val="nil"/>
            </w:tcBorders>
          </w:tcPr>
          <w:p w14:paraId="50AF7775"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-1.04 (1.05)</w:t>
            </w:r>
          </w:p>
        </w:tc>
      </w:tr>
      <w:tr w:rsidR="00442034" w:rsidRPr="00442034" w14:paraId="6818EE6C" w14:textId="77777777" w:rsidTr="00352747">
        <w:tc>
          <w:tcPr>
            <w:tcW w:w="3505" w:type="dxa"/>
            <w:tcBorders>
              <w:top w:val="nil"/>
              <w:left w:val="nil"/>
              <w:bottom w:val="nil"/>
              <w:right w:val="nil"/>
            </w:tcBorders>
          </w:tcPr>
          <w:p w14:paraId="2426F7F7"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Domestic Violence</w:t>
            </w:r>
          </w:p>
        </w:tc>
        <w:tc>
          <w:tcPr>
            <w:tcW w:w="3060" w:type="dxa"/>
            <w:tcBorders>
              <w:top w:val="nil"/>
              <w:left w:val="nil"/>
              <w:bottom w:val="nil"/>
              <w:right w:val="nil"/>
            </w:tcBorders>
          </w:tcPr>
          <w:p w14:paraId="0603744F"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-1.33 (.86)</w:t>
            </w:r>
          </w:p>
        </w:tc>
        <w:tc>
          <w:tcPr>
            <w:tcW w:w="2615" w:type="dxa"/>
            <w:tcBorders>
              <w:top w:val="nil"/>
              <w:left w:val="nil"/>
              <w:bottom w:val="nil"/>
              <w:right w:val="nil"/>
            </w:tcBorders>
          </w:tcPr>
          <w:p w14:paraId="4D91A94E"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-0.89 (.92)</w:t>
            </w:r>
          </w:p>
        </w:tc>
      </w:tr>
      <w:tr w:rsidR="00442034" w:rsidRPr="00442034" w14:paraId="16C243C0" w14:textId="77777777" w:rsidTr="00352747">
        <w:tc>
          <w:tcPr>
            <w:tcW w:w="3505" w:type="dxa"/>
            <w:tcBorders>
              <w:top w:val="nil"/>
              <w:left w:val="nil"/>
              <w:bottom w:val="nil"/>
              <w:right w:val="nil"/>
            </w:tcBorders>
          </w:tcPr>
          <w:p w14:paraId="1F7FA451"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Sexual Abuse</w:t>
            </w:r>
          </w:p>
        </w:tc>
        <w:tc>
          <w:tcPr>
            <w:tcW w:w="3060" w:type="dxa"/>
            <w:tcBorders>
              <w:top w:val="nil"/>
              <w:left w:val="nil"/>
              <w:bottom w:val="nil"/>
              <w:right w:val="nil"/>
            </w:tcBorders>
          </w:tcPr>
          <w:p w14:paraId="7ECF6D4C"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-1.70 (.86)</w:t>
            </w:r>
          </w:p>
        </w:tc>
        <w:tc>
          <w:tcPr>
            <w:tcW w:w="2615" w:type="dxa"/>
            <w:tcBorders>
              <w:top w:val="nil"/>
              <w:left w:val="nil"/>
              <w:bottom w:val="nil"/>
              <w:right w:val="nil"/>
            </w:tcBorders>
          </w:tcPr>
          <w:p w14:paraId="76A0ED73"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-2.15 (.</w:t>
            </w:r>
            <w:proofErr w:type="gramStart"/>
            <w:r w:rsidRPr="00442034">
              <w:rPr>
                <w:rFonts w:ascii="Times New Roman" w:hAnsi="Times New Roman" w:cs="Times New Roman"/>
                <w:sz w:val="20"/>
                <w:szCs w:val="20"/>
              </w:rPr>
              <w:t>84)</w:t>
            </w:r>
            <w:r w:rsidRPr="00442034">
              <w:rPr>
                <w:rFonts w:ascii="Times New Roman" w:hAnsi="Times New Roman" w:cs="Times New Roman"/>
                <w:sz w:val="20"/>
                <w:szCs w:val="20"/>
                <w:vertAlign w:val="superscript"/>
              </w:rPr>
              <w:t>*</w:t>
            </w:r>
            <w:proofErr w:type="gramEnd"/>
          </w:p>
        </w:tc>
      </w:tr>
      <w:tr w:rsidR="00442034" w:rsidRPr="00442034" w14:paraId="18D77DF4" w14:textId="77777777" w:rsidTr="00352747">
        <w:tc>
          <w:tcPr>
            <w:tcW w:w="3505" w:type="dxa"/>
            <w:tcBorders>
              <w:top w:val="nil"/>
              <w:left w:val="nil"/>
              <w:bottom w:val="nil"/>
              <w:right w:val="nil"/>
            </w:tcBorders>
          </w:tcPr>
          <w:p w14:paraId="35ADD0AD"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Other</w:t>
            </w:r>
          </w:p>
        </w:tc>
        <w:tc>
          <w:tcPr>
            <w:tcW w:w="3060" w:type="dxa"/>
            <w:tcBorders>
              <w:top w:val="nil"/>
              <w:left w:val="nil"/>
              <w:bottom w:val="nil"/>
              <w:right w:val="nil"/>
            </w:tcBorders>
          </w:tcPr>
          <w:p w14:paraId="682B51F7"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-1.07 (.92)</w:t>
            </w:r>
            <w:r w:rsidRPr="00442034">
              <w:rPr>
                <w:rFonts w:ascii="Times New Roman" w:hAnsi="Times New Roman" w:cs="Times New Roman"/>
                <w:sz w:val="20"/>
                <w:szCs w:val="20"/>
                <w:vertAlign w:val="superscript"/>
              </w:rPr>
              <w:t xml:space="preserve"> †</w:t>
            </w:r>
          </w:p>
        </w:tc>
        <w:tc>
          <w:tcPr>
            <w:tcW w:w="2615" w:type="dxa"/>
            <w:tcBorders>
              <w:top w:val="nil"/>
              <w:left w:val="nil"/>
              <w:bottom w:val="nil"/>
              <w:right w:val="nil"/>
            </w:tcBorders>
          </w:tcPr>
          <w:p w14:paraId="60F457C1"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0.065 (.90)</w:t>
            </w:r>
          </w:p>
        </w:tc>
      </w:tr>
      <w:tr w:rsidR="00442034" w:rsidRPr="00442034" w14:paraId="0DD235B5" w14:textId="77777777" w:rsidTr="00352747">
        <w:tc>
          <w:tcPr>
            <w:tcW w:w="3505" w:type="dxa"/>
            <w:tcBorders>
              <w:top w:val="nil"/>
              <w:left w:val="nil"/>
              <w:bottom w:val="nil"/>
              <w:right w:val="nil"/>
            </w:tcBorders>
          </w:tcPr>
          <w:p w14:paraId="1E07B044"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Out-of-Home Care</w:t>
            </w:r>
          </w:p>
        </w:tc>
        <w:tc>
          <w:tcPr>
            <w:tcW w:w="3060" w:type="dxa"/>
            <w:tcBorders>
              <w:top w:val="nil"/>
              <w:left w:val="nil"/>
              <w:bottom w:val="nil"/>
              <w:right w:val="nil"/>
            </w:tcBorders>
          </w:tcPr>
          <w:p w14:paraId="2801E424"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-0.58 (1.09)</w:t>
            </w:r>
          </w:p>
        </w:tc>
        <w:tc>
          <w:tcPr>
            <w:tcW w:w="2615" w:type="dxa"/>
            <w:tcBorders>
              <w:top w:val="nil"/>
              <w:left w:val="nil"/>
              <w:bottom w:val="nil"/>
              <w:right w:val="nil"/>
            </w:tcBorders>
          </w:tcPr>
          <w:p w14:paraId="6B99FED6"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-0.057 (1.22)</w:t>
            </w:r>
          </w:p>
        </w:tc>
      </w:tr>
      <w:tr w:rsidR="00442034" w:rsidRPr="00442034" w14:paraId="5C9001B6" w14:textId="77777777" w:rsidTr="00352747">
        <w:tc>
          <w:tcPr>
            <w:tcW w:w="3505" w:type="dxa"/>
            <w:tcBorders>
              <w:top w:val="nil"/>
              <w:left w:val="nil"/>
              <w:bottom w:val="single" w:sz="4" w:space="0" w:color="auto"/>
              <w:right w:val="nil"/>
            </w:tcBorders>
          </w:tcPr>
          <w:p w14:paraId="54630BB0"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Constant</w:t>
            </w:r>
          </w:p>
        </w:tc>
        <w:tc>
          <w:tcPr>
            <w:tcW w:w="3060" w:type="dxa"/>
            <w:tcBorders>
              <w:top w:val="nil"/>
              <w:left w:val="nil"/>
              <w:bottom w:val="single" w:sz="4" w:space="0" w:color="auto"/>
              <w:right w:val="nil"/>
            </w:tcBorders>
          </w:tcPr>
          <w:p w14:paraId="76C43BD8"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-2.79 (3.58)</w:t>
            </w:r>
          </w:p>
        </w:tc>
        <w:tc>
          <w:tcPr>
            <w:tcW w:w="2615" w:type="dxa"/>
            <w:tcBorders>
              <w:top w:val="nil"/>
              <w:left w:val="nil"/>
              <w:bottom w:val="single" w:sz="4" w:space="0" w:color="auto"/>
              <w:right w:val="nil"/>
            </w:tcBorders>
          </w:tcPr>
          <w:p w14:paraId="6138D6A9" w14:textId="77777777" w:rsidR="00442034" w:rsidRPr="00442034" w:rsidRDefault="00442034" w:rsidP="00442034">
            <w:pPr>
              <w:jc w:val="center"/>
              <w:rPr>
                <w:rFonts w:ascii="Times New Roman" w:hAnsi="Times New Roman" w:cs="Times New Roman"/>
                <w:sz w:val="20"/>
                <w:szCs w:val="20"/>
                <w:vertAlign w:val="superscript"/>
              </w:rPr>
            </w:pPr>
            <w:r w:rsidRPr="00442034">
              <w:rPr>
                <w:rFonts w:ascii="Times New Roman" w:hAnsi="Times New Roman" w:cs="Times New Roman"/>
                <w:sz w:val="20"/>
                <w:szCs w:val="20"/>
              </w:rPr>
              <w:t>-6.00 (3.06)</w:t>
            </w:r>
            <w:r w:rsidRPr="00442034">
              <w:rPr>
                <w:rFonts w:ascii="Times New Roman" w:hAnsi="Times New Roman" w:cs="Times New Roman"/>
                <w:sz w:val="20"/>
                <w:szCs w:val="20"/>
                <w:vertAlign w:val="superscript"/>
              </w:rPr>
              <w:t xml:space="preserve"> †</w:t>
            </w:r>
          </w:p>
        </w:tc>
      </w:tr>
      <w:tr w:rsidR="00442034" w:rsidRPr="00442034" w14:paraId="0374E163" w14:textId="77777777" w:rsidTr="00352747">
        <w:tc>
          <w:tcPr>
            <w:tcW w:w="3505" w:type="dxa"/>
            <w:tcBorders>
              <w:top w:val="single" w:sz="4" w:space="0" w:color="auto"/>
              <w:left w:val="nil"/>
              <w:bottom w:val="single" w:sz="4" w:space="0" w:color="auto"/>
              <w:right w:val="nil"/>
            </w:tcBorders>
          </w:tcPr>
          <w:p w14:paraId="1B9E87AC"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rPr>
              <w:t>Observations</w:t>
            </w:r>
          </w:p>
        </w:tc>
        <w:tc>
          <w:tcPr>
            <w:tcW w:w="3060" w:type="dxa"/>
            <w:tcBorders>
              <w:top w:val="single" w:sz="4" w:space="0" w:color="auto"/>
              <w:left w:val="nil"/>
              <w:bottom w:val="single" w:sz="4" w:space="0" w:color="auto"/>
              <w:right w:val="nil"/>
            </w:tcBorders>
          </w:tcPr>
          <w:p w14:paraId="2BC7A22F"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491</w:t>
            </w:r>
          </w:p>
        </w:tc>
        <w:tc>
          <w:tcPr>
            <w:tcW w:w="2615" w:type="dxa"/>
            <w:tcBorders>
              <w:top w:val="single" w:sz="4" w:space="0" w:color="auto"/>
              <w:left w:val="nil"/>
              <w:bottom w:val="single" w:sz="4" w:space="0" w:color="auto"/>
              <w:right w:val="nil"/>
            </w:tcBorders>
          </w:tcPr>
          <w:p w14:paraId="24A5B09B" w14:textId="77777777" w:rsidR="00442034" w:rsidRPr="00442034" w:rsidRDefault="00442034" w:rsidP="00442034">
            <w:pPr>
              <w:jc w:val="center"/>
              <w:rPr>
                <w:rFonts w:ascii="Times New Roman" w:hAnsi="Times New Roman" w:cs="Times New Roman"/>
                <w:sz w:val="20"/>
                <w:szCs w:val="20"/>
              </w:rPr>
            </w:pPr>
            <w:r w:rsidRPr="00442034">
              <w:rPr>
                <w:rFonts w:ascii="Times New Roman" w:hAnsi="Times New Roman" w:cs="Times New Roman"/>
                <w:sz w:val="20"/>
                <w:szCs w:val="20"/>
              </w:rPr>
              <w:t>491</w:t>
            </w:r>
          </w:p>
        </w:tc>
      </w:tr>
      <w:tr w:rsidR="00442034" w:rsidRPr="00442034" w14:paraId="2BC1A082" w14:textId="77777777" w:rsidTr="00352747">
        <w:tc>
          <w:tcPr>
            <w:tcW w:w="9180" w:type="dxa"/>
            <w:gridSpan w:val="3"/>
            <w:tcBorders>
              <w:top w:val="single" w:sz="4" w:space="0" w:color="auto"/>
              <w:left w:val="nil"/>
              <w:bottom w:val="nil"/>
              <w:right w:val="nil"/>
            </w:tcBorders>
          </w:tcPr>
          <w:p w14:paraId="35F7337C" w14:textId="77777777" w:rsidR="00442034" w:rsidRPr="00442034" w:rsidRDefault="00442034" w:rsidP="00442034">
            <w:pPr>
              <w:widowControl w:val="0"/>
              <w:autoSpaceDE w:val="0"/>
              <w:autoSpaceDN w:val="0"/>
              <w:adjustRightInd w:val="0"/>
              <w:rPr>
                <w:rFonts w:ascii="Times New Roman" w:hAnsi="Times New Roman" w:cs="Times New Roman"/>
                <w:sz w:val="20"/>
                <w:szCs w:val="20"/>
              </w:rPr>
            </w:pPr>
            <w:r w:rsidRPr="00442034">
              <w:rPr>
                <w:rFonts w:ascii="Times New Roman" w:hAnsi="Times New Roman" w:cs="Times New Roman"/>
                <w:sz w:val="20"/>
                <w:szCs w:val="20"/>
              </w:rPr>
              <w:t>Source: National Survey of Child and Adolescent Well-Being (NSCAW II)</w:t>
            </w:r>
          </w:p>
          <w:p w14:paraId="677EEF71" w14:textId="77777777" w:rsidR="00442034" w:rsidRPr="00442034" w:rsidRDefault="00442034" w:rsidP="00442034">
            <w:pPr>
              <w:widowControl w:val="0"/>
              <w:autoSpaceDE w:val="0"/>
              <w:autoSpaceDN w:val="0"/>
              <w:adjustRightInd w:val="0"/>
              <w:rPr>
                <w:rFonts w:ascii="Times New Roman" w:hAnsi="Times New Roman" w:cs="Times New Roman"/>
                <w:sz w:val="20"/>
                <w:szCs w:val="20"/>
              </w:rPr>
            </w:pPr>
            <w:r w:rsidRPr="00442034">
              <w:rPr>
                <w:rFonts w:ascii="Times New Roman" w:hAnsi="Times New Roman" w:cs="Times New Roman"/>
                <w:sz w:val="20"/>
                <w:szCs w:val="20"/>
              </w:rPr>
              <w:t>Standard errors in parentheses</w:t>
            </w:r>
          </w:p>
          <w:p w14:paraId="0BB4A243" w14:textId="77777777" w:rsidR="00442034" w:rsidRPr="00442034" w:rsidRDefault="00442034" w:rsidP="00442034">
            <w:pPr>
              <w:rPr>
                <w:rFonts w:ascii="Times New Roman" w:hAnsi="Times New Roman" w:cs="Times New Roman"/>
                <w:sz w:val="20"/>
                <w:szCs w:val="20"/>
              </w:rPr>
            </w:pP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0.10,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0.05,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0.01,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0.001</w:t>
            </w:r>
          </w:p>
        </w:tc>
      </w:tr>
    </w:tbl>
    <w:p w14:paraId="150A4EED" w14:textId="77777777" w:rsidR="00442034" w:rsidRDefault="00442034" w:rsidP="00442034">
      <w:pPr>
        <w:spacing w:line="480" w:lineRule="auto"/>
        <w:ind w:firstLine="720"/>
        <w:contextualSpacing/>
        <w:rPr>
          <w:rFonts w:ascii="Times New Roman" w:hAnsi="Times New Roman" w:cs="Times New Roman"/>
          <w:sz w:val="24"/>
          <w:szCs w:val="24"/>
        </w:rPr>
      </w:pPr>
    </w:p>
    <w:p w14:paraId="4D2C68F8" w14:textId="45D045DA" w:rsidR="00B97CF5" w:rsidRPr="00442034" w:rsidRDefault="00AD7D5D" w:rsidP="00B97CF5">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Finally, Table 7 displays the interaction effects for peer support and relationship with </w:t>
      </w:r>
      <w:proofErr w:type="gramStart"/>
      <w:r w:rsidRPr="00442034">
        <w:rPr>
          <w:rFonts w:ascii="Times New Roman" w:hAnsi="Times New Roman" w:cs="Times New Roman"/>
          <w:sz w:val="24"/>
          <w:szCs w:val="24"/>
        </w:rPr>
        <w:t>caregiver</w:t>
      </w:r>
      <w:proofErr w:type="gramEnd"/>
      <w:r w:rsidRPr="00442034">
        <w:rPr>
          <w:rFonts w:ascii="Times New Roman" w:hAnsi="Times New Roman" w:cs="Times New Roman"/>
          <w:sz w:val="24"/>
          <w:szCs w:val="24"/>
        </w:rPr>
        <w:t xml:space="preserve"> for expectations for living to thirty-five. In the column comparing “Pretty Likely” chances for living to thirty-five compared to a “50-50 Chance,” the main effect of peer support is associated with .048 higher log odds for believing that living to thirty-five is </w:t>
      </w:r>
      <w:proofErr w:type="gramStart"/>
      <w:r w:rsidRPr="00442034">
        <w:rPr>
          <w:rFonts w:ascii="Times New Roman" w:hAnsi="Times New Roman" w:cs="Times New Roman"/>
          <w:sz w:val="24"/>
          <w:szCs w:val="24"/>
        </w:rPr>
        <w:t>pretty likely</w:t>
      </w:r>
      <w:proofErr w:type="gramEnd"/>
      <w:r w:rsidRPr="00442034">
        <w:rPr>
          <w:rFonts w:ascii="Times New Roman" w:hAnsi="Times New Roman" w:cs="Times New Roman"/>
          <w:sz w:val="24"/>
          <w:szCs w:val="24"/>
        </w:rPr>
        <w:t xml:space="preserve">, though this is marginally significant. </w:t>
      </w:r>
      <w:r w:rsidR="0048282A" w:rsidRPr="00442034">
        <w:rPr>
          <w:rFonts w:ascii="Times New Roman" w:hAnsi="Times New Roman" w:cs="Times New Roman"/>
          <w:sz w:val="24"/>
          <w:szCs w:val="24"/>
        </w:rPr>
        <w:t xml:space="preserve">The interaction effect of sexual orientation and peer support is also significant, indicating that </w:t>
      </w:r>
      <w:r w:rsidR="00871686">
        <w:rPr>
          <w:rFonts w:ascii="Times New Roman" w:hAnsi="Times New Roman" w:cs="Times New Roman"/>
          <w:sz w:val="24"/>
          <w:szCs w:val="24"/>
        </w:rPr>
        <w:t xml:space="preserve">as peer support increases for </w:t>
      </w:r>
      <w:r w:rsidR="0048282A" w:rsidRPr="00442034">
        <w:rPr>
          <w:rFonts w:ascii="Times New Roman" w:hAnsi="Times New Roman" w:cs="Times New Roman"/>
          <w:sz w:val="24"/>
          <w:szCs w:val="24"/>
        </w:rPr>
        <w:t>LGBQ youth</w:t>
      </w:r>
      <w:r w:rsidR="006101F6">
        <w:rPr>
          <w:rFonts w:ascii="Times New Roman" w:hAnsi="Times New Roman" w:cs="Times New Roman"/>
          <w:sz w:val="24"/>
          <w:szCs w:val="24"/>
        </w:rPr>
        <w:t>, there is a decrease in the odds of expecting living to 35 will happen.</w:t>
      </w:r>
      <w:r w:rsidR="0048282A" w:rsidRPr="00442034">
        <w:rPr>
          <w:rFonts w:ascii="Times New Roman" w:hAnsi="Times New Roman" w:cs="Times New Roman"/>
          <w:sz w:val="24"/>
          <w:szCs w:val="24"/>
        </w:rPr>
        <w:t xml:space="preserve"> In examining the predicted probabilities, we see that LGBQ youth with </w:t>
      </w:r>
      <w:r w:rsidR="00FA3597">
        <w:rPr>
          <w:rFonts w:ascii="Times New Roman" w:hAnsi="Times New Roman" w:cs="Times New Roman"/>
          <w:sz w:val="24"/>
          <w:szCs w:val="24"/>
        </w:rPr>
        <w:t xml:space="preserve">low </w:t>
      </w:r>
      <w:r w:rsidR="0048282A" w:rsidRPr="00442034">
        <w:rPr>
          <w:rFonts w:ascii="Times New Roman" w:hAnsi="Times New Roman" w:cs="Times New Roman"/>
          <w:sz w:val="24"/>
          <w:szCs w:val="24"/>
        </w:rPr>
        <w:t>peer support scores</w:t>
      </w:r>
      <w:r w:rsidR="00FA3597">
        <w:rPr>
          <w:rFonts w:ascii="Times New Roman" w:hAnsi="Times New Roman" w:cs="Times New Roman"/>
          <w:sz w:val="24"/>
          <w:szCs w:val="24"/>
        </w:rPr>
        <w:t>,</w:t>
      </w:r>
      <w:r w:rsidR="0048282A" w:rsidRPr="00442034">
        <w:rPr>
          <w:rFonts w:ascii="Times New Roman" w:hAnsi="Times New Roman" w:cs="Times New Roman"/>
          <w:sz w:val="24"/>
          <w:szCs w:val="24"/>
        </w:rPr>
        <w:t xml:space="preserve"> at or below </w:t>
      </w:r>
      <w:r w:rsidR="00B97CF5">
        <w:rPr>
          <w:rFonts w:ascii="Times New Roman" w:hAnsi="Times New Roman" w:cs="Times New Roman"/>
          <w:sz w:val="24"/>
          <w:szCs w:val="24"/>
        </w:rPr>
        <w:t>62</w:t>
      </w:r>
      <w:r w:rsidR="00FA3597">
        <w:rPr>
          <w:rFonts w:ascii="Times New Roman" w:hAnsi="Times New Roman" w:cs="Times New Roman"/>
          <w:sz w:val="24"/>
          <w:szCs w:val="24"/>
        </w:rPr>
        <w:t>,</w:t>
      </w:r>
      <w:r w:rsidR="0048282A" w:rsidRPr="00442034">
        <w:rPr>
          <w:rFonts w:ascii="Times New Roman" w:hAnsi="Times New Roman" w:cs="Times New Roman"/>
          <w:sz w:val="24"/>
          <w:szCs w:val="24"/>
        </w:rPr>
        <w:t xml:space="preserve"> have a </w:t>
      </w:r>
      <w:r w:rsidR="007B693E">
        <w:rPr>
          <w:rFonts w:ascii="Times New Roman" w:hAnsi="Times New Roman" w:cs="Times New Roman"/>
          <w:sz w:val="24"/>
          <w:szCs w:val="24"/>
        </w:rPr>
        <w:t>37</w:t>
      </w:r>
      <w:r w:rsidR="0048282A" w:rsidRPr="00442034">
        <w:rPr>
          <w:rFonts w:ascii="Times New Roman" w:hAnsi="Times New Roman" w:cs="Times New Roman"/>
          <w:sz w:val="24"/>
          <w:szCs w:val="24"/>
        </w:rPr>
        <w:t xml:space="preserve">% predicted probability of </w:t>
      </w:r>
      <w:r w:rsidR="0048282A" w:rsidRPr="00442034">
        <w:rPr>
          <w:rFonts w:ascii="Times New Roman" w:hAnsi="Times New Roman" w:cs="Times New Roman"/>
          <w:sz w:val="24"/>
          <w:szCs w:val="24"/>
        </w:rPr>
        <w:lastRenderedPageBreak/>
        <w:t xml:space="preserve">reporting living to thirty-five was </w:t>
      </w:r>
      <w:proofErr w:type="gramStart"/>
      <w:r w:rsidR="0048282A" w:rsidRPr="00442034">
        <w:rPr>
          <w:rFonts w:ascii="Times New Roman" w:hAnsi="Times New Roman" w:cs="Times New Roman"/>
          <w:sz w:val="24"/>
          <w:szCs w:val="24"/>
        </w:rPr>
        <w:t>pretty likely</w:t>
      </w:r>
      <w:proofErr w:type="gramEnd"/>
      <w:r w:rsidR="0048282A" w:rsidRPr="00442034">
        <w:rPr>
          <w:rFonts w:ascii="Times New Roman" w:hAnsi="Times New Roman" w:cs="Times New Roman"/>
          <w:sz w:val="24"/>
          <w:szCs w:val="24"/>
        </w:rPr>
        <w:t xml:space="preserve">, compared to </w:t>
      </w:r>
      <w:r w:rsidR="007B693E">
        <w:rPr>
          <w:rFonts w:ascii="Times New Roman" w:hAnsi="Times New Roman" w:cs="Times New Roman"/>
          <w:sz w:val="24"/>
          <w:szCs w:val="24"/>
        </w:rPr>
        <w:t>38</w:t>
      </w:r>
      <w:r w:rsidR="0048282A" w:rsidRPr="00442034">
        <w:rPr>
          <w:rFonts w:ascii="Times New Roman" w:hAnsi="Times New Roman" w:cs="Times New Roman"/>
          <w:sz w:val="24"/>
          <w:szCs w:val="24"/>
        </w:rPr>
        <w:t xml:space="preserve">% for heterosexual youth with similar scores. </w:t>
      </w:r>
      <w:r w:rsidR="00932A49">
        <w:rPr>
          <w:rFonts w:ascii="Times New Roman" w:hAnsi="Times New Roman" w:cs="Times New Roman"/>
          <w:sz w:val="24"/>
          <w:szCs w:val="24"/>
        </w:rPr>
        <w:t>Conversely, f</w:t>
      </w:r>
      <w:r w:rsidR="0048282A" w:rsidRPr="00442034">
        <w:rPr>
          <w:rFonts w:ascii="Times New Roman" w:hAnsi="Times New Roman" w:cs="Times New Roman"/>
          <w:sz w:val="24"/>
          <w:szCs w:val="24"/>
        </w:rPr>
        <w:t xml:space="preserve">or LGBQ youth with </w:t>
      </w:r>
      <w:r w:rsidR="00EB487D">
        <w:rPr>
          <w:rFonts w:ascii="Times New Roman" w:hAnsi="Times New Roman" w:cs="Times New Roman"/>
          <w:sz w:val="24"/>
          <w:szCs w:val="24"/>
        </w:rPr>
        <w:t xml:space="preserve">higher </w:t>
      </w:r>
      <w:r w:rsidR="0048282A" w:rsidRPr="00442034">
        <w:rPr>
          <w:rFonts w:ascii="Times New Roman" w:hAnsi="Times New Roman" w:cs="Times New Roman"/>
          <w:sz w:val="24"/>
          <w:szCs w:val="24"/>
        </w:rPr>
        <w:t>peer support</w:t>
      </w:r>
      <w:r w:rsidR="00EB487D">
        <w:rPr>
          <w:rFonts w:ascii="Times New Roman" w:hAnsi="Times New Roman" w:cs="Times New Roman"/>
          <w:sz w:val="24"/>
          <w:szCs w:val="24"/>
        </w:rPr>
        <w:t>,</w:t>
      </w:r>
      <w:r w:rsidR="0048282A" w:rsidRPr="00442034">
        <w:rPr>
          <w:rFonts w:ascii="Times New Roman" w:hAnsi="Times New Roman" w:cs="Times New Roman"/>
          <w:sz w:val="24"/>
          <w:szCs w:val="24"/>
        </w:rPr>
        <w:t xml:space="preserve"> scores of at least </w:t>
      </w:r>
      <w:r w:rsidR="00B97CF5">
        <w:rPr>
          <w:rFonts w:ascii="Times New Roman" w:hAnsi="Times New Roman" w:cs="Times New Roman"/>
          <w:sz w:val="24"/>
          <w:szCs w:val="24"/>
        </w:rPr>
        <w:t>76</w:t>
      </w:r>
      <w:r w:rsidR="0048282A" w:rsidRPr="00442034">
        <w:rPr>
          <w:rFonts w:ascii="Times New Roman" w:hAnsi="Times New Roman" w:cs="Times New Roman"/>
          <w:sz w:val="24"/>
          <w:szCs w:val="24"/>
        </w:rPr>
        <w:t xml:space="preserve">, there is a </w:t>
      </w:r>
      <w:r w:rsidR="007B693E">
        <w:rPr>
          <w:rFonts w:ascii="Times New Roman" w:hAnsi="Times New Roman" w:cs="Times New Roman"/>
          <w:sz w:val="24"/>
          <w:szCs w:val="24"/>
        </w:rPr>
        <w:t>32</w:t>
      </w:r>
      <w:r w:rsidR="0048282A" w:rsidRPr="00442034">
        <w:rPr>
          <w:rFonts w:ascii="Times New Roman" w:hAnsi="Times New Roman" w:cs="Times New Roman"/>
          <w:sz w:val="24"/>
          <w:szCs w:val="24"/>
        </w:rPr>
        <w:t>% predicted probability of reporting pretty likely chances</w:t>
      </w:r>
      <w:r w:rsidR="00932A49">
        <w:rPr>
          <w:rFonts w:ascii="Times New Roman" w:hAnsi="Times New Roman" w:cs="Times New Roman"/>
          <w:sz w:val="24"/>
          <w:szCs w:val="24"/>
        </w:rPr>
        <w:t xml:space="preserve"> rather than a 50-50</w:t>
      </w:r>
      <w:r w:rsidR="0048282A" w:rsidRPr="00442034">
        <w:rPr>
          <w:rFonts w:ascii="Times New Roman" w:hAnsi="Times New Roman" w:cs="Times New Roman"/>
          <w:sz w:val="24"/>
          <w:szCs w:val="24"/>
        </w:rPr>
        <w:t xml:space="preserve">, compared to </w:t>
      </w:r>
      <w:r w:rsidR="007B693E">
        <w:rPr>
          <w:rFonts w:ascii="Times New Roman" w:hAnsi="Times New Roman" w:cs="Times New Roman"/>
          <w:sz w:val="24"/>
          <w:szCs w:val="24"/>
        </w:rPr>
        <w:t>34</w:t>
      </w:r>
      <w:r w:rsidR="0048282A" w:rsidRPr="00442034">
        <w:rPr>
          <w:rFonts w:ascii="Times New Roman" w:hAnsi="Times New Roman" w:cs="Times New Roman"/>
          <w:sz w:val="24"/>
          <w:szCs w:val="24"/>
        </w:rPr>
        <w:t xml:space="preserve">% for heterosexual </w:t>
      </w:r>
      <w:proofErr w:type="gramStart"/>
      <w:r w:rsidR="0048282A" w:rsidRPr="00442034">
        <w:rPr>
          <w:rFonts w:ascii="Times New Roman" w:hAnsi="Times New Roman" w:cs="Times New Roman"/>
          <w:sz w:val="24"/>
          <w:szCs w:val="24"/>
        </w:rPr>
        <w:t>youth.</w:t>
      </w:r>
      <w:r w:rsidR="00C966E5">
        <w:rPr>
          <w:rFonts w:ascii="Times New Roman" w:hAnsi="Times New Roman" w:cs="Times New Roman"/>
          <w:sz w:val="24"/>
          <w:szCs w:val="24"/>
        </w:rPr>
        <w:t>.</w:t>
      </w:r>
      <w:proofErr w:type="gramEnd"/>
      <w:r w:rsidR="00BF6B22">
        <w:rPr>
          <w:rFonts w:ascii="Times New Roman" w:hAnsi="Times New Roman" w:cs="Times New Roman"/>
          <w:sz w:val="24"/>
          <w:szCs w:val="24"/>
        </w:rPr>
        <w:t xml:space="preserve"> For both groups, as peer support increases, the expectation </w:t>
      </w:r>
      <w:proofErr w:type="gramStart"/>
      <w:r w:rsidR="00BF6B22">
        <w:rPr>
          <w:rFonts w:ascii="Times New Roman" w:hAnsi="Times New Roman" w:cs="Times New Roman"/>
          <w:sz w:val="24"/>
          <w:szCs w:val="24"/>
        </w:rPr>
        <w:t>for</w:t>
      </w:r>
      <w:proofErr w:type="gramEnd"/>
      <w:r w:rsidR="00BF6B22">
        <w:rPr>
          <w:rFonts w:ascii="Times New Roman" w:hAnsi="Times New Roman" w:cs="Times New Roman"/>
          <w:sz w:val="24"/>
          <w:szCs w:val="24"/>
        </w:rPr>
        <w:t xml:space="preserve"> living to thirty-five decreases, though not statistically significant.</w:t>
      </w:r>
      <w:r w:rsidR="00B97CF5">
        <w:rPr>
          <w:rFonts w:ascii="Times New Roman" w:hAnsi="Times New Roman" w:cs="Times New Roman"/>
          <w:sz w:val="24"/>
          <w:szCs w:val="24"/>
        </w:rPr>
        <w:t xml:space="preserve"> </w:t>
      </w:r>
      <w:r w:rsidR="00B97CF5" w:rsidRPr="00442034">
        <w:rPr>
          <w:rFonts w:ascii="Times New Roman" w:hAnsi="Times New Roman" w:cs="Times New Roman"/>
          <w:sz w:val="24"/>
          <w:szCs w:val="24"/>
        </w:rPr>
        <w:t>Figure</w:t>
      </w:r>
      <w:r w:rsidR="00B97CF5">
        <w:rPr>
          <w:rFonts w:ascii="Times New Roman" w:hAnsi="Times New Roman" w:cs="Times New Roman"/>
          <w:sz w:val="24"/>
          <w:szCs w:val="24"/>
        </w:rPr>
        <w:t xml:space="preserve"> 1 displays the predicted probabilities for </w:t>
      </w:r>
      <w:proofErr w:type="gramStart"/>
      <w:r w:rsidR="00B97CF5">
        <w:rPr>
          <w:rFonts w:ascii="Times New Roman" w:hAnsi="Times New Roman" w:cs="Times New Roman"/>
          <w:sz w:val="24"/>
          <w:szCs w:val="24"/>
        </w:rPr>
        <w:t>pretty likely</w:t>
      </w:r>
      <w:proofErr w:type="gramEnd"/>
      <w:r w:rsidR="00B97CF5">
        <w:rPr>
          <w:rFonts w:ascii="Times New Roman" w:hAnsi="Times New Roman" w:cs="Times New Roman"/>
          <w:sz w:val="24"/>
          <w:szCs w:val="24"/>
        </w:rPr>
        <w:t xml:space="preserve"> chances for living to thirty-five</w:t>
      </w:r>
      <w:r w:rsidR="00B97CF5" w:rsidRPr="00442034">
        <w:rPr>
          <w:rFonts w:ascii="Times New Roman" w:hAnsi="Times New Roman" w:cs="Times New Roman"/>
          <w:sz w:val="24"/>
          <w:szCs w:val="24"/>
        </w:rPr>
        <w:t xml:space="preserve"> </w:t>
      </w:r>
      <w:r w:rsidR="00B97CF5">
        <w:rPr>
          <w:rFonts w:ascii="Times New Roman" w:hAnsi="Times New Roman" w:cs="Times New Roman"/>
          <w:sz w:val="24"/>
          <w:szCs w:val="24"/>
        </w:rPr>
        <w:t>for both groups</w:t>
      </w:r>
      <w:r w:rsidR="00B97CF5" w:rsidRPr="00442034">
        <w:rPr>
          <w:rFonts w:ascii="Times New Roman" w:hAnsi="Times New Roman" w:cs="Times New Roman"/>
          <w:sz w:val="24"/>
          <w:szCs w:val="24"/>
        </w:rPr>
        <w:t>.</w:t>
      </w:r>
    </w:p>
    <w:p w14:paraId="3CA0EE94" w14:textId="1B6FADA3" w:rsidR="00B97CF5" w:rsidRPr="00BF6B22" w:rsidRDefault="007B693E" w:rsidP="00B97CF5">
      <w:pPr>
        <w:contextualSpacing/>
        <w:rPr>
          <w:rFonts w:ascii="Times New Roman" w:hAnsi="Times New Roman" w:cs="Times New Roman"/>
          <w:b/>
          <w:bCs/>
        </w:rPr>
      </w:pPr>
      <w:r w:rsidRPr="00BF6B22">
        <w:rPr>
          <w:noProof/>
          <w:sz w:val="20"/>
          <w:szCs w:val="20"/>
        </w:rPr>
        <w:drawing>
          <wp:anchor distT="0" distB="0" distL="114300" distR="114300" simplePos="0" relativeHeight="251662336" behindDoc="1" locked="0" layoutInCell="1" allowOverlap="1" wp14:anchorId="255869F7" wp14:editId="5C5690A8">
            <wp:simplePos x="0" y="0"/>
            <wp:positionH relativeFrom="margin">
              <wp:align>left</wp:align>
            </wp:positionH>
            <wp:positionV relativeFrom="paragraph">
              <wp:posOffset>393768</wp:posOffset>
            </wp:positionV>
            <wp:extent cx="5705475" cy="3009900"/>
            <wp:effectExtent l="0" t="0" r="0" b="0"/>
            <wp:wrapTight wrapText="bothSides">
              <wp:wrapPolygon edited="0">
                <wp:start x="0" y="0"/>
                <wp:lineTo x="0" y="21463"/>
                <wp:lineTo x="21492" y="21463"/>
                <wp:lineTo x="21492" y="0"/>
                <wp:lineTo x="0" y="0"/>
              </wp:wrapPolygon>
            </wp:wrapTight>
            <wp:docPr id="1898580422" name="Chart 1">
              <a:extLst xmlns:a="http://schemas.openxmlformats.org/drawingml/2006/main">
                <a:ext uri="{FF2B5EF4-FFF2-40B4-BE49-F238E27FC236}">
                  <a16:creationId xmlns:a16="http://schemas.microsoft.com/office/drawing/2014/main" id="{D774E89A-68F8-2E67-17AE-DEBCEB8E47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B97CF5" w:rsidRPr="00BF6B22">
        <w:rPr>
          <w:rFonts w:ascii="Times New Roman" w:hAnsi="Times New Roman" w:cs="Times New Roman"/>
          <w:b/>
          <w:bCs/>
        </w:rPr>
        <w:t>Figure 1. Probabilities for Pretty Likely Chances for Living to Thirty-Five</w:t>
      </w:r>
      <w:r w:rsidR="00FC5D7B" w:rsidRPr="00BF6B22">
        <w:rPr>
          <w:rFonts w:ascii="Times New Roman" w:hAnsi="Times New Roman" w:cs="Times New Roman"/>
          <w:b/>
          <w:bCs/>
        </w:rPr>
        <w:t xml:space="preserve"> </w:t>
      </w:r>
      <w:r w:rsidR="00BF6B22" w:rsidRPr="00BF6B22">
        <w:rPr>
          <w:rFonts w:ascii="Times New Roman" w:hAnsi="Times New Roman" w:cs="Times New Roman"/>
          <w:b/>
          <w:bCs/>
        </w:rPr>
        <w:t>C</w:t>
      </w:r>
      <w:r w:rsidR="00FC5D7B" w:rsidRPr="00BF6B22">
        <w:rPr>
          <w:rFonts w:ascii="Times New Roman" w:hAnsi="Times New Roman" w:cs="Times New Roman"/>
          <w:b/>
          <w:bCs/>
        </w:rPr>
        <w:t>ompared to 50-50 chance.</w:t>
      </w:r>
    </w:p>
    <w:p w14:paraId="04ED8002" w14:textId="77777777" w:rsidR="00B97CF5" w:rsidRPr="005B2033" w:rsidRDefault="00B97CF5" w:rsidP="00B97CF5">
      <w:pPr>
        <w:contextualSpacing/>
        <w:rPr>
          <w:rFonts w:ascii="Times New Roman" w:hAnsi="Times New Roman" w:cs="Times New Roman"/>
          <w:sz w:val="20"/>
          <w:szCs w:val="20"/>
        </w:rPr>
      </w:pPr>
      <w:r w:rsidRPr="005B2033">
        <w:rPr>
          <w:rFonts w:ascii="Times New Roman" w:hAnsi="Times New Roman" w:cs="Times New Roman"/>
          <w:sz w:val="20"/>
          <w:szCs w:val="20"/>
        </w:rPr>
        <w:t>Source: NSCAW-II</w:t>
      </w:r>
    </w:p>
    <w:p w14:paraId="06A2A70D" w14:textId="77777777" w:rsidR="00BE5BDA" w:rsidRDefault="00BE5BDA" w:rsidP="0048282A">
      <w:pPr>
        <w:contextualSpacing/>
        <w:rPr>
          <w:rFonts w:ascii="Times New Roman" w:hAnsi="Times New Roman" w:cs="Times New Roman"/>
          <w:sz w:val="24"/>
          <w:szCs w:val="24"/>
        </w:rPr>
      </w:pPr>
    </w:p>
    <w:p w14:paraId="20512E2D" w14:textId="00323048" w:rsidR="008139DB" w:rsidRDefault="00E668B7" w:rsidP="007B693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w:t>
      </w:r>
      <w:r w:rsidR="0048282A" w:rsidRPr="00442034">
        <w:rPr>
          <w:rFonts w:ascii="Times New Roman" w:hAnsi="Times New Roman" w:cs="Times New Roman"/>
          <w:sz w:val="24"/>
          <w:szCs w:val="24"/>
        </w:rPr>
        <w:t xml:space="preserve">n the model comparing “It Will Happen” to a 50-50 chance of living to thirty-five, we found that the main effects for sexual orientation, peer support, and relationship with caregiver were all significant. LGBQ youth had 12.00 higher log odds of reporting living to thirty-five would happen compared to heterosexual youth. Peer support was associated with </w:t>
      </w:r>
      <w:r w:rsidR="00CA59E6" w:rsidRPr="00442034">
        <w:rPr>
          <w:rFonts w:ascii="Times New Roman" w:hAnsi="Times New Roman" w:cs="Times New Roman"/>
          <w:sz w:val="24"/>
          <w:szCs w:val="24"/>
        </w:rPr>
        <w:t>.076 higher log odds</w:t>
      </w:r>
      <w:r w:rsidR="0048282A" w:rsidRPr="00442034">
        <w:rPr>
          <w:rFonts w:ascii="Times New Roman" w:hAnsi="Times New Roman" w:cs="Times New Roman"/>
          <w:sz w:val="24"/>
          <w:szCs w:val="24"/>
        </w:rPr>
        <w:t xml:space="preserve"> of expecting living to thirty-five would happen, and relationship with </w:t>
      </w:r>
      <w:proofErr w:type="gramStart"/>
      <w:r w:rsidR="0048282A" w:rsidRPr="00442034">
        <w:rPr>
          <w:rFonts w:ascii="Times New Roman" w:hAnsi="Times New Roman" w:cs="Times New Roman"/>
          <w:sz w:val="24"/>
          <w:szCs w:val="24"/>
        </w:rPr>
        <w:t>caregiver</w:t>
      </w:r>
      <w:proofErr w:type="gramEnd"/>
      <w:r w:rsidR="0048282A" w:rsidRPr="00442034">
        <w:rPr>
          <w:rFonts w:ascii="Times New Roman" w:hAnsi="Times New Roman" w:cs="Times New Roman"/>
          <w:sz w:val="24"/>
          <w:szCs w:val="24"/>
        </w:rPr>
        <w:t xml:space="preserve"> was associated with a .069 increase in log odds for this expectation. </w:t>
      </w:r>
      <w:r w:rsidR="000D6AA0" w:rsidRPr="00442034">
        <w:rPr>
          <w:rFonts w:ascii="Times New Roman" w:hAnsi="Times New Roman" w:cs="Times New Roman"/>
          <w:sz w:val="24"/>
          <w:szCs w:val="24"/>
        </w:rPr>
        <w:t xml:space="preserve">Among our control variables, we found that maltreatment reports of neglect and sexual abuse were significantly associated with </w:t>
      </w:r>
      <w:r w:rsidR="000D6AA0" w:rsidRPr="00442034">
        <w:rPr>
          <w:rFonts w:ascii="Times New Roman" w:hAnsi="Times New Roman" w:cs="Times New Roman"/>
          <w:sz w:val="24"/>
          <w:szCs w:val="24"/>
        </w:rPr>
        <w:lastRenderedPageBreak/>
        <w:t xml:space="preserve">lower log odds of expecting to live to thirty-five compared to a 50-50 chance. </w:t>
      </w:r>
      <w:r w:rsidR="0048282A" w:rsidRPr="00442034">
        <w:rPr>
          <w:rFonts w:ascii="Times New Roman" w:hAnsi="Times New Roman" w:cs="Times New Roman"/>
          <w:sz w:val="24"/>
          <w:szCs w:val="24"/>
        </w:rPr>
        <w:t>Again, the interaction effect for sexual orientation and peer support was significant. In this model, LGBQ youth with higher levels of peer support had .22 lower log odds for expecting living to thirty-five would happen. Looking at the predicted probabilities, as peer support scores increased, the predicted probabilities for LGBQ youth to report living to thirty-five</w:t>
      </w:r>
      <w:r w:rsidR="000578E9">
        <w:rPr>
          <w:rFonts w:ascii="Times New Roman" w:hAnsi="Times New Roman" w:cs="Times New Roman"/>
          <w:sz w:val="24"/>
          <w:szCs w:val="24"/>
        </w:rPr>
        <w:t xml:space="preserve"> will happen</w:t>
      </w:r>
      <w:r w:rsidR="0048282A" w:rsidRPr="00442034">
        <w:rPr>
          <w:rFonts w:ascii="Times New Roman" w:hAnsi="Times New Roman" w:cs="Times New Roman"/>
          <w:sz w:val="24"/>
          <w:szCs w:val="24"/>
        </w:rPr>
        <w:t xml:space="preserve"> decreased, whereas the predicted probabilities for heterosexual youth increased. When peer support scores were</w:t>
      </w:r>
      <w:r w:rsidR="00250D53">
        <w:rPr>
          <w:rFonts w:ascii="Times New Roman" w:hAnsi="Times New Roman" w:cs="Times New Roman"/>
          <w:sz w:val="24"/>
          <w:szCs w:val="24"/>
        </w:rPr>
        <w:t xml:space="preserve"> high</w:t>
      </w:r>
      <w:r w:rsidR="0048282A" w:rsidRPr="00442034">
        <w:rPr>
          <w:rFonts w:ascii="Times New Roman" w:hAnsi="Times New Roman" w:cs="Times New Roman"/>
          <w:sz w:val="24"/>
          <w:szCs w:val="24"/>
        </w:rPr>
        <w:t xml:space="preserve"> at 7</w:t>
      </w:r>
      <w:r w:rsidR="007254DF">
        <w:rPr>
          <w:rFonts w:ascii="Times New Roman" w:hAnsi="Times New Roman" w:cs="Times New Roman"/>
          <w:sz w:val="24"/>
          <w:szCs w:val="24"/>
        </w:rPr>
        <w:t>6</w:t>
      </w:r>
      <w:r w:rsidR="0048282A" w:rsidRPr="00442034">
        <w:rPr>
          <w:rFonts w:ascii="Times New Roman" w:hAnsi="Times New Roman" w:cs="Times New Roman"/>
          <w:sz w:val="24"/>
          <w:szCs w:val="24"/>
        </w:rPr>
        <w:t>, the predicted probabilities for LGBQ youth were 4</w:t>
      </w:r>
      <w:r w:rsidR="007254DF">
        <w:rPr>
          <w:rFonts w:ascii="Times New Roman" w:hAnsi="Times New Roman" w:cs="Times New Roman"/>
          <w:sz w:val="24"/>
          <w:szCs w:val="24"/>
        </w:rPr>
        <w:t>1</w:t>
      </w:r>
      <w:r w:rsidR="0048282A" w:rsidRPr="00442034">
        <w:rPr>
          <w:rFonts w:ascii="Times New Roman" w:hAnsi="Times New Roman" w:cs="Times New Roman"/>
          <w:sz w:val="24"/>
          <w:szCs w:val="24"/>
        </w:rPr>
        <w:t xml:space="preserve">%, </w:t>
      </w:r>
      <w:r w:rsidR="00250D53">
        <w:rPr>
          <w:rFonts w:ascii="Times New Roman" w:hAnsi="Times New Roman" w:cs="Times New Roman"/>
          <w:sz w:val="24"/>
          <w:szCs w:val="24"/>
        </w:rPr>
        <w:t xml:space="preserve">compared to a </w:t>
      </w:r>
      <w:r w:rsidR="00F63E46">
        <w:rPr>
          <w:rFonts w:ascii="Times New Roman" w:hAnsi="Times New Roman" w:cs="Times New Roman"/>
          <w:sz w:val="24"/>
          <w:szCs w:val="24"/>
        </w:rPr>
        <w:t>55</w:t>
      </w:r>
      <w:r w:rsidR="00250D53">
        <w:rPr>
          <w:rFonts w:ascii="Times New Roman" w:hAnsi="Times New Roman" w:cs="Times New Roman"/>
          <w:sz w:val="24"/>
          <w:szCs w:val="24"/>
        </w:rPr>
        <w:t>% predicted probability when peer support scores were low</w:t>
      </w:r>
      <w:r w:rsidR="003C3508">
        <w:rPr>
          <w:rFonts w:ascii="Times New Roman" w:hAnsi="Times New Roman" w:cs="Times New Roman"/>
          <w:sz w:val="24"/>
          <w:szCs w:val="24"/>
        </w:rPr>
        <w:t xml:space="preserve"> at </w:t>
      </w:r>
      <w:r w:rsidR="00F63E46">
        <w:rPr>
          <w:rFonts w:ascii="Times New Roman" w:hAnsi="Times New Roman" w:cs="Times New Roman"/>
          <w:sz w:val="24"/>
          <w:szCs w:val="24"/>
        </w:rPr>
        <w:t>62</w:t>
      </w:r>
      <w:r w:rsidR="003C3508">
        <w:rPr>
          <w:rFonts w:ascii="Times New Roman" w:hAnsi="Times New Roman" w:cs="Times New Roman"/>
          <w:sz w:val="24"/>
          <w:szCs w:val="24"/>
        </w:rPr>
        <w:t>. F</w:t>
      </w:r>
      <w:r w:rsidR="0048282A" w:rsidRPr="00442034">
        <w:rPr>
          <w:rFonts w:ascii="Times New Roman" w:hAnsi="Times New Roman" w:cs="Times New Roman"/>
          <w:sz w:val="24"/>
          <w:szCs w:val="24"/>
        </w:rPr>
        <w:t>or heterosexual youth</w:t>
      </w:r>
      <w:r w:rsidR="003C3508">
        <w:rPr>
          <w:rFonts w:ascii="Times New Roman" w:hAnsi="Times New Roman" w:cs="Times New Roman"/>
          <w:sz w:val="24"/>
          <w:szCs w:val="24"/>
        </w:rPr>
        <w:t>,</w:t>
      </w:r>
      <w:r w:rsidR="0048282A" w:rsidRPr="00442034">
        <w:rPr>
          <w:rFonts w:ascii="Times New Roman" w:hAnsi="Times New Roman" w:cs="Times New Roman"/>
          <w:sz w:val="24"/>
          <w:szCs w:val="24"/>
        </w:rPr>
        <w:t xml:space="preserve"> </w:t>
      </w:r>
      <w:proofErr w:type="gramStart"/>
      <w:r w:rsidR="003C3508">
        <w:rPr>
          <w:rFonts w:ascii="Times New Roman" w:hAnsi="Times New Roman" w:cs="Times New Roman"/>
          <w:sz w:val="24"/>
          <w:szCs w:val="24"/>
        </w:rPr>
        <w:t>opposite</w:t>
      </w:r>
      <w:proofErr w:type="gramEnd"/>
      <w:r w:rsidR="003C3508">
        <w:rPr>
          <w:rFonts w:ascii="Times New Roman" w:hAnsi="Times New Roman" w:cs="Times New Roman"/>
          <w:sz w:val="24"/>
          <w:szCs w:val="24"/>
        </w:rPr>
        <w:t xml:space="preserve"> pattern was observed. </w:t>
      </w:r>
      <w:r>
        <w:rPr>
          <w:rFonts w:ascii="Times New Roman" w:hAnsi="Times New Roman" w:cs="Times New Roman"/>
          <w:sz w:val="24"/>
          <w:szCs w:val="24"/>
        </w:rPr>
        <w:t xml:space="preserve">Figure 2 illustrates these predicted probabilities for the “It Will Happen” outcome </w:t>
      </w:r>
      <w:r w:rsidR="00D11C97">
        <w:rPr>
          <w:rFonts w:ascii="Times New Roman" w:hAnsi="Times New Roman" w:cs="Times New Roman"/>
          <w:sz w:val="24"/>
          <w:szCs w:val="24"/>
        </w:rPr>
        <w:t>of expectations of living to thirty-five for both groups.</w:t>
      </w:r>
    </w:p>
    <w:p w14:paraId="6FC370F3" w14:textId="057DB8DA" w:rsidR="00AD7B8D" w:rsidRPr="00BF6B22" w:rsidRDefault="00AD7B8D" w:rsidP="00BF6B22">
      <w:pPr>
        <w:spacing w:line="276" w:lineRule="auto"/>
        <w:contextualSpacing/>
        <w:rPr>
          <w:rFonts w:ascii="Times New Roman" w:hAnsi="Times New Roman" w:cs="Times New Roman"/>
          <w:b/>
          <w:bCs/>
        </w:rPr>
      </w:pPr>
      <w:r w:rsidRPr="00BF6B22">
        <w:rPr>
          <w:rFonts w:ascii="Times New Roman" w:hAnsi="Times New Roman" w:cs="Times New Roman"/>
          <w:b/>
          <w:bCs/>
        </w:rPr>
        <w:t>Figure 2. Predicted Probabilities for It Will Happen Chances for Living to Thirty-Five</w:t>
      </w:r>
      <w:r w:rsidR="00BF6B22" w:rsidRPr="00BF6B22">
        <w:rPr>
          <w:rFonts w:ascii="Times New Roman" w:hAnsi="Times New Roman" w:cs="Times New Roman"/>
          <w:b/>
          <w:bCs/>
        </w:rPr>
        <w:t xml:space="preserve"> Compared to 50-50 chance.</w:t>
      </w:r>
    </w:p>
    <w:p w14:paraId="05005B2F" w14:textId="7B3E598F" w:rsidR="007201DF" w:rsidRPr="00A81739" w:rsidRDefault="001C3749" w:rsidP="00A81739">
      <w:pPr>
        <w:spacing w:line="480" w:lineRule="auto"/>
        <w:contextualSpacing/>
        <w:rPr>
          <w:rFonts w:ascii="Times New Roman" w:hAnsi="Times New Roman" w:cs="Times New Roman"/>
          <w:b/>
          <w:bCs/>
          <w:sz w:val="24"/>
          <w:szCs w:val="24"/>
        </w:rPr>
      </w:pPr>
      <w:r>
        <w:rPr>
          <w:noProof/>
        </w:rPr>
        <w:drawing>
          <wp:anchor distT="0" distB="0" distL="114300" distR="114300" simplePos="0" relativeHeight="251663360" behindDoc="1" locked="0" layoutInCell="1" allowOverlap="1" wp14:anchorId="691F5D0F" wp14:editId="3499C47A">
            <wp:simplePos x="0" y="0"/>
            <wp:positionH relativeFrom="column">
              <wp:posOffset>0</wp:posOffset>
            </wp:positionH>
            <wp:positionV relativeFrom="paragraph">
              <wp:posOffset>-3810</wp:posOffset>
            </wp:positionV>
            <wp:extent cx="5848539" cy="3179505"/>
            <wp:effectExtent l="0" t="0" r="6350" b="0"/>
            <wp:wrapTight wrapText="bothSides">
              <wp:wrapPolygon edited="0">
                <wp:start x="0" y="0"/>
                <wp:lineTo x="0" y="21484"/>
                <wp:lineTo x="21577" y="21484"/>
                <wp:lineTo x="21577" y="0"/>
                <wp:lineTo x="0" y="0"/>
              </wp:wrapPolygon>
            </wp:wrapTight>
            <wp:docPr id="1948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592" name=""/>
                    <pic:cNvPicPr/>
                  </pic:nvPicPr>
                  <pic:blipFill>
                    <a:blip r:embed="rId22">
                      <a:extLst>
                        <a:ext uri="{28A0092B-C50C-407E-A947-70E740481C1C}">
                          <a14:useLocalDpi xmlns:a14="http://schemas.microsoft.com/office/drawing/2010/main" val="0"/>
                        </a:ext>
                      </a:extLst>
                    </a:blip>
                    <a:stretch>
                      <a:fillRect/>
                    </a:stretch>
                  </pic:blipFill>
                  <pic:spPr>
                    <a:xfrm>
                      <a:off x="0" y="0"/>
                      <a:ext cx="5848539" cy="3179505"/>
                    </a:xfrm>
                    <a:prstGeom prst="rect">
                      <a:avLst/>
                    </a:prstGeom>
                    <a:ln>
                      <a:noFill/>
                    </a:ln>
                  </pic:spPr>
                </pic:pic>
              </a:graphicData>
            </a:graphic>
            <wp14:sizeRelH relativeFrom="page">
              <wp14:pctWidth>0</wp14:pctWidth>
            </wp14:sizeRelH>
            <wp14:sizeRelV relativeFrom="page">
              <wp14:pctHeight>0</wp14:pctHeight>
            </wp14:sizeRelV>
          </wp:anchor>
        </w:drawing>
      </w:r>
      <w:r w:rsidR="007201DF" w:rsidRPr="007201DF">
        <w:rPr>
          <w:rFonts w:ascii="Times New Roman" w:hAnsi="Times New Roman" w:cs="Times New Roman"/>
          <w:sz w:val="20"/>
          <w:szCs w:val="20"/>
        </w:rPr>
        <w:t>Source: NSCAW-II</w:t>
      </w:r>
    </w:p>
    <w:p w14:paraId="2C822393" w14:textId="77777777" w:rsidR="0048282A" w:rsidRPr="00442034" w:rsidRDefault="0048282A" w:rsidP="0048282A">
      <w:pPr>
        <w:contextualSpacing/>
        <w:rPr>
          <w:rFonts w:ascii="Times New Roman" w:hAnsi="Times New Roman" w:cs="Times New Roman"/>
          <w:sz w:val="24"/>
          <w:szCs w:val="24"/>
        </w:rPr>
      </w:pPr>
    </w:p>
    <w:p w14:paraId="179B8DE7" w14:textId="2B3E8919" w:rsidR="0048282A" w:rsidRPr="00442034"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lastRenderedPageBreak/>
        <w:t xml:space="preserve">According to these models, peer support negatively </w:t>
      </w:r>
      <w:r w:rsidR="0077582B">
        <w:rPr>
          <w:rFonts w:ascii="Times New Roman" w:hAnsi="Times New Roman" w:cs="Times New Roman"/>
          <w:sz w:val="24"/>
          <w:szCs w:val="24"/>
        </w:rPr>
        <w:t xml:space="preserve">influenced </w:t>
      </w:r>
      <w:r w:rsidRPr="00442034">
        <w:rPr>
          <w:rFonts w:ascii="Times New Roman" w:hAnsi="Times New Roman" w:cs="Times New Roman"/>
          <w:sz w:val="24"/>
          <w:szCs w:val="24"/>
        </w:rPr>
        <w:t xml:space="preserve">expectations for living to thirty-five for LGBQ youth, primarily for expectations that it will happen compared to a 50-50 chance, which did not support our hypothesis. </w:t>
      </w:r>
    </w:p>
    <w:p w14:paraId="459FA60B" w14:textId="3E35553C" w:rsidR="0048282A" w:rsidRPr="00442034" w:rsidRDefault="0048282A" w:rsidP="00C37F60">
      <w:pPr>
        <w:spacing w:line="480" w:lineRule="auto"/>
        <w:contextualSpacing/>
        <w:jc w:val="center"/>
        <w:rPr>
          <w:rFonts w:ascii="Times New Roman" w:hAnsi="Times New Roman" w:cs="Times New Roman"/>
          <w:b/>
          <w:bCs/>
          <w:sz w:val="24"/>
          <w:szCs w:val="24"/>
        </w:rPr>
      </w:pPr>
      <w:r w:rsidRPr="00442034">
        <w:rPr>
          <w:rFonts w:ascii="Times New Roman" w:hAnsi="Times New Roman" w:cs="Times New Roman"/>
          <w:b/>
          <w:bCs/>
          <w:sz w:val="24"/>
          <w:szCs w:val="24"/>
        </w:rPr>
        <w:t>Discussion</w:t>
      </w:r>
    </w:p>
    <w:p w14:paraId="18B1C6A5" w14:textId="5BBE356D" w:rsidR="0048282A"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Research on future expectations among youth in child welfare is limited, but existing research highlights the importance of family and peers in shaping these expectations, for better and for worse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{"citationID":"bjrLkDHr","properties":{"formattedCitation":"(Brumley et al. 2017; Dickerson et al. 2019; Evans et al. 2022; Iovu 2014)","plainCitation":"(Brumley et al. 2017; Dickerson et al. 2019; Evans et al. 2022; Iovu 2014)","noteIndex":0},"citationItems":[{"id":60,"uris":["http://zotero.org/users/7501598/items/UPKPIBIY"],"itemData":{"id":60,"type":"article-journal","abstract":"Adverse childhood experiences and pessimistic future expectations about college attendance or mortality are established risk factors for problem behaviors among youth. Data were from the National Longitudinal Study of Adolescent to Adult Health (N = 14,800; 49 % female). Participants were 11–17-years-old at baseline and 24–32-years-old at outcome. Adolescents’ college expectations and fatalistic expectations mediated the effect of childhood adversity on violent behavior in young adulthood. Neither college nor fatalistic expectations were significant mediators in models predicting substance use and nonviolent antisocial behaviors. Although observed mediational effect sizes were small, they survived models that included multiple controls designed to rule-out alternative explanations. Intervening on adversity-exposed adolescents’ college and fatalistic expectations may reduce risk for violent behaviors.","container-title":"Journal of Youth and Adolescence","DOI":"10.1007/s10964-016-0597-9","ISSN":"1573-6601","issue":"1","journalAbbreviation":"J Youth Adolescence","language":"en","page":"1-14","source":"Springer Link","title":"Pathways from Childhood Adversity to Problem Behaviors in Young Adulthood: The Mediating Role of Adolescents’ Future Expectations","title-short":"Pathways from Childhood Adversity to Problem Behaviors in Young Adulthood","volume":"46","author":[{"family":"Brumley","given":"Lauren D."},{"family":"Jaffee","given":"Sara R."},{"family":"Brumley","given":"Benjamin P."}],"issued":{"date-parts":[["2017",1,1]]}}},{"id":537,"uris":["http://zotero.org/users/7501598/items/65X6I76I"],"itemData":{"id":537,"type":"article-journal","abstract":"According to an evolutionary perspective, early environmental unpredictability induces expectations in youth that their future is uncertain and increases their likelihood of engaging in opportunistic, impulsive, and aggressive behaviors. Although considerable evidence supports the links between environmental unpredictability and such behaviors, less is known about how youth growing up in volatile environments actually perceive their lives and how these perceptions relate to their behavior. In this study, two samples of 10–17 year-olds, one with a history of maltreatment and removal from home (n = 90; 52% female; 67% Hispanic-American) and one without (n = 80; 54% female; 69% Hispanic-American), reported on their perceptions of unpredictability and social functioning. Maltreated youth endorsed greater perceptions of unpredictability than non-maltreated youth. For both groups, greater perceptions of unpredictability were associated with increased aggression and conduct problems and decreased prosociality. Findings advance understanding of a developmental pathway contributing to opportunistic and risky social behavior in youth.","container-title":"Journal of Youth and Adolescence","DOI":"10.1007/s10964-019-01052-9","ISSN":"1573-6601","issue":"9","journalAbbreviation":"J Youth Adolescence","language":"en","page":"1754-1764","source":"Springer Link","title":"Early Environmental Unpredictability: Implications for Youth’s Perceptions and Social Functioning","title-short":"Early Environmental Unpredictability","volume":"48","author":[{"family":"Dickerson","given":"Kelli L."},{"family":"Milojevich","given":"Helen M."},{"family":"Quas","given":"Jodi A."}],"issued":{"date-parts":[["2019",9,1]]}}},{"id":691,"uris":["http://zotero.org/users/7501598/items/ADLRA5YG"],"itemData":{"id":691,"type":"article-journal","abstract":"Young adults with a history of out-of-home care report poorer mental health and life satisfaction compared to non-care-experienced peers. Social support is a known protective factor for mental health. There is limited evidence, however, on the relationship between sources (e.g., family members) and types (e.g., information) of social support and mental health symptoms and life satisfaction in this population. Reporting cross-sectional survey data from 215 young adults aged 18–22 years with a history of out-of-home care, the current study conducted descriptive, bivariate, and linear regression analysis to examine the different sources and types of support young adults receive and their relation to mental health symptoms and life satisfaction. Participants had high levels of support from family members, friends, and other adults. Most participants had informational support, but less than half had consistent material support. Regression analyses demonstrated that having enough informational and material support were associated with fewer mental health symptoms. Having family support and material support were associated with greater life satisfaction. Further longitudinal research is needed to understand the trajectory between social supports and mental health functioning and life satisfaction.","container-title":"Children","DOI":"10.3390/children9040520","ISSN":"2227-9067","issue":"4","language":"en","license":"http://creativecommons.org/licenses/by/3.0/","note":"number: 4\npublisher: Multidisciplinary Digital Publishing Institute","page":"520","source":"www.mdpi.com","title":"Sources and Types of Social Supports and Their Association with Mental Health Symptoms and Life Satisfaction among Young Adults with a History of Out-of-Home Care","volume":"9","author":[{"family":"Evans","given":"Rhiannon"},{"family":"Katz","given":"Colleen C."},{"family":"Fulginiti","given":"Anthony"},{"family":"Taussig","given":"Heather"}],"issued":{"date-parts":[["2022",4]]}}},{"id":692,"uris":["http://zotero.org/users/7501598/items/SGBJWBAB"],"itemData":{"id":692,"type":"article-journal","abstract":"Problem Statement\nAdolescence is seen as an important period for youth as they transition to adulthood. Required to manage multiple developmental tasks, adolescents might construct distorted expectations when thinking and planning their future. Therefore, it is important to determine the factors that influence adolescents’ positive and negative expectations in order to assist them with the appropriate services.\nPurpose of Study\nThe aim of the current study is two-fold: (1) assessing the content and the extent of positive and negative expectations of adolescents from Romania on their pending transition to adulthood, and (2) exploring the hypothesis that personal variables (gender, residency, and material deprivation), psychological variables (self-confidence), and social support variables (family, peer and teacher support) predict their future expectations.\nMethods\nEmpirical estimates were carried out using regression analysis on data collected from 3509 high school students in the 12th grade (2043 females and 1466 males). The self-report questionnaire covered several areas including demographics, psychological attributes, and family, school, and peer support.\nResults\nAdolescents perceived their future mostly in positive terms. The greatest effect for positive expectations belonged to self confidence and teacher support, while negative expectations were best predicted by lower teacher support, self confidence, and peer-support.\nConclusions and Recommendations\nThis research yields interesting results for the Romanian context. Interventions that prepare youth for transitioning from adolescence to adulthood should focus on constructing positive and realistic expectations utilizing a range of factors from the various systems that make up the ecological model (individual, family, school, and peer relationships). However, more prospective research is needed to determine how future expectations are shaped during this period.","collection-title":"LUMEN 2014 - From Theory to Inquiry in Social Sciences, Iasi, Romania, 10-12 April 2014","container-title":"Procedia - Social and Behavioral Sciences","DOI":"10.1016/j.sbspro.2014.08.283","ISSN":"1877-0428","journalAbbreviation":"Procedia - Social and Behavioral Sciences","language":"en","page":"433-437","source":"ScienceDirect","title":"Adolescents’ Positive Expectations and Future Worries on their Transition to Adulthood","volume":"149","author":[{"family":"Iovu","given":"Mihai-Bogdan"}],"issued":{"date-parts":[["2014",9,5]]}}}],"schema":"https://github.com/citation-style-language/schema/raw/master/csl-citation.json"}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(Brumley et al. 2017; Dickerson et al. 2019; Evans et al. 2022; Iovu 2014)</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The current study examines how LGBQ youth perceive their future expectations compared to heterosexual youth, and whether social support from caregivers and peers of youth involved in the child welfare system influences these expectations. Using a nationally representative sample of child welfare-involved youth (NSCAW-II), we found that LGBQ youth were disproportionately represented in the sample, relative to their representation in the general population, consistent with the literature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{"citationID":"m8WxHkOv","properties":{"formattedCitation":"(Dettlaff and Washburn 2018; Fish et al. 2019)","plainCitation":"(Dettlaff and Washburn 2018; Fish et al. 2019)","noteIndex":0},"citationItems":[{"id":152,"uris":["http://zotero.org/users/7501598/items/ICVZWQ4R"],"itemData":{"id":152,"type":"article-journal","container-title":"Child abuse &amp; neglect","note":"ISBN: 0145-2134\npublisher: Elsevier","page":"183-193","title":"Lesbian, gay, and bisexual (LGB) youth within in welfare: Prevalence, risk and outcomes","volume":"80","author":[{"family":"Dettlaff","given":"Alan J."},{"family":"Washburn","given":"Micki"}],"issued":{"date-parts":[["2018"]]}}},{"id":150,"uris":["http://zotero.org/users/7501598/items/LFVXHAYH"],"itemData":{"id":150,"type":"article-journal","abstract":"Background\nPreliminary evidence suggests that sexual minority (e.g. lesbian, gay, bisexual, and same-sex attracted) youth are overrepresented in child welfare services. Yet, no study to date has been able to test this hypothesis with national data.\nObjective\nUsing a two-study design, we test whether sexual minority youth are overrepresented in child welfare, foster care, and out-of-home placement using nationally representative data from the United States.\nParticipants and setting\nStudy 1 data are from the National Longitudinal Study of Adolescent to Adult Health (n = 14,154; Mean age = 15.4). Study 2 data are from wave three of the National Survey of Child and Adolescent Well-Being II (n = 1309; Mean age = 15.0).\nMethods\nFor Study 1, we use adjusted logistic regression models to test differences in lifetime foster care involvement between sexual minority and heterosexual youth. In Study 2, we calculate a Disproportionality Representation Index (DRI) – a ratio of sample prevalence relative to the general population – to estimate whether sexual minority youth were overrepresented in child welfare and out-of-home care.\nResults\nStudy 1 results indicate that sexual minority youth are nearly 2.5 times as likely as heterosexual youth to experience foster care placement (aOR = 2.43, 95% CI 1.40, 4.21, p = .002). Results from Study 2 show that sexual minority youth were largely overrepresented in child welfare services (DRI = 1.95–2.48) and out-of-home placement (DRI = 3.69–4.68).\nConclusions\nFindings are the first to demonstrate sexual minority youth’s overrepresentation in child welfare, foster care, and out-of-home placement using nationally representative data and emphasizes the need for focused research on sexual minority youth involved in the child welfare system.","container-title":"Child Abuse &amp; Neglect","DOI":"10.1016/j.chiabu.2019.01.005","ISSN":"0145-2134","journalAbbreviation":"Child Abuse &amp; Neglect","page":"203-211","title":"Are sexual minority youth overrepresented in foster care, child welfare, and out-of-home placement? Findings from nationally representative data","volume":"89","author":[{"family":"Fish","given":"Jessica N."},{"family":"Baams","given":"Laura"},{"family":"Wojciak","given":"Armeda Stevenson"},{"family":"Russell","given":"Stephen T."}],"issued":{"date-parts":[["2019",3,1]]}}}],"schema":"https://github.com/citation-style-language/schema/raw/master/csl-citation.json"}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(Dettlaff and Washburn 2018; Fish et al.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Bivariate comparisons also revealed that LGBQ youth had significantly lower future expectations for having a family and living to thirty-five. Additionally, they had significantly lower levels of peer support and significantly worse relationships with their caregivers, also consistent with prior literature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{"citationID":"1xhod2LN","properties":{"formattedCitation":"(Hong and Garbarino 2012; Mallon 1998; Murdock and Bolch 2005)","plainCitation":"(Hong and Garbarino 2012; Mallon 1998; Murdock and Bolch 2005)","noteIndex":0},"citationItems":[{"id":554,"uris":["http://zotero.org/users/7501598/items/EIBD5K8X"],"itemData":{"id":554,"type":"article-journal","abstract":"Homophobic bullying is a serious concern for students, parents, teachers, and school officials. This article reviews evidence on the status of this problem and how it may be addressed in a multilevel and multidisciplinary manner growing out of a social–ecological perspective on homophobic bullying as a social phenomenon. The ecological framework developed by Urie Bronfenbrenner (1977, 1979) is applied to organize this effort, which includes micro-, exo-, and macro-systems in which behavior and development are embedded. The inherent fluidity of experience postulated by Bronfenbrenner’s ecological approach offers hope that as practices and policy to promote diversity move forward, they will reshape the social ecology of sexual minority youth.","container-title":"Educational Psychology Review","DOI":"10.1007/s10648-012-9194-y","ISSN":"1573-336X","issue":"2","journalAbbreviation":"Educ Psychol Rev","language":"en","page":"271-285","source":"Springer Link","title":"Risk and Protective Factors for Homophobic Bullying in Schools: An Application of the Social–Ecological Framework","title-short":"Risk and Protective Factors for Homophobic Bullying in Schools","volume":"24","author":[{"family":"Hong","given":"Jun Sung"},{"family":"Garbarino","given":"James"}],"issued":{"date-parts":[["2012",6,1]]}}},{"id":244,"uris":["http://zotero.org/users/7501598/items/JCSP75VP"],"itemData":{"id":244,"type":"paper-conference","title":"We Don't Exactly Get the Welcome Wagon: The Experiences of Gay and Lesbian Adolescents in Child Welfare Systems","author":[{"family":"Mallon","given":"Gerald P."}],"issued":{"date-parts":[["1998"]]}}},{"id":148,"uris":["http://zotero.org/users/7501598/items/NYYGHD44"],"itemData":{"id":148,"type":"article-journal","abstract":"This study examined the relations between school climate and school adjustment among 101 lesbian, gay, and bisexual (LGB) high school students and the moderating influence of social support on those relations. Students completed surveys to assess three aspects of the school climate (the school's exclusion/inclusion of LGB people, personal victimization in school for being LGB, and social support from teachers) as well as social support from family and close friends. Criterion variables were GPA, school belonging, and discipline problems. School climate variables explained significant amounts of variance in all criterion variables, after controlling for prior GPA, and there were no moderating effects of parent or friend support. Cluster analyses revealed one small group (n = 14) of highly vulnerable youth who were the least adjusted, most victimized, and least supported. Implications for teachers, counselors, and future research are discussed. © 2005 Wiley Periodicals, Inc. Psychol Schs 42: 159–172, 2005.","container-title":"Psychology in the Schools","DOI":"10.1002/pits.20054","ISSN":"00333085","issue":"2","journalAbbreviation":"Psychology in the Schools","note":"publisher: John Wiley &amp; Sons, Inc.","page":"159-172","source":"EBSCOhost","title":"Risk and protective factors for poor school adjustment in lesbian, gay, and bisexual (LGB) high school youth: Variable and person-centered analyses","title-short":"Risk and protective factors for poor school adjustment in lesbian, gay, and bisexual (LGB) high school youth","volume":"42","author":[{"family":"Murdock","given":"Tamera B."},{"family":"Bolch","given":"Megan B."}],"issued":{"date-parts":[["2005",2]]}}}],"schema":"https://github.com/citation-style-language/schema/raw/master/csl-citation.json"}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(Hong and Garbarino 2012; Mallon 1998; Murdock and Bolch 2005)</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4910D217" w14:textId="7A699C03" w:rsidR="007311A8" w:rsidRDefault="0048282A" w:rsidP="00C37F60">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In our multinomial logistic regression models, sexual orientation was significant in our models for having a family (Table 2) and living to thirty-five (Table 7). Specifically, LGBQ youth had significantly lower log odds of reporting that having a family was </w:t>
      </w:r>
      <w:proofErr w:type="gramStart"/>
      <w:r w:rsidRPr="00442034">
        <w:rPr>
          <w:rFonts w:ascii="Times New Roman" w:hAnsi="Times New Roman" w:cs="Times New Roman"/>
          <w:sz w:val="24"/>
          <w:szCs w:val="24"/>
        </w:rPr>
        <w:t>pretty likely</w:t>
      </w:r>
      <w:proofErr w:type="gramEnd"/>
      <w:r w:rsidRPr="00442034">
        <w:rPr>
          <w:rFonts w:ascii="Times New Roman" w:hAnsi="Times New Roman" w:cs="Times New Roman"/>
          <w:sz w:val="24"/>
          <w:szCs w:val="24"/>
        </w:rPr>
        <w:t xml:space="preserve"> or that it would happen in comparison to no chance of having a family, compared to their heterosexual peers. However, LGBQ youth had significantly higher log odds </w:t>
      </w:r>
      <w:r w:rsidR="00654324">
        <w:rPr>
          <w:rFonts w:ascii="Times New Roman" w:hAnsi="Times New Roman" w:cs="Times New Roman"/>
          <w:sz w:val="24"/>
          <w:szCs w:val="24"/>
        </w:rPr>
        <w:t xml:space="preserve">than heterosexual youth </w:t>
      </w:r>
      <w:r w:rsidRPr="00442034">
        <w:rPr>
          <w:rFonts w:ascii="Times New Roman" w:hAnsi="Times New Roman" w:cs="Times New Roman"/>
          <w:sz w:val="24"/>
          <w:szCs w:val="24"/>
        </w:rPr>
        <w:t xml:space="preserve">for </w:t>
      </w:r>
      <w:r w:rsidRPr="00442034">
        <w:rPr>
          <w:rFonts w:ascii="Times New Roman" w:hAnsi="Times New Roman" w:cs="Times New Roman"/>
          <w:sz w:val="24"/>
          <w:szCs w:val="24"/>
        </w:rPr>
        <w:lastRenderedPageBreak/>
        <w:t xml:space="preserve">reporting that living to thirty-five would happen compared to a 50-50 chance. </w:t>
      </w:r>
      <w:r w:rsidR="006558CE" w:rsidRPr="00165478">
        <w:rPr>
          <w:rFonts w:ascii="Times New Roman" w:hAnsi="Times New Roman" w:cs="Times New Roman"/>
          <w:sz w:val="24"/>
          <w:szCs w:val="24"/>
        </w:rPr>
        <w:t xml:space="preserve">This finding was curious given the high suicide rates among LGBQ youth </w:t>
      </w:r>
      <w:r w:rsidR="00AA0598" w:rsidRPr="00165478">
        <w:rPr>
          <w:rFonts w:ascii="Times New Roman" w:hAnsi="Times New Roman" w:cs="Times New Roman"/>
          <w:sz w:val="24"/>
          <w:szCs w:val="24"/>
        </w:rPr>
        <w:t>(Fergusson, Horwood, and Beautrais 1999)</w:t>
      </w:r>
      <w:r w:rsidR="007311A8" w:rsidRPr="00165478">
        <w:rPr>
          <w:rFonts w:ascii="Times New Roman" w:hAnsi="Times New Roman" w:cs="Times New Roman"/>
          <w:sz w:val="24"/>
          <w:szCs w:val="24"/>
        </w:rPr>
        <w:t xml:space="preserve">, and may indicate a commitment by these youth to </w:t>
      </w:r>
      <w:r w:rsidR="007A2724" w:rsidRPr="00165478">
        <w:rPr>
          <w:rFonts w:ascii="Times New Roman" w:hAnsi="Times New Roman" w:cs="Times New Roman"/>
          <w:sz w:val="24"/>
          <w:szCs w:val="24"/>
        </w:rPr>
        <w:t>live into adulthood</w:t>
      </w:r>
      <w:r w:rsidR="009A31B2">
        <w:rPr>
          <w:rFonts w:ascii="Times New Roman" w:hAnsi="Times New Roman" w:cs="Times New Roman"/>
          <w:sz w:val="24"/>
          <w:szCs w:val="24"/>
        </w:rPr>
        <w:t xml:space="preserve"> </w:t>
      </w:r>
      <w:proofErr w:type="gramStart"/>
      <w:r w:rsidR="009A31B2">
        <w:rPr>
          <w:rFonts w:ascii="Times New Roman" w:hAnsi="Times New Roman" w:cs="Times New Roman"/>
          <w:sz w:val="24"/>
          <w:szCs w:val="24"/>
        </w:rPr>
        <w:t>in spite of</w:t>
      </w:r>
      <w:proofErr w:type="gramEnd"/>
      <w:r w:rsidR="009A31B2">
        <w:rPr>
          <w:rFonts w:ascii="Times New Roman" w:hAnsi="Times New Roman" w:cs="Times New Roman"/>
          <w:sz w:val="24"/>
          <w:szCs w:val="24"/>
        </w:rPr>
        <w:t xml:space="preserve"> </w:t>
      </w:r>
      <w:r w:rsidR="00F96084">
        <w:rPr>
          <w:rFonts w:ascii="Times New Roman" w:hAnsi="Times New Roman" w:cs="Times New Roman"/>
          <w:sz w:val="24"/>
          <w:szCs w:val="24"/>
        </w:rPr>
        <w:t>the stress they face as a sexual minority</w:t>
      </w:r>
      <w:r w:rsidR="00D9483C">
        <w:rPr>
          <w:rFonts w:ascii="Times New Roman" w:hAnsi="Times New Roman" w:cs="Times New Roman"/>
          <w:sz w:val="24"/>
          <w:szCs w:val="24"/>
        </w:rPr>
        <w:t xml:space="preserve">. Future research should examine this expectation for LGBQ youth and what other factors may be driving these </w:t>
      </w:r>
      <w:r w:rsidR="00165478">
        <w:rPr>
          <w:rFonts w:ascii="Times New Roman" w:hAnsi="Times New Roman" w:cs="Times New Roman"/>
          <w:sz w:val="24"/>
          <w:szCs w:val="24"/>
        </w:rPr>
        <w:t>increased expectations.</w:t>
      </w:r>
    </w:p>
    <w:p w14:paraId="2888D095" w14:textId="0DA96C9E" w:rsidR="00A81739" w:rsidRDefault="0048282A" w:rsidP="00EC7C23">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Peer support was positively associated with higher expectations for marriage and living to thirty-five compared to no chance or a 50-50 chance for both LGBQ and heterosexual youth. Relationship with caregiver was also significant and positive for higher expectations living to thirty-five compared to a 50-50 chance. In our models using interaction terms between sexual orientation and peer support, we found that peer support negatively </w:t>
      </w:r>
      <w:r w:rsidR="0077582B">
        <w:rPr>
          <w:rFonts w:ascii="Times New Roman" w:hAnsi="Times New Roman" w:cs="Times New Roman"/>
          <w:sz w:val="24"/>
          <w:szCs w:val="24"/>
        </w:rPr>
        <w:t>affected</w:t>
      </w:r>
      <w:r w:rsidR="0077582B" w:rsidRPr="00442034">
        <w:rPr>
          <w:rFonts w:ascii="Times New Roman" w:hAnsi="Times New Roman" w:cs="Times New Roman"/>
          <w:sz w:val="24"/>
          <w:szCs w:val="24"/>
        </w:rPr>
        <w:t xml:space="preserve"> </w:t>
      </w:r>
      <w:r w:rsidRPr="00442034">
        <w:rPr>
          <w:rFonts w:ascii="Times New Roman" w:hAnsi="Times New Roman" w:cs="Times New Roman"/>
          <w:sz w:val="24"/>
          <w:szCs w:val="24"/>
        </w:rPr>
        <w:t>expectations for living to thirty-five for LGBQ youth.</w:t>
      </w:r>
      <w:r w:rsidR="00762761">
        <w:rPr>
          <w:rFonts w:ascii="Times New Roman" w:hAnsi="Times New Roman" w:cs="Times New Roman"/>
          <w:sz w:val="24"/>
          <w:szCs w:val="24"/>
        </w:rPr>
        <w:t xml:space="preserve"> This finding, which did not support our hypothesis, may indicate that peer support for LGBQ youth </w:t>
      </w:r>
      <w:r w:rsidR="002969DD">
        <w:rPr>
          <w:rFonts w:ascii="Times New Roman" w:hAnsi="Times New Roman" w:cs="Times New Roman"/>
          <w:sz w:val="24"/>
          <w:szCs w:val="24"/>
        </w:rPr>
        <w:t>can</w:t>
      </w:r>
      <w:r w:rsidR="00762761">
        <w:rPr>
          <w:rFonts w:ascii="Times New Roman" w:hAnsi="Times New Roman" w:cs="Times New Roman"/>
          <w:sz w:val="24"/>
          <w:szCs w:val="24"/>
        </w:rPr>
        <w:t xml:space="preserve"> highlight </w:t>
      </w:r>
      <w:r w:rsidR="00BB10ED">
        <w:rPr>
          <w:rFonts w:ascii="Times New Roman" w:hAnsi="Times New Roman" w:cs="Times New Roman"/>
          <w:sz w:val="24"/>
          <w:szCs w:val="24"/>
        </w:rPr>
        <w:t xml:space="preserve">or exacerbate </w:t>
      </w:r>
      <w:r w:rsidR="00762761">
        <w:rPr>
          <w:rFonts w:ascii="Times New Roman" w:hAnsi="Times New Roman" w:cs="Times New Roman"/>
          <w:sz w:val="24"/>
          <w:szCs w:val="24"/>
        </w:rPr>
        <w:t xml:space="preserve">the </w:t>
      </w:r>
      <w:r w:rsidR="00FE0437">
        <w:rPr>
          <w:rFonts w:ascii="Times New Roman" w:hAnsi="Times New Roman" w:cs="Times New Roman"/>
          <w:sz w:val="24"/>
          <w:szCs w:val="24"/>
        </w:rPr>
        <w:t xml:space="preserve">stress </w:t>
      </w:r>
      <w:r w:rsidR="00BD150E">
        <w:rPr>
          <w:rFonts w:ascii="Times New Roman" w:hAnsi="Times New Roman" w:cs="Times New Roman"/>
          <w:sz w:val="24"/>
          <w:szCs w:val="24"/>
        </w:rPr>
        <w:t>LGBQ</w:t>
      </w:r>
      <w:r w:rsidR="00FE0437">
        <w:rPr>
          <w:rFonts w:ascii="Times New Roman" w:hAnsi="Times New Roman" w:cs="Times New Roman"/>
          <w:sz w:val="24"/>
          <w:szCs w:val="24"/>
        </w:rPr>
        <w:t xml:space="preserve"> youth face</w:t>
      </w:r>
      <w:r w:rsidR="00FD58AE">
        <w:rPr>
          <w:rFonts w:ascii="Times New Roman" w:hAnsi="Times New Roman" w:cs="Times New Roman"/>
          <w:sz w:val="24"/>
          <w:szCs w:val="24"/>
        </w:rPr>
        <w:t>.</w:t>
      </w:r>
      <w:r w:rsidR="000F1A26">
        <w:rPr>
          <w:rFonts w:ascii="Times New Roman" w:hAnsi="Times New Roman" w:cs="Times New Roman"/>
          <w:sz w:val="24"/>
          <w:szCs w:val="24"/>
        </w:rPr>
        <w:t xml:space="preserve"> </w:t>
      </w:r>
      <w:r w:rsidR="009D48CE" w:rsidRPr="00CD61F7">
        <w:rPr>
          <w:rFonts w:ascii="Times New Roman" w:hAnsi="Times New Roman" w:cs="Times New Roman"/>
          <w:sz w:val="24"/>
          <w:szCs w:val="24"/>
        </w:rPr>
        <w:t xml:space="preserve">For example, </w:t>
      </w:r>
      <w:r w:rsidR="007F114E" w:rsidRPr="00CD61F7">
        <w:rPr>
          <w:rFonts w:ascii="Times New Roman" w:hAnsi="Times New Roman" w:cs="Times New Roman"/>
          <w:sz w:val="24"/>
          <w:szCs w:val="24"/>
        </w:rPr>
        <w:t xml:space="preserve">Sanders </w:t>
      </w:r>
      <w:r w:rsidR="002A73FD" w:rsidRPr="00CD61F7">
        <w:rPr>
          <w:rFonts w:ascii="Times New Roman" w:hAnsi="Times New Roman" w:cs="Times New Roman"/>
          <w:sz w:val="24"/>
          <w:szCs w:val="24"/>
        </w:rPr>
        <w:t xml:space="preserve">et al </w:t>
      </w:r>
      <w:r w:rsidR="007F114E" w:rsidRPr="00CD61F7">
        <w:rPr>
          <w:rFonts w:ascii="Times New Roman" w:hAnsi="Times New Roman" w:cs="Times New Roman"/>
          <w:sz w:val="24"/>
          <w:szCs w:val="24"/>
        </w:rPr>
        <w:t>(2017) found that</w:t>
      </w:r>
      <w:r w:rsidR="002A73FD">
        <w:rPr>
          <w:rFonts w:ascii="Times New Roman" w:hAnsi="Times New Roman" w:cs="Times New Roman"/>
          <w:sz w:val="24"/>
          <w:szCs w:val="24"/>
        </w:rPr>
        <w:t xml:space="preserve"> peer support may encourage high risk behavior</w:t>
      </w:r>
      <w:r w:rsidR="00094174">
        <w:rPr>
          <w:rFonts w:ascii="Times New Roman" w:hAnsi="Times New Roman" w:cs="Times New Roman"/>
          <w:sz w:val="24"/>
          <w:szCs w:val="24"/>
        </w:rPr>
        <w:t xml:space="preserve"> and introduce </w:t>
      </w:r>
      <w:r w:rsidR="00016BCD">
        <w:rPr>
          <w:rFonts w:ascii="Times New Roman" w:hAnsi="Times New Roman" w:cs="Times New Roman"/>
          <w:sz w:val="24"/>
          <w:szCs w:val="24"/>
        </w:rPr>
        <w:t xml:space="preserve">additional challenges for </w:t>
      </w:r>
      <w:r w:rsidR="008C526E">
        <w:rPr>
          <w:rFonts w:ascii="Times New Roman" w:hAnsi="Times New Roman" w:cs="Times New Roman"/>
          <w:sz w:val="24"/>
          <w:szCs w:val="24"/>
        </w:rPr>
        <w:t xml:space="preserve">vulnerable </w:t>
      </w:r>
      <w:r w:rsidR="00016BCD">
        <w:rPr>
          <w:rFonts w:ascii="Times New Roman" w:hAnsi="Times New Roman" w:cs="Times New Roman"/>
          <w:sz w:val="24"/>
          <w:szCs w:val="24"/>
        </w:rPr>
        <w:t>youth</w:t>
      </w:r>
      <w:r w:rsidR="00CD61F7">
        <w:rPr>
          <w:rFonts w:ascii="Times New Roman" w:hAnsi="Times New Roman" w:cs="Times New Roman"/>
          <w:sz w:val="24"/>
          <w:szCs w:val="24"/>
        </w:rPr>
        <w:t>, especially if their peer network engages in risky or antisocial behavior</w:t>
      </w:r>
      <w:r w:rsidR="00016BCD">
        <w:rPr>
          <w:rFonts w:ascii="Times New Roman" w:hAnsi="Times New Roman" w:cs="Times New Roman"/>
          <w:sz w:val="24"/>
          <w:szCs w:val="24"/>
        </w:rPr>
        <w:t>.</w:t>
      </w:r>
      <w:r w:rsidR="00217AE8">
        <w:rPr>
          <w:rFonts w:ascii="Times New Roman" w:hAnsi="Times New Roman" w:cs="Times New Roman"/>
          <w:sz w:val="24"/>
          <w:szCs w:val="24"/>
        </w:rPr>
        <w:t xml:space="preserve"> Future research should further explore the role of peers in fostering future expectations, particularly among marginalized populations who face ostracism, bullying, or </w:t>
      </w:r>
      <w:r w:rsidR="00B10C27">
        <w:rPr>
          <w:rFonts w:ascii="Times New Roman" w:hAnsi="Times New Roman" w:cs="Times New Roman"/>
          <w:sz w:val="24"/>
          <w:szCs w:val="24"/>
        </w:rPr>
        <w:t>delinquent peer networks</w:t>
      </w:r>
      <w:r w:rsidR="00217AE8">
        <w:rPr>
          <w:rFonts w:ascii="Times New Roman" w:hAnsi="Times New Roman" w:cs="Times New Roman"/>
          <w:sz w:val="24"/>
          <w:szCs w:val="24"/>
        </w:rPr>
        <w:t xml:space="preserve"> within school contexts.</w:t>
      </w:r>
      <w:r w:rsidR="00094174">
        <w:rPr>
          <w:rFonts w:ascii="Times New Roman" w:hAnsi="Times New Roman" w:cs="Times New Roman"/>
          <w:sz w:val="24"/>
          <w:szCs w:val="24"/>
        </w:rPr>
        <w:t xml:space="preserve"> </w:t>
      </w:r>
      <w:r w:rsidR="00297B9D">
        <w:rPr>
          <w:rFonts w:ascii="Times New Roman" w:hAnsi="Times New Roman" w:cs="Times New Roman"/>
          <w:sz w:val="24"/>
          <w:szCs w:val="24"/>
        </w:rPr>
        <w:t>Additionally, several control variables, including race, gender, and poverty level, revealed that socially vulnerable groups also tended to have negative influences on future expectations.</w:t>
      </w:r>
    </w:p>
    <w:p w14:paraId="3163A55A" w14:textId="2F5B3432" w:rsidR="00A81739" w:rsidRDefault="00072626" w:rsidP="00EC7C2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Overall, these findings </w:t>
      </w:r>
      <w:r w:rsidR="00EB37C1">
        <w:rPr>
          <w:rFonts w:ascii="Times New Roman" w:hAnsi="Times New Roman" w:cs="Times New Roman"/>
          <w:sz w:val="24"/>
          <w:szCs w:val="24"/>
        </w:rPr>
        <w:t xml:space="preserve">provide </w:t>
      </w:r>
      <w:r w:rsidR="0023519A">
        <w:rPr>
          <w:rFonts w:ascii="Times New Roman" w:hAnsi="Times New Roman" w:cs="Times New Roman"/>
          <w:sz w:val="24"/>
          <w:szCs w:val="24"/>
        </w:rPr>
        <w:t xml:space="preserve">support for the theory of sexual minority stress, in that LGBQ youth had significantly lower expectations for their future, peer support, and caregiver support. Future research on LGBQ youth in child welfare should continue to utilize this theory to recognize the unique needs of these youth and develop programming that can help build support </w:t>
      </w:r>
      <w:r w:rsidR="0023519A">
        <w:rPr>
          <w:rFonts w:ascii="Times New Roman" w:hAnsi="Times New Roman" w:cs="Times New Roman"/>
          <w:sz w:val="24"/>
          <w:szCs w:val="24"/>
        </w:rPr>
        <w:lastRenderedPageBreak/>
        <w:t xml:space="preserve">for them There was </w:t>
      </w:r>
      <w:r w:rsidR="00EB37C1">
        <w:rPr>
          <w:rFonts w:ascii="Times New Roman" w:hAnsi="Times New Roman" w:cs="Times New Roman"/>
          <w:sz w:val="24"/>
          <w:szCs w:val="24"/>
        </w:rPr>
        <w:t xml:space="preserve">mixed support for our hypotheses that caregiver and peer support increase expectations for the future. </w:t>
      </w:r>
      <w:r w:rsidR="00FA251F">
        <w:rPr>
          <w:rFonts w:ascii="Times New Roman" w:hAnsi="Times New Roman" w:cs="Times New Roman"/>
          <w:sz w:val="24"/>
          <w:szCs w:val="24"/>
        </w:rPr>
        <w:t xml:space="preserve">While these supports in general promoted positive expectations, their interaction effects with LGBQ status </w:t>
      </w:r>
      <w:r w:rsidR="00BA54D3">
        <w:rPr>
          <w:rFonts w:ascii="Times New Roman" w:hAnsi="Times New Roman" w:cs="Times New Roman"/>
          <w:sz w:val="24"/>
          <w:szCs w:val="24"/>
        </w:rPr>
        <w:t>did not always influence expectations positively</w:t>
      </w:r>
      <w:r w:rsidR="0096498D">
        <w:rPr>
          <w:rFonts w:ascii="Times New Roman" w:hAnsi="Times New Roman" w:cs="Times New Roman"/>
          <w:sz w:val="24"/>
          <w:szCs w:val="24"/>
        </w:rPr>
        <w:t xml:space="preserve">. </w:t>
      </w:r>
      <w:r w:rsidR="0023519A">
        <w:rPr>
          <w:rFonts w:ascii="Times New Roman" w:hAnsi="Times New Roman" w:cs="Times New Roman"/>
          <w:sz w:val="24"/>
          <w:szCs w:val="24"/>
        </w:rPr>
        <w:t xml:space="preserve">More research is needed to understand the quality of peer relationships and whether this influence can be prosocial or detrimental. </w:t>
      </w:r>
      <w:r w:rsidR="0096498D">
        <w:rPr>
          <w:rFonts w:ascii="Times New Roman" w:hAnsi="Times New Roman" w:cs="Times New Roman"/>
          <w:sz w:val="24"/>
          <w:szCs w:val="24"/>
        </w:rPr>
        <w:t xml:space="preserve">However, our results </w:t>
      </w:r>
      <w:r w:rsidR="00117E5D">
        <w:rPr>
          <w:rFonts w:ascii="Times New Roman" w:hAnsi="Times New Roman" w:cs="Times New Roman"/>
          <w:sz w:val="24"/>
          <w:szCs w:val="24"/>
        </w:rPr>
        <w:t>align with the social-ecological theory of development and the linked lives principle</w:t>
      </w:r>
      <w:r w:rsidR="00B20A6B">
        <w:rPr>
          <w:rFonts w:ascii="Times New Roman" w:hAnsi="Times New Roman" w:cs="Times New Roman"/>
          <w:sz w:val="24"/>
          <w:szCs w:val="24"/>
        </w:rPr>
        <w:t xml:space="preserve"> by highlighting that these youth’s expectations were influenced</w:t>
      </w:r>
      <w:r w:rsidR="004319A5">
        <w:rPr>
          <w:rFonts w:ascii="Times New Roman" w:hAnsi="Times New Roman" w:cs="Times New Roman"/>
          <w:sz w:val="24"/>
          <w:szCs w:val="24"/>
        </w:rPr>
        <w:t xml:space="preserve"> by both their relationships with their caregivers and their peers. </w:t>
      </w:r>
      <w:r w:rsidR="00022054">
        <w:rPr>
          <w:rFonts w:ascii="Times New Roman" w:hAnsi="Times New Roman" w:cs="Times New Roman"/>
          <w:sz w:val="24"/>
          <w:szCs w:val="24"/>
        </w:rPr>
        <w:t xml:space="preserve">Prior research has shown that caregivers and peers promote increased expectations, especially for outcomes such as education and employment </w:t>
      </w:r>
      <w:r w:rsidR="00020472">
        <w:rPr>
          <w:rFonts w:ascii="Times New Roman" w:hAnsi="Times New Roman" w:cs="Times New Roman"/>
          <w:sz w:val="24"/>
          <w:szCs w:val="24"/>
        </w:rPr>
        <w:fldChar w:fldCharType="begin"/>
      </w:r>
      <w:r w:rsidR="00020472">
        <w:rPr>
          <w:rFonts w:ascii="Times New Roman" w:hAnsi="Times New Roman" w:cs="Times New Roman"/>
          <w:sz w:val="24"/>
          <w:szCs w:val="24"/>
        </w:rPr>
        <w:instrText xml:space="preserve"> ADDIN ZOTERO_ITEM CSL_CITATION {"citationID":"KgJtaNzF","properties":{"formattedCitation":"(J\\uc0\\u225{}mbori and Sallay 2003; Kiuru et al. 2007; Merritt 2015)","plainCitation":"(Jámbori and Sallay 2003; Kiuru et al. 2007; Merritt 2015)","noteIndex":0},"citationItems":[{"id":538,"uris":["http://zotero.org/users/7501598/items/ZQN2RXYG"],"itemData":{"id":538,"type":"article-journal","container-title":"Review of psychology","ISSN":"1330-6812","issue":"2","journalAbbreviation":"Review of psychology","note":"publisher: Naklada Slap","page":"131-140","title":"Parenting styles, aims, attitudes, and future orientation of adolescents and young adults","volume":"10","author":[{"family":"Jámbori","given":"Szilvia"},{"family":"Sallay","given":"Hedvig"}],"issued":{"date-parts":[["2003"]]}}},{"id":548,"uris":["http://zotero.org/users/7501598/items/LFYJ2CT6"],"itemData":{"id":548,"type":"article-journal","abstract":"The present study investigated to what extent the members of adolescents’ peer groups share similar educational expectations, and to what extent overall and school-related adjustment are associated with these expectations. Three hundred and ninety-four ninth-graders facing the transition to secondary education filled in questionnaires measuring their short-term and long-term educational expectations, and their academic achievement, learning difficulties, negative attitudes towards school, problem behavior, and self-esteem. Multilevel modeling showed that peer group members shared similar educational expectations. Among girls, adjustment typical of the peer group was associated with the group members’ educational expectations. By contrast, among boys, only problem behavior typical of the peer group was associated with the group members’ educational expectations.","container-title":"Journal of Youth and Adolescence","DOI":"10.1007/s10964-006-9118-6","ISSN":"1573-6601","issue":"8","journalAbbreviation":"J Youth Adolescence","language":"en","page":"995-1009","source":"Springer Link","title":"The Role of Peer Groups in Adolescents’ Educational Expectations and Adjustment","volume":"36","author":[{"family":"Kiuru","given":"Noona"},{"family":"Aunola","given":"Kaisa"},{"family":"Vuori","given":"Jukka"},{"family":"Nurmi","given":"Jari-Erik"}],"issued":{"date-parts":[["2007",11,1]]}}},{"id":553,"uris":["http://zotero.org/users/7501598/items/W3VHWYKK"],"itemData":{"id":553,"type":"paper-conference","event-title":"Society for Social Work and Research 19th Annual Conference: The Social and Behavioral Importance of Increased Longevity","language":"English","publisher":"Society for Social Work and Research","source":"sswr.confex.com","title":"The Impact of Positive Peer Relationships, School Experiences, and Future Outlook on Behavior Scores for Abused and Neglected Youth","URL":"https://sswr.confex.com/sswr/2015/webprogram/Paper24337.html","author":[{"family":"Merritt","given":"Darcey H."}],"accessed":{"date-parts":[["2021",8,18]]},"issued":{"date-parts":[["2015",1,15]]}}}],"schema":"https://github.com/citation-style-language/schema/raw/master/csl-citation.json"} </w:instrText>
      </w:r>
      <w:r w:rsidR="00020472">
        <w:rPr>
          <w:rFonts w:ascii="Times New Roman" w:hAnsi="Times New Roman" w:cs="Times New Roman"/>
          <w:sz w:val="24"/>
          <w:szCs w:val="24"/>
        </w:rPr>
        <w:fldChar w:fldCharType="separate"/>
      </w:r>
      <w:r w:rsidR="00020472" w:rsidRPr="00020472">
        <w:rPr>
          <w:rFonts w:ascii="Times New Roman" w:hAnsi="Times New Roman" w:cs="Times New Roman"/>
          <w:kern w:val="0"/>
          <w:sz w:val="24"/>
        </w:rPr>
        <w:t>(Jámbori and Sallay 2003; Kiuru et al. 2007; Merritt 2015)</w:t>
      </w:r>
      <w:r w:rsidR="00020472">
        <w:rPr>
          <w:rFonts w:ascii="Times New Roman" w:hAnsi="Times New Roman" w:cs="Times New Roman"/>
          <w:sz w:val="24"/>
          <w:szCs w:val="24"/>
        </w:rPr>
        <w:fldChar w:fldCharType="end"/>
      </w:r>
      <w:r w:rsidR="00D42CFC">
        <w:rPr>
          <w:rFonts w:ascii="Times New Roman" w:hAnsi="Times New Roman" w:cs="Times New Roman"/>
          <w:sz w:val="24"/>
          <w:szCs w:val="24"/>
        </w:rPr>
        <w:t>.</w:t>
      </w:r>
      <w:r w:rsidR="0023519A">
        <w:rPr>
          <w:rFonts w:ascii="Times New Roman" w:hAnsi="Times New Roman" w:cs="Times New Roman"/>
          <w:sz w:val="24"/>
          <w:szCs w:val="24"/>
        </w:rPr>
        <w:t xml:space="preserve"> T</w:t>
      </w:r>
      <w:r w:rsidR="00D42CFC">
        <w:rPr>
          <w:rFonts w:ascii="Times New Roman" w:hAnsi="Times New Roman" w:cs="Times New Roman"/>
          <w:sz w:val="24"/>
          <w:szCs w:val="24"/>
        </w:rPr>
        <w:t xml:space="preserve">his research contributes to </w:t>
      </w:r>
      <w:r w:rsidR="00403A00">
        <w:rPr>
          <w:rFonts w:ascii="Times New Roman" w:hAnsi="Times New Roman" w:cs="Times New Roman"/>
          <w:sz w:val="24"/>
          <w:szCs w:val="24"/>
        </w:rPr>
        <w:t>the literature by examining expectations for marriage, family</w:t>
      </w:r>
      <w:r w:rsidR="004A0F7E">
        <w:rPr>
          <w:rFonts w:ascii="Times New Roman" w:hAnsi="Times New Roman" w:cs="Times New Roman"/>
          <w:sz w:val="24"/>
          <w:szCs w:val="24"/>
        </w:rPr>
        <w:t xml:space="preserve"> formation</w:t>
      </w:r>
      <w:r w:rsidR="00403A00">
        <w:rPr>
          <w:rFonts w:ascii="Times New Roman" w:hAnsi="Times New Roman" w:cs="Times New Roman"/>
          <w:sz w:val="24"/>
          <w:szCs w:val="24"/>
        </w:rPr>
        <w:t xml:space="preserve">, and mortality that are also culturally normative but </w:t>
      </w:r>
      <w:r w:rsidR="00217AE8">
        <w:rPr>
          <w:rFonts w:ascii="Times New Roman" w:hAnsi="Times New Roman" w:cs="Times New Roman"/>
          <w:sz w:val="24"/>
          <w:szCs w:val="24"/>
        </w:rPr>
        <w:t>may be experienced differently for LGBQ youth</w:t>
      </w:r>
      <w:r w:rsidR="004A0F7E">
        <w:rPr>
          <w:rFonts w:ascii="Times New Roman" w:hAnsi="Times New Roman" w:cs="Times New Roman"/>
          <w:sz w:val="24"/>
          <w:szCs w:val="24"/>
        </w:rPr>
        <w:t xml:space="preserve">, particularly for LGBQ youth with child welfare involvement who may not have the </w:t>
      </w:r>
      <w:r w:rsidR="00AF0E11">
        <w:rPr>
          <w:rFonts w:ascii="Times New Roman" w:hAnsi="Times New Roman" w:cs="Times New Roman"/>
          <w:sz w:val="24"/>
          <w:szCs w:val="24"/>
        </w:rPr>
        <w:t>proper supports to achieve these expectations</w:t>
      </w:r>
      <w:r w:rsidR="00217AE8">
        <w:rPr>
          <w:rFonts w:ascii="Times New Roman" w:hAnsi="Times New Roman" w:cs="Times New Roman"/>
          <w:sz w:val="24"/>
          <w:szCs w:val="24"/>
        </w:rPr>
        <w:t>.</w:t>
      </w:r>
    </w:p>
    <w:p w14:paraId="64A87264" w14:textId="77777777" w:rsidR="0048282A" w:rsidRPr="00442034" w:rsidRDefault="0048282A" w:rsidP="00C37F60">
      <w:pPr>
        <w:spacing w:line="480" w:lineRule="auto"/>
        <w:contextualSpacing/>
        <w:rPr>
          <w:rFonts w:ascii="Times New Roman" w:hAnsi="Times New Roman" w:cs="Times New Roman"/>
          <w:i/>
          <w:iCs/>
          <w:sz w:val="24"/>
          <w:szCs w:val="24"/>
        </w:rPr>
      </w:pPr>
      <w:r w:rsidRPr="00442034">
        <w:rPr>
          <w:rFonts w:ascii="Times New Roman" w:hAnsi="Times New Roman" w:cs="Times New Roman"/>
          <w:i/>
          <w:iCs/>
          <w:sz w:val="24"/>
          <w:szCs w:val="24"/>
        </w:rPr>
        <w:t>Limitations</w:t>
      </w:r>
    </w:p>
    <w:p w14:paraId="2D395D64" w14:textId="0346E589" w:rsidR="0048282A" w:rsidRPr="00442034" w:rsidRDefault="0048282A" w:rsidP="00C37F60">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Though the results of this study have important contributions to the literature on expectations for youth in the child welfare system, a vulnerable population with arguably less support than youth who grow up without child welfare involvement, there are several limitations. First, sexual orientation is only measured at Wave Three and is not the best measure for sexual identity (see Footnote 1). Second, small cell sizes in expectations for graduating high school, getting a job by thirty, and living to thirty-five reduced our ability to compare outcomes </w:t>
      </w:r>
      <w:r w:rsidR="00A708FB" w:rsidRPr="00442034">
        <w:rPr>
          <w:rFonts w:ascii="Times New Roman" w:hAnsi="Times New Roman" w:cs="Times New Roman"/>
          <w:sz w:val="24"/>
          <w:szCs w:val="24"/>
        </w:rPr>
        <w:t xml:space="preserve">for other categories </w:t>
      </w:r>
      <w:r w:rsidRPr="00442034">
        <w:rPr>
          <w:rFonts w:ascii="Times New Roman" w:hAnsi="Times New Roman" w:cs="Times New Roman"/>
          <w:sz w:val="24"/>
          <w:szCs w:val="24"/>
        </w:rPr>
        <w:t>in these models. Overall, our sample size was limited due to incomplete responses for our variables of interest</w:t>
      </w:r>
      <w:r w:rsidR="00D86847">
        <w:rPr>
          <w:rFonts w:ascii="Times New Roman" w:hAnsi="Times New Roman" w:cs="Times New Roman"/>
          <w:sz w:val="24"/>
          <w:szCs w:val="24"/>
        </w:rPr>
        <w:t xml:space="preserve">, </w:t>
      </w:r>
      <w:r w:rsidR="003225B1">
        <w:rPr>
          <w:rFonts w:ascii="Times New Roman" w:hAnsi="Times New Roman" w:cs="Times New Roman"/>
          <w:sz w:val="24"/>
          <w:szCs w:val="24"/>
        </w:rPr>
        <w:t>which could lead to bias as cases were dropped through listwise deletion rather than using multiple imputation</w:t>
      </w:r>
      <w:r w:rsidRPr="00442034">
        <w:rPr>
          <w:rFonts w:ascii="Times New Roman" w:hAnsi="Times New Roman" w:cs="Times New Roman"/>
          <w:sz w:val="24"/>
          <w:szCs w:val="24"/>
        </w:rPr>
        <w:t>.</w:t>
      </w:r>
      <w:r w:rsidR="00C65242">
        <w:rPr>
          <w:rFonts w:ascii="Times New Roman" w:hAnsi="Times New Roman" w:cs="Times New Roman"/>
          <w:sz w:val="24"/>
          <w:szCs w:val="24"/>
        </w:rPr>
        <w:t xml:space="preserve"> Third, </w:t>
      </w:r>
      <w:r w:rsidR="0023519A">
        <w:rPr>
          <w:rFonts w:ascii="Times New Roman" w:hAnsi="Times New Roman" w:cs="Times New Roman"/>
          <w:sz w:val="24"/>
          <w:szCs w:val="24"/>
        </w:rPr>
        <w:t xml:space="preserve">the available data within NSCAW II does not </w:t>
      </w:r>
      <w:r w:rsidR="00AC168C">
        <w:rPr>
          <w:rFonts w:ascii="Times New Roman" w:hAnsi="Times New Roman" w:cs="Times New Roman"/>
          <w:sz w:val="24"/>
          <w:szCs w:val="24"/>
        </w:rPr>
        <w:lastRenderedPageBreak/>
        <w:t>capture state or policy differences that could influence future expectations. Future research should examine these dynamics, particularly among LGBQ youth and foster parents who may also identify as LGBQ</w:t>
      </w:r>
      <w:r w:rsidR="00270CDB">
        <w:rPr>
          <w:rFonts w:ascii="Times New Roman" w:hAnsi="Times New Roman" w:cs="Times New Roman"/>
          <w:sz w:val="24"/>
          <w:szCs w:val="24"/>
        </w:rPr>
        <w:t>.</w:t>
      </w:r>
      <w:r w:rsidRPr="00442034">
        <w:rPr>
          <w:rFonts w:ascii="Times New Roman" w:hAnsi="Times New Roman" w:cs="Times New Roman"/>
          <w:sz w:val="24"/>
          <w:szCs w:val="24"/>
        </w:rPr>
        <w:t xml:space="preserve"> </w:t>
      </w:r>
      <w:r w:rsidR="00270CDB">
        <w:rPr>
          <w:rFonts w:ascii="Times New Roman" w:hAnsi="Times New Roman" w:cs="Times New Roman"/>
          <w:sz w:val="24"/>
          <w:szCs w:val="24"/>
        </w:rPr>
        <w:t>For example</w:t>
      </w:r>
      <w:r w:rsidR="007B3B57">
        <w:rPr>
          <w:rFonts w:ascii="Times New Roman" w:hAnsi="Times New Roman" w:cs="Times New Roman"/>
          <w:sz w:val="24"/>
          <w:szCs w:val="24"/>
        </w:rPr>
        <w:t xml:space="preserve">, </w:t>
      </w:r>
      <w:r w:rsidR="00595E6C">
        <w:rPr>
          <w:rFonts w:ascii="Times New Roman" w:hAnsi="Times New Roman" w:cs="Times New Roman"/>
          <w:sz w:val="24"/>
          <w:szCs w:val="24"/>
        </w:rPr>
        <w:t>differences in</w:t>
      </w:r>
      <w:r w:rsidR="00565C0A">
        <w:rPr>
          <w:rFonts w:ascii="Times New Roman" w:hAnsi="Times New Roman" w:cs="Times New Roman"/>
          <w:sz w:val="24"/>
          <w:szCs w:val="24"/>
        </w:rPr>
        <w:t xml:space="preserve"> state policy context</w:t>
      </w:r>
      <w:r w:rsidR="00595E6C">
        <w:rPr>
          <w:rFonts w:ascii="Times New Roman" w:hAnsi="Times New Roman" w:cs="Times New Roman"/>
          <w:sz w:val="24"/>
          <w:szCs w:val="24"/>
        </w:rPr>
        <w:t>s</w:t>
      </w:r>
      <w:r w:rsidR="00565C0A">
        <w:rPr>
          <w:rFonts w:ascii="Times New Roman" w:hAnsi="Times New Roman" w:cs="Times New Roman"/>
          <w:sz w:val="24"/>
          <w:szCs w:val="24"/>
        </w:rPr>
        <w:t xml:space="preserve"> </w:t>
      </w:r>
      <w:r w:rsidR="00595E6C">
        <w:rPr>
          <w:rFonts w:ascii="Times New Roman" w:hAnsi="Times New Roman" w:cs="Times New Roman"/>
          <w:sz w:val="24"/>
          <w:szCs w:val="24"/>
        </w:rPr>
        <w:t>for LGBQ families</w:t>
      </w:r>
      <w:r w:rsidR="004A0F7E">
        <w:rPr>
          <w:rFonts w:ascii="Times New Roman" w:hAnsi="Times New Roman" w:cs="Times New Roman"/>
          <w:sz w:val="24"/>
          <w:szCs w:val="24"/>
        </w:rPr>
        <w:t xml:space="preserve"> </w:t>
      </w:r>
      <w:r w:rsidR="00565C0A">
        <w:rPr>
          <w:rFonts w:ascii="Times New Roman" w:hAnsi="Times New Roman" w:cs="Times New Roman"/>
          <w:sz w:val="24"/>
          <w:szCs w:val="24"/>
        </w:rPr>
        <w:t>such as bans on fostering</w:t>
      </w:r>
      <w:r w:rsidR="00E3694D">
        <w:rPr>
          <w:rFonts w:ascii="Times New Roman" w:hAnsi="Times New Roman" w:cs="Times New Roman"/>
          <w:sz w:val="24"/>
          <w:szCs w:val="24"/>
        </w:rPr>
        <w:t xml:space="preserve"> and </w:t>
      </w:r>
      <w:r w:rsidR="00CD61F7">
        <w:rPr>
          <w:rFonts w:ascii="Times New Roman" w:hAnsi="Times New Roman" w:cs="Times New Roman"/>
          <w:sz w:val="24"/>
          <w:szCs w:val="24"/>
        </w:rPr>
        <w:t xml:space="preserve">the uncertainty </w:t>
      </w:r>
      <w:r w:rsidR="00AE4109">
        <w:rPr>
          <w:rFonts w:ascii="Times New Roman" w:hAnsi="Times New Roman" w:cs="Times New Roman"/>
          <w:sz w:val="24"/>
          <w:szCs w:val="24"/>
        </w:rPr>
        <w:t>regarding</w:t>
      </w:r>
      <w:r w:rsidR="00E3694D">
        <w:rPr>
          <w:rFonts w:ascii="Times New Roman" w:hAnsi="Times New Roman" w:cs="Times New Roman"/>
          <w:sz w:val="24"/>
          <w:szCs w:val="24"/>
        </w:rPr>
        <w:t xml:space="preserve"> same-sex rights to marriage could be influencing </w:t>
      </w:r>
      <w:r w:rsidR="002710C2">
        <w:rPr>
          <w:rFonts w:ascii="Times New Roman" w:hAnsi="Times New Roman" w:cs="Times New Roman"/>
          <w:sz w:val="24"/>
          <w:szCs w:val="24"/>
        </w:rPr>
        <w:t>youth expectations within this context, limiting ou</w:t>
      </w:r>
      <w:r w:rsidR="008F02A6">
        <w:rPr>
          <w:rFonts w:ascii="Times New Roman" w:hAnsi="Times New Roman" w:cs="Times New Roman"/>
          <w:sz w:val="24"/>
          <w:szCs w:val="24"/>
        </w:rPr>
        <w:t>r</w:t>
      </w:r>
      <w:r w:rsidR="002710C2">
        <w:rPr>
          <w:rFonts w:ascii="Times New Roman" w:hAnsi="Times New Roman" w:cs="Times New Roman"/>
          <w:sz w:val="24"/>
          <w:szCs w:val="24"/>
        </w:rPr>
        <w:t xml:space="preserve"> understanding of how policy may be shaping future expectation outcomes according to the social-ecological theory of development.</w:t>
      </w:r>
    </w:p>
    <w:p w14:paraId="0CC090DC" w14:textId="77777777" w:rsidR="0048282A" w:rsidRPr="00442034" w:rsidRDefault="0048282A" w:rsidP="00C37F60">
      <w:pPr>
        <w:spacing w:line="480" w:lineRule="auto"/>
        <w:contextualSpacing/>
        <w:jc w:val="center"/>
        <w:rPr>
          <w:rFonts w:ascii="Times New Roman" w:hAnsi="Times New Roman" w:cs="Times New Roman"/>
          <w:b/>
          <w:bCs/>
          <w:sz w:val="24"/>
          <w:szCs w:val="24"/>
        </w:rPr>
      </w:pPr>
      <w:r w:rsidRPr="00442034">
        <w:rPr>
          <w:rFonts w:ascii="Times New Roman" w:hAnsi="Times New Roman" w:cs="Times New Roman"/>
          <w:b/>
          <w:bCs/>
          <w:sz w:val="24"/>
          <w:szCs w:val="24"/>
        </w:rPr>
        <w:t>Conclusion</w:t>
      </w:r>
    </w:p>
    <w:p w14:paraId="5281FEFE" w14:textId="56C313D5" w:rsidR="0048282A" w:rsidRPr="00442034" w:rsidRDefault="0048282A" w:rsidP="00C37F60">
      <w:pPr>
        <w:spacing w:line="480" w:lineRule="auto"/>
        <w:rPr>
          <w:rFonts w:ascii="Times New Roman" w:hAnsi="Times New Roman" w:cs="Times New Roman"/>
          <w:sz w:val="24"/>
          <w:szCs w:val="24"/>
        </w:rPr>
      </w:pPr>
      <w:r w:rsidRPr="00442034">
        <w:rPr>
          <w:rFonts w:ascii="Times New Roman" w:hAnsi="Times New Roman" w:cs="Times New Roman"/>
          <w:sz w:val="24"/>
          <w:szCs w:val="24"/>
        </w:rPr>
        <w:tab/>
      </w:r>
      <w:r w:rsidR="00A708FB" w:rsidRPr="00442034">
        <w:rPr>
          <w:rFonts w:ascii="Times New Roman" w:hAnsi="Times New Roman" w:cs="Times New Roman"/>
          <w:sz w:val="24"/>
          <w:szCs w:val="24"/>
        </w:rPr>
        <w:t xml:space="preserve">The findings from this study contribute to the dearth of literature on future expectations and are among the first to explore these concepts for LGBQ youth. Additionally, the findings provide support for the linked lives principle of life course theory as well as the social-ecological theory of development, indicating that future expectations are shaped by these youth’s environment, particularly caregivers and peers. </w:t>
      </w:r>
      <w:r w:rsidR="005F5410" w:rsidRPr="00442034">
        <w:rPr>
          <w:rFonts w:ascii="Times New Roman" w:hAnsi="Times New Roman" w:cs="Times New Roman"/>
          <w:sz w:val="24"/>
          <w:szCs w:val="24"/>
        </w:rPr>
        <w:t>Despite our findings that sometimes they had a combined negative impact, a wealth of research points to their importance. More research needs to dive into the dynamic revealed by our counterintuitive finding</w:t>
      </w:r>
      <w:r w:rsidR="00AE4109">
        <w:rPr>
          <w:rFonts w:ascii="Times New Roman" w:hAnsi="Times New Roman" w:cs="Times New Roman"/>
          <w:sz w:val="24"/>
          <w:szCs w:val="24"/>
        </w:rPr>
        <w:t>s</w:t>
      </w:r>
      <w:r w:rsidR="005F5410" w:rsidRPr="00442034">
        <w:rPr>
          <w:rFonts w:ascii="Times New Roman" w:hAnsi="Times New Roman" w:cs="Times New Roman"/>
          <w:sz w:val="24"/>
          <w:szCs w:val="24"/>
        </w:rPr>
        <w:t xml:space="preserve"> to examine what might be driving </w:t>
      </w:r>
      <w:r w:rsidR="00AE4109">
        <w:rPr>
          <w:rFonts w:ascii="Times New Roman" w:hAnsi="Times New Roman" w:cs="Times New Roman"/>
          <w:sz w:val="24"/>
          <w:szCs w:val="24"/>
        </w:rPr>
        <w:t>them</w:t>
      </w:r>
      <w:r w:rsidR="005F5410" w:rsidRPr="00442034">
        <w:rPr>
          <w:rFonts w:ascii="Times New Roman" w:hAnsi="Times New Roman" w:cs="Times New Roman"/>
          <w:sz w:val="24"/>
          <w:szCs w:val="24"/>
        </w:rPr>
        <w:t xml:space="preserve">. </w:t>
      </w:r>
      <w:r w:rsidRPr="00442034">
        <w:rPr>
          <w:rFonts w:ascii="Times New Roman" w:hAnsi="Times New Roman" w:cs="Times New Roman"/>
          <w:sz w:val="24"/>
          <w:szCs w:val="24"/>
        </w:rPr>
        <w:t xml:space="preserve">Results from this study should promote continued research into the characteristics that shape future expectations and changes in policy and practice for the child welfare system as they seek to assist youth in achieving these expectations. For LGBQ youth, this means continued advocacy for affirmative parenting practices by parents and foster parents that can increase social support and therefore expectations. Programs such as PII-RISE and AFFIRM Caregiver are interventions found to increase affirmative caregiving attitudes toward LGBTQ+ youth that could be implemented nationwide for foster parents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{"citationID":"eAYjTMzd","properties":{"formattedCitation":"(Austin et al. 2021; Lorthridge et al. 2018)","plainCitation":"(Austin et al. 2021; Lorthridge et al. 2018)","noteIndex":0},"citationItems":[{"id":347,"uris":["http://zotero.org/users/7501598/items/8WLIDVHL"],"itemData":{"id":347,"type":"article-journal","abstract":"Lesbian, gay, bisexual, transgender, or questioning (LGBTQ+) youth are notably overrepresented in the foster care system, often entering the child welfare system because of abuse or neglect associated with familial rejection of youths’ sexual orientation, gender identity, and/or gender expression. LGBTQ+ foster youth are often exposed to identity-based victimization within the foster care system. There is a call for evidence-informed interventions aimed at improving the well-being of LGBTQ+ youth in systems of care. This study examines the initial effec­ tiveness of AFFIRM Caregiver, a 7-session, manualized intervention aimed at enhancing affirmative parenting practices among foster parents. AFFIRM Caregiver was delivered to foster parents (n = 103) at two U.S. sites. Findings indicate significant improvements in affirmative caregiving attitudes, behaviors, and self-efficacy at post-test, as well as at the 3-month follow-up assessment. Given positive preliminary results, AFFIRM Caregiver represents a promising option to address a particularly notable challenge to the safety and well-being of LGBTQ+ youth in care.","container-title":"Children and Youth Services Review","DOI":"10.1016/j.childyouth.2021.106107","ISSN":"01907409","journalAbbreviation":"Children and Youth Services Review","language":"en","page":"106107","source":"DOI.org (Crossref)","title":"Preliminary effectiveness of an LGBTQ+ affirmative parenting intervention with foster parents","volume":"127","author":[{"family":"Austin","given":"Ashley"},{"family":"Craig","given":"Shelley L."},{"family":"Matarese","given":"Marlene"},{"family":"Greeno","given":"Elizabeth J."},{"family":"Weeks","given":"Angela"},{"family":"Betsinger","given":"S. Aaron"}],"issued":{"date-parts":[["2021",8]]}}},{"id":249,"uris":["http://zotero.org/users/7501598/items/4XN8NYYC"],"itemData":{"id":249,"type":"article-journal","abstract":"This article reports findings from a formative evaluation of the RISE Care Coordination Team (CCT) model, which integrates Wraparound and Family Finding and Engagement with LGBTQ-specific education and support strategies. Using a mixed-methods, pre-post design with 23 youth, the evaluation found that at follow-up, most youth had greater connection or re-connections with supports. The evaluation also found that most youth were connected to an adult providing a permanent, parent-like relationship and were living with an adult who was a potential adoptive parent or legal guardian.","container-title":"Child Welfare","ISSN":"0009-4021","issue":"1","journalAbbreviation":"CHILD WELFARE","note":"publisher-place: Washington, District of Columbia\npublisher: Child Welfare League of America","page":"53-78","source":"EBSCOhost","title":"Strengthening Family Connections and Support for Youth in Foster Care who Identify as LGBTQ: Findings from the PII-RISE Evaluation","title-short":"Strengthening Family Connections and Support for Youth in Foster Care who Identify as LGBTQ","volume":"96","author":[{"family":"Lorthridge","given":"Jaymie"},{"family":"Evans","given":"Marneena"},{"family":"Heaton","given":"Leanne"},{"family":"Stevens","given":"Andrea"},{"family":"Phillips","given":"Lisa"}],"issued":{"date-parts":[["2018",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(Austin et al. 2021; Lorthridge et al.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Additionally, more supportive policies could be implemented in schools to reduce bullying and </w:t>
      </w:r>
      <w:r w:rsidRPr="00442034">
        <w:rPr>
          <w:rFonts w:ascii="Times New Roman" w:hAnsi="Times New Roman" w:cs="Times New Roman"/>
          <w:sz w:val="24"/>
          <w:szCs w:val="24"/>
        </w:rPr>
        <w:lastRenderedPageBreak/>
        <w:t xml:space="preserve">harassment and increase supportive peer relationships for LGBQ youth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{"citationID":"roXP362m","properties":{"formattedCitation":"(Hong and Garbarino 2012; Kiuru et al. 2007)","plainCitation":"(Hong and Garbarino 2012; Kiuru et al. 2007)","noteIndex":0},"citationItems":[{"id":554,"uris":["http://zotero.org/users/7501598/items/EIBD5K8X"],"itemData":{"id":554,"type":"article-journal","abstract":"Homophobic bullying is a serious concern for students, parents, teachers, and school officials. This article reviews evidence on the status of this problem and how it may be addressed in a multilevel and multidisciplinary manner growing out of a social–ecological perspective on homophobic bullying as a social phenomenon. The ecological framework developed by Urie Bronfenbrenner (1977, 1979) is applied to organize this effort, which includes micro-, exo-, and macro-systems in which behavior and development are embedded. The inherent fluidity of experience postulated by Bronfenbrenner’s ecological approach offers hope that as practices and policy to promote diversity move forward, they will reshape the social ecology of sexual minority youth.","container-title":"Educational Psychology Review","DOI":"10.1007/s10648-012-9194-y","ISSN":"1573-336X","issue":"2","journalAbbreviation":"Educ Psychol Rev","language":"en","page":"271-285","source":"Springer Link","title":"Risk and Protective Factors for Homophobic Bullying in Schools: An Application of the Social–Ecological Framework","title-short":"Risk and Protective Factors for Homophobic Bullying in Schools","volume":"24","author":[{"family":"Hong","given":"Jun Sung"},{"family":"Garbarino","given":"James"}],"issued":{"date-parts":[["2012",6,1]]}}},{"id":548,"uris":["http://zotero.org/users/7501598/items/LFYJ2CT6"],"itemData":{"id":548,"type":"article-journal","abstract":"The present study investigated to what extent the members of adolescents’ peer groups share similar educational expectations, and to what extent overall and school-related adjustment are associated with these expectations. Three hundred and ninety-four ninth-graders facing the transition to secondary education filled in questionnaires measuring their short-term and long-term educational expectations, and their academic achievement, learning difficulties, negative attitudes towards school, problem behavior, and self-esteem. Multilevel modeling showed that peer group members shared similar educational expectations. Among girls, adjustment typical of the peer group was associated with the group members’ educational expectations. By contrast, among boys, only problem behavior typical of the peer group was associated with the group members’ educational expectations.","container-title":"Journal of Youth and Adolescence","DOI":"10.1007/s10964-006-9118-6","ISSN":"1573-6601","issue":"8","journalAbbreviation":"J Youth Adolescence","language":"en","page":"995-1009","source":"Springer Link","title":"The Role of Peer Groups in Adolescents’ Educational Expectations and Adjustment","volume":"36","author":[{"family":"Kiuru","given":"Noona"},{"family":"Aunola","given":"Kaisa"},{"family":"Vuori","given":"Jukka"},{"family":"Nurmi","given":"Jari-Erik"}],"issued":{"date-parts":[["2007",11,1]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(Hong and Garbarino 2012; Kiuru et al. 2007)</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For all youth in child welfare, this study highlights the importance of relationships with caregivers and peers and how they can contribute to higher expectations for their life course trajectories, highlighting a need for child welfare to continue to make family preservation a priority and promote long-term stable relationships for these youth as they navigate into adulthood.</w:t>
      </w:r>
      <w:r w:rsidRPr="00442034">
        <w:rPr>
          <w:rFonts w:ascii="Times New Roman" w:hAnsi="Times New Roman" w:cs="Times New Roman"/>
          <w:i/>
          <w:iCs/>
          <w:sz w:val="24"/>
          <w:szCs w:val="24"/>
        </w:rPr>
        <w:br w:type="page"/>
      </w:r>
    </w:p>
    <w:p w14:paraId="1772D9AE" w14:textId="200076B1" w:rsidR="00C6553B" w:rsidRPr="00442034" w:rsidRDefault="00C6553B" w:rsidP="0048282A">
      <w:pPr>
        <w:pStyle w:val="Bibliography"/>
        <w:rPr>
          <w:rFonts w:ascii="Times New Roman" w:hAnsi="Times New Roman" w:cs="Times New Roman"/>
          <w:sz w:val="24"/>
          <w:szCs w:val="24"/>
        </w:rPr>
      </w:pPr>
      <w:r w:rsidRPr="00442034">
        <w:rPr>
          <w:rFonts w:ascii="Times New Roman" w:hAnsi="Times New Roman" w:cs="Times New Roman"/>
          <w:sz w:val="24"/>
          <w:szCs w:val="24"/>
        </w:rPr>
        <w:lastRenderedPageBreak/>
        <w:t>REFERENCES</w:t>
      </w:r>
    </w:p>
    <w:p w14:paraId="71E270B9"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fldChar w:fldCharType="begin"/>
      </w:r>
      <w:r w:rsidRPr="0032581F">
        <w:rPr>
          <w:rFonts w:ascii="Times New Roman" w:hAnsi="Times New Roman" w:cs="Times New Roman"/>
          <w:sz w:val="24"/>
          <w:szCs w:val="24"/>
        </w:rPr>
        <w:instrText xml:space="preserve"> ADDIN ZOTERO_BIBL {"uncited":[],"omitted":[],"custom":[]} CSL_BIBLIOGRAPHY </w:instrText>
      </w:r>
      <w:r w:rsidRPr="0032581F">
        <w:rPr>
          <w:rFonts w:ascii="Times New Roman" w:hAnsi="Times New Roman" w:cs="Times New Roman"/>
          <w:sz w:val="24"/>
          <w:szCs w:val="24"/>
        </w:rPr>
        <w:fldChar w:fldCharType="separate"/>
      </w:r>
      <w:r w:rsidRPr="0032581F">
        <w:rPr>
          <w:rFonts w:ascii="Times New Roman" w:hAnsi="Times New Roman" w:cs="Times New Roman"/>
          <w:sz w:val="24"/>
          <w:szCs w:val="24"/>
        </w:rPr>
        <w:t xml:space="preserve">Asher, Steven R., and Valerie A. Wheeler. 1985. “Children’s Loneliness: A Comparison of Rejected and Neglected Peer Status.” </w:t>
      </w:r>
      <w:r w:rsidRPr="0032581F">
        <w:rPr>
          <w:rFonts w:ascii="Times New Roman" w:hAnsi="Times New Roman" w:cs="Times New Roman"/>
          <w:i/>
          <w:iCs/>
          <w:sz w:val="24"/>
          <w:szCs w:val="24"/>
        </w:rPr>
        <w:t>Journal of Consulting and Clinical Psychology</w:t>
      </w:r>
      <w:r w:rsidRPr="0032581F">
        <w:rPr>
          <w:rFonts w:ascii="Times New Roman" w:hAnsi="Times New Roman" w:cs="Times New Roman"/>
          <w:sz w:val="24"/>
          <w:szCs w:val="24"/>
        </w:rPr>
        <w:t xml:space="preserve"> 53(4):500.</w:t>
      </w:r>
    </w:p>
    <w:p w14:paraId="170B4AD7"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Austin, Ashley, Shelley L. Craig, Marlene Matarese, Elizabeth J. Greeno, Angela Weeks, and S. Aaron Betsinger. 2021. “Preliminary Effectiveness of an LGBTQ+ Affirmative Parenting Intervention with Foster Parents.” </w:t>
      </w:r>
      <w:r w:rsidRPr="0032581F">
        <w:rPr>
          <w:rFonts w:ascii="Times New Roman" w:hAnsi="Times New Roman" w:cs="Times New Roman"/>
          <w:i/>
          <w:iCs/>
          <w:sz w:val="24"/>
          <w:szCs w:val="24"/>
        </w:rPr>
        <w:t>Children and Youth Services Review</w:t>
      </w:r>
      <w:r w:rsidRPr="0032581F">
        <w:rPr>
          <w:rFonts w:ascii="Times New Roman" w:hAnsi="Times New Roman" w:cs="Times New Roman"/>
          <w:sz w:val="24"/>
          <w:szCs w:val="24"/>
        </w:rPr>
        <w:t xml:space="preserve"> 127:106107. doi: 10.1016/j.childyouth.2021.106107.</w:t>
      </w:r>
    </w:p>
    <w:p w14:paraId="2742E7A8"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Bronfenbrenner, Urie. 1979. </w:t>
      </w:r>
      <w:r w:rsidRPr="0032581F">
        <w:rPr>
          <w:rFonts w:ascii="Times New Roman" w:hAnsi="Times New Roman" w:cs="Times New Roman"/>
          <w:i/>
          <w:iCs/>
          <w:sz w:val="24"/>
          <w:szCs w:val="24"/>
        </w:rPr>
        <w:t>The Ecology of Human Development: Experiments by Nature and Design</w:t>
      </w:r>
      <w:r w:rsidRPr="0032581F">
        <w:rPr>
          <w:rFonts w:ascii="Times New Roman" w:hAnsi="Times New Roman" w:cs="Times New Roman"/>
          <w:sz w:val="24"/>
          <w:szCs w:val="24"/>
        </w:rPr>
        <w:t>. Harvard University Press.</w:t>
      </w:r>
    </w:p>
    <w:p w14:paraId="4CBDF1CB"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Brumley, Lauren D., Sara R. Jaffee, and Benjamin P. Brumley. 2017. “Pathways from Childhood Adversity to Problem Behaviors in Young Adulthood: The Mediating Role of Adolescents’ Future Expectations.” </w:t>
      </w:r>
      <w:r w:rsidRPr="0032581F">
        <w:rPr>
          <w:rFonts w:ascii="Times New Roman" w:hAnsi="Times New Roman" w:cs="Times New Roman"/>
          <w:i/>
          <w:iCs/>
          <w:sz w:val="24"/>
          <w:szCs w:val="24"/>
        </w:rPr>
        <w:t>Journal of Youth and Adolescence</w:t>
      </w:r>
      <w:r w:rsidRPr="0032581F">
        <w:rPr>
          <w:rFonts w:ascii="Times New Roman" w:hAnsi="Times New Roman" w:cs="Times New Roman"/>
          <w:sz w:val="24"/>
          <w:szCs w:val="24"/>
        </w:rPr>
        <w:t xml:space="preserve"> 46(1):1–14. doi: 10.1007/s10964-016-0597-9.</w:t>
      </w:r>
    </w:p>
    <w:p w14:paraId="2DF1E9D0"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Bucx, Alfred Jacobus Elisabeth Hubertus. 2009. </w:t>
      </w:r>
      <w:r w:rsidRPr="0032581F">
        <w:rPr>
          <w:rFonts w:ascii="Times New Roman" w:hAnsi="Times New Roman" w:cs="Times New Roman"/>
          <w:i/>
          <w:iCs/>
          <w:sz w:val="24"/>
          <w:szCs w:val="24"/>
        </w:rPr>
        <w:t>Linked Lives: Young Adults’ Life Course and Relations with Parents</w:t>
      </w:r>
      <w:r w:rsidRPr="0032581F">
        <w:rPr>
          <w:rFonts w:ascii="Times New Roman" w:hAnsi="Times New Roman" w:cs="Times New Roman"/>
          <w:sz w:val="24"/>
          <w:szCs w:val="24"/>
        </w:rPr>
        <w:t>. Utrecht University.</w:t>
      </w:r>
    </w:p>
    <w:p w14:paraId="34A3AE13"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Cassidy, Jude, and Steven R. Asher. 1992. “Loneliness and Peer Relations in Young Children.” </w:t>
      </w:r>
      <w:r w:rsidRPr="0032581F">
        <w:rPr>
          <w:rFonts w:ascii="Times New Roman" w:hAnsi="Times New Roman" w:cs="Times New Roman"/>
          <w:i/>
          <w:iCs/>
          <w:sz w:val="24"/>
          <w:szCs w:val="24"/>
        </w:rPr>
        <w:t>Child Development</w:t>
      </w:r>
      <w:r w:rsidRPr="0032581F">
        <w:rPr>
          <w:rFonts w:ascii="Times New Roman" w:hAnsi="Times New Roman" w:cs="Times New Roman"/>
          <w:sz w:val="24"/>
          <w:szCs w:val="24"/>
        </w:rPr>
        <w:t xml:space="preserve"> 63:350–65. doi: 10.2307/1131484.</w:t>
      </w:r>
    </w:p>
    <w:p w14:paraId="0659DCC2"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Center for the Study of Social Policy. 2024. “Strengthening Families.” </w:t>
      </w:r>
      <w:r w:rsidRPr="0032581F">
        <w:rPr>
          <w:rFonts w:ascii="Times New Roman" w:hAnsi="Times New Roman" w:cs="Times New Roman"/>
          <w:i/>
          <w:iCs/>
          <w:sz w:val="24"/>
          <w:szCs w:val="24"/>
        </w:rPr>
        <w:t>Center for the Study of Social Policy</w:t>
      </w:r>
      <w:r w:rsidRPr="0032581F">
        <w:rPr>
          <w:rFonts w:ascii="Times New Roman" w:hAnsi="Times New Roman" w:cs="Times New Roman"/>
          <w:sz w:val="24"/>
          <w:szCs w:val="24"/>
        </w:rPr>
        <w:t>. Retrieved February 6, 2024 (https://cssp.org/our-work/project/strengthening-families/).</w:t>
      </w:r>
    </w:p>
    <w:p w14:paraId="4076A763"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Collins, Mary, Renée Spencer, and Rolanda Ward. 2010. “Supporting Youth in the Transition from Foster Care: Formal and Informal Connections.” </w:t>
      </w:r>
      <w:r w:rsidRPr="0032581F">
        <w:rPr>
          <w:rFonts w:ascii="Times New Roman" w:hAnsi="Times New Roman" w:cs="Times New Roman"/>
          <w:i/>
          <w:iCs/>
          <w:sz w:val="24"/>
          <w:szCs w:val="24"/>
        </w:rPr>
        <w:t>Child Welfare</w:t>
      </w:r>
      <w:r w:rsidRPr="0032581F">
        <w:rPr>
          <w:rFonts w:ascii="Times New Roman" w:hAnsi="Times New Roman" w:cs="Times New Roman"/>
          <w:sz w:val="24"/>
          <w:szCs w:val="24"/>
        </w:rPr>
        <w:t xml:space="preserve"> 89:125–43.</w:t>
      </w:r>
    </w:p>
    <w:p w14:paraId="2300618D"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Corwin, Tyler W., Erin J. Maher, Lisa Merkel-Holguin, Heather Allan, Dana M. Hollinshead, and John D. Fluke. 2020. “Increasing Social Support for Child Welfare-Involved Families Through Family Group Conferencing.” </w:t>
      </w:r>
      <w:r w:rsidRPr="0032581F">
        <w:rPr>
          <w:rFonts w:ascii="Times New Roman" w:hAnsi="Times New Roman" w:cs="Times New Roman"/>
          <w:i/>
          <w:iCs/>
          <w:sz w:val="24"/>
          <w:szCs w:val="24"/>
        </w:rPr>
        <w:t>The British Journal of Social Work</w:t>
      </w:r>
      <w:r w:rsidRPr="0032581F">
        <w:rPr>
          <w:rFonts w:ascii="Times New Roman" w:hAnsi="Times New Roman" w:cs="Times New Roman"/>
          <w:sz w:val="24"/>
          <w:szCs w:val="24"/>
        </w:rPr>
        <w:t xml:space="preserve"> 50(1):137–56. doi: 10.1093/bjsw/bcz036.</w:t>
      </w:r>
    </w:p>
    <w:p w14:paraId="60AB16DE"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Courtney, Mark E., Pajarita Charles, Nathanael J. Okpych, Laura Napolitano, and Katherine Halsted. 2014. </w:t>
      </w:r>
      <w:r w:rsidRPr="0032581F">
        <w:rPr>
          <w:rFonts w:ascii="Times New Roman" w:hAnsi="Times New Roman" w:cs="Times New Roman"/>
          <w:i/>
          <w:iCs/>
          <w:sz w:val="24"/>
          <w:szCs w:val="24"/>
        </w:rPr>
        <w:t>Findings from the California Youth Transitions to Adulthood Study (CalYOUTH): Conditions of Foster Youth at Age 17</w:t>
      </w:r>
      <w:r w:rsidRPr="0032581F">
        <w:rPr>
          <w:rFonts w:ascii="Times New Roman" w:hAnsi="Times New Roman" w:cs="Times New Roman"/>
          <w:sz w:val="24"/>
          <w:szCs w:val="24"/>
        </w:rPr>
        <w:t>. Chapin Hall at the University of Chicago.</w:t>
      </w:r>
    </w:p>
    <w:p w14:paraId="1E9928C7"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Cusumano, Michelle. 2022. “Placement Instability, Perceived Social Support, and Internalizing Symptoms in Youth in the Child Welfare System.” M.A., St. John’s University (New York), United States -- New York.</w:t>
      </w:r>
    </w:p>
    <w:p w14:paraId="74BE23DF"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Dettlaff, Alan J., and Reiko Boyd. 2020. “Racial Disproportionality and Disparities in the Child Welfare System: Why Do They Exist, and What Can Be Done to Address Them?” </w:t>
      </w:r>
      <w:r w:rsidRPr="0032581F">
        <w:rPr>
          <w:rFonts w:ascii="Times New Roman" w:hAnsi="Times New Roman" w:cs="Times New Roman"/>
          <w:i/>
          <w:iCs/>
          <w:sz w:val="24"/>
          <w:szCs w:val="24"/>
        </w:rPr>
        <w:t xml:space="preserve">The </w:t>
      </w:r>
      <w:r w:rsidRPr="0032581F">
        <w:rPr>
          <w:rFonts w:ascii="Times New Roman" w:hAnsi="Times New Roman" w:cs="Times New Roman"/>
          <w:i/>
          <w:iCs/>
          <w:sz w:val="24"/>
          <w:szCs w:val="24"/>
        </w:rPr>
        <w:lastRenderedPageBreak/>
        <w:t>ANNALS of the American Academy of Political and Social Science</w:t>
      </w:r>
      <w:r w:rsidRPr="0032581F">
        <w:rPr>
          <w:rFonts w:ascii="Times New Roman" w:hAnsi="Times New Roman" w:cs="Times New Roman"/>
          <w:sz w:val="24"/>
          <w:szCs w:val="24"/>
        </w:rPr>
        <w:t xml:space="preserve"> 692(1):253–74. doi: 10.1177/0002716220980329.</w:t>
      </w:r>
    </w:p>
    <w:p w14:paraId="3D730A16"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Dettlaff, Alan J., and Micki Washburn. 2018. “Lesbian, Gay, and Bisexual (LGB) Youth within in Welfare: Prevalence, Risk and Outcomes.” </w:t>
      </w:r>
      <w:r w:rsidRPr="0032581F">
        <w:rPr>
          <w:rFonts w:ascii="Times New Roman" w:hAnsi="Times New Roman" w:cs="Times New Roman"/>
          <w:i/>
          <w:iCs/>
          <w:sz w:val="24"/>
          <w:szCs w:val="24"/>
        </w:rPr>
        <w:t>Child Abuse &amp; Neglect</w:t>
      </w:r>
      <w:r w:rsidRPr="0032581F">
        <w:rPr>
          <w:rFonts w:ascii="Times New Roman" w:hAnsi="Times New Roman" w:cs="Times New Roman"/>
          <w:sz w:val="24"/>
          <w:szCs w:val="24"/>
        </w:rPr>
        <w:t xml:space="preserve"> 80:183–93.</w:t>
      </w:r>
    </w:p>
    <w:p w14:paraId="0156D360"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Dickerson, Kelli L., Helen M. Milojevich, and Jodi A. Quas. 2019. “Early Environmental Unpredictability: Implications for Youth’s Perceptions and Social Functioning.” </w:t>
      </w:r>
      <w:r w:rsidRPr="0032581F">
        <w:rPr>
          <w:rFonts w:ascii="Times New Roman" w:hAnsi="Times New Roman" w:cs="Times New Roman"/>
          <w:i/>
          <w:iCs/>
          <w:sz w:val="24"/>
          <w:szCs w:val="24"/>
        </w:rPr>
        <w:t>Journal of Youth and Adolescence</w:t>
      </w:r>
      <w:r w:rsidRPr="0032581F">
        <w:rPr>
          <w:rFonts w:ascii="Times New Roman" w:hAnsi="Times New Roman" w:cs="Times New Roman"/>
          <w:sz w:val="24"/>
          <w:szCs w:val="24"/>
        </w:rPr>
        <w:t xml:space="preserve"> 48(9):1754–64. doi: 10.1007/s10964-019-01052-9.</w:t>
      </w:r>
    </w:p>
    <w:p w14:paraId="7AF7B422"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Dolan, Melissa, Keith Smith, Cecilia Casanueva, Heather Ringeisen, HHS P2320062930YC, M Dolan, K Smith, C Casanueva, and H Ringeisen. 2011. “NSCAW II Baseline Report: Introduction to NSCAW II Final Report.” </w:t>
      </w:r>
      <w:r w:rsidRPr="0032581F">
        <w:rPr>
          <w:rFonts w:ascii="Times New Roman" w:hAnsi="Times New Roman" w:cs="Times New Roman"/>
          <w:i/>
          <w:iCs/>
          <w:sz w:val="24"/>
          <w:szCs w:val="24"/>
        </w:rPr>
        <w:t>Washington, DC: Office of Planning, Research and Evaluation, Administration for Children and Families, US Department of Health and Human Services</w:t>
      </w:r>
      <w:r w:rsidRPr="0032581F">
        <w:rPr>
          <w:rFonts w:ascii="Times New Roman" w:hAnsi="Times New Roman" w:cs="Times New Roman"/>
          <w:sz w:val="24"/>
          <w:szCs w:val="24"/>
        </w:rPr>
        <w:t>.</w:t>
      </w:r>
    </w:p>
    <w:p w14:paraId="0BC66747"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Elder, Glen H. 1998. “The Life Course as Developmental Theory.” </w:t>
      </w:r>
      <w:r w:rsidRPr="0032581F">
        <w:rPr>
          <w:rFonts w:ascii="Times New Roman" w:hAnsi="Times New Roman" w:cs="Times New Roman"/>
          <w:i/>
          <w:iCs/>
          <w:sz w:val="24"/>
          <w:szCs w:val="24"/>
        </w:rPr>
        <w:t>Child Development</w:t>
      </w:r>
      <w:r w:rsidRPr="0032581F">
        <w:rPr>
          <w:rFonts w:ascii="Times New Roman" w:hAnsi="Times New Roman" w:cs="Times New Roman"/>
          <w:sz w:val="24"/>
          <w:szCs w:val="24"/>
        </w:rPr>
        <w:t xml:space="preserve"> 69(1):1–12. doi: 10.2307/1132065.</w:t>
      </w:r>
    </w:p>
    <w:p w14:paraId="5574D599"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Evans, Rhiannon, Colleen C. Katz, Anthony Fulginiti, and Heather Taussig. 2022. “Sources and Types of Social Supports and Their Association with Mental Health Symptoms and Life Satisfaction among Young Adults with a History of Out-of-Home Care.” </w:t>
      </w:r>
      <w:r w:rsidRPr="0032581F">
        <w:rPr>
          <w:rFonts w:ascii="Times New Roman" w:hAnsi="Times New Roman" w:cs="Times New Roman"/>
          <w:i/>
          <w:iCs/>
          <w:sz w:val="24"/>
          <w:szCs w:val="24"/>
        </w:rPr>
        <w:t>Children</w:t>
      </w:r>
      <w:r w:rsidRPr="0032581F">
        <w:rPr>
          <w:rFonts w:ascii="Times New Roman" w:hAnsi="Times New Roman" w:cs="Times New Roman"/>
          <w:sz w:val="24"/>
          <w:szCs w:val="24"/>
        </w:rPr>
        <w:t xml:space="preserve"> 9(4):520. doi: 10.3390/children9040520.</w:t>
      </w:r>
    </w:p>
    <w:p w14:paraId="7E33415E"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Fish, Jessica N., Laura Baams, Armeda Stevenson Wojciak, and Stephen T. Russell. 2019. “Are Sexual Minority Youth Overrepresented in Foster Care, Child Welfare, and out-of-Home Placement? Findings from Nationally Representative Data.” </w:t>
      </w:r>
      <w:r w:rsidRPr="0032581F">
        <w:rPr>
          <w:rFonts w:ascii="Times New Roman" w:hAnsi="Times New Roman" w:cs="Times New Roman"/>
          <w:i/>
          <w:iCs/>
          <w:sz w:val="24"/>
          <w:szCs w:val="24"/>
        </w:rPr>
        <w:t>Child Abuse &amp; Neglect</w:t>
      </w:r>
      <w:r w:rsidRPr="0032581F">
        <w:rPr>
          <w:rFonts w:ascii="Times New Roman" w:hAnsi="Times New Roman" w:cs="Times New Roman"/>
          <w:sz w:val="24"/>
          <w:szCs w:val="24"/>
        </w:rPr>
        <w:t xml:space="preserve"> 89:203–11. doi: 10.1016/j.chiabu.2019.01.005.</w:t>
      </w:r>
    </w:p>
    <w:p w14:paraId="0F5FBDD8"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Flynn, Heather Kohler, Diane H. Felmlee, and Rand D. Conger. 2017. “The Social Context of Adolescent Friendships: Parents, Peers, and Romantic Partners.” </w:t>
      </w:r>
      <w:r w:rsidRPr="0032581F">
        <w:rPr>
          <w:rFonts w:ascii="Times New Roman" w:hAnsi="Times New Roman" w:cs="Times New Roman"/>
          <w:i/>
          <w:iCs/>
          <w:sz w:val="24"/>
          <w:szCs w:val="24"/>
        </w:rPr>
        <w:t>Youth &amp; Society</w:t>
      </w:r>
      <w:r w:rsidRPr="0032581F">
        <w:rPr>
          <w:rFonts w:ascii="Times New Roman" w:hAnsi="Times New Roman" w:cs="Times New Roman"/>
          <w:sz w:val="24"/>
          <w:szCs w:val="24"/>
        </w:rPr>
        <w:t xml:space="preserve"> 49(5):679–705.</w:t>
      </w:r>
    </w:p>
    <w:p w14:paraId="6702C356"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Gunawardena, Nathali, and Christine Stich. 2021. “Interventions for Young People Aging out of the Child Welfare System: A Systematic Literature Review.” </w:t>
      </w:r>
      <w:r w:rsidRPr="0032581F">
        <w:rPr>
          <w:rFonts w:ascii="Times New Roman" w:hAnsi="Times New Roman" w:cs="Times New Roman"/>
          <w:i/>
          <w:iCs/>
          <w:sz w:val="24"/>
          <w:szCs w:val="24"/>
        </w:rPr>
        <w:t>Children and Youth Services Review</w:t>
      </w:r>
      <w:r w:rsidRPr="0032581F">
        <w:rPr>
          <w:rFonts w:ascii="Times New Roman" w:hAnsi="Times New Roman" w:cs="Times New Roman"/>
          <w:sz w:val="24"/>
          <w:szCs w:val="24"/>
        </w:rPr>
        <w:t xml:space="preserve"> 127:106076. doi: 10.1016/j.childyouth.2021.106076.</w:t>
      </w:r>
    </w:p>
    <w:p w14:paraId="700C9919"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Halleröd, Björn. 2011. “What Do Children Know About Their Futures: Do Children’s Expectations Predict Outcomes in Middle Age?” </w:t>
      </w:r>
      <w:r w:rsidRPr="0032581F">
        <w:rPr>
          <w:rFonts w:ascii="Times New Roman" w:hAnsi="Times New Roman" w:cs="Times New Roman"/>
          <w:i/>
          <w:iCs/>
          <w:sz w:val="24"/>
          <w:szCs w:val="24"/>
        </w:rPr>
        <w:t>Social Forces</w:t>
      </w:r>
      <w:r w:rsidRPr="0032581F">
        <w:rPr>
          <w:rFonts w:ascii="Times New Roman" w:hAnsi="Times New Roman" w:cs="Times New Roman"/>
          <w:sz w:val="24"/>
          <w:szCs w:val="24"/>
        </w:rPr>
        <w:t xml:space="preserve"> 90(1):65–83. doi: 10.1093/sf/90.1.65.</w:t>
      </w:r>
    </w:p>
    <w:p w14:paraId="2E5A52A3"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Healey, Cynthia V., and Philip A. Fisher. 2011. “Children in Foster Care and the Development of Favorable Outcomes.” </w:t>
      </w:r>
      <w:r w:rsidRPr="0032581F">
        <w:rPr>
          <w:rFonts w:ascii="Times New Roman" w:hAnsi="Times New Roman" w:cs="Times New Roman"/>
          <w:i/>
          <w:iCs/>
          <w:sz w:val="24"/>
          <w:szCs w:val="24"/>
        </w:rPr>
        <w:t>Children and Youth Services Review</w:t>
      </w:r>
      <w:r w:rsidRPr="0032581F">
        <w:rPr>
          <w:rFonts w:ascii="Times New Roman" w:hAnsi="Times New Roman" w:cs="Times New Roman"/>
          <w:sz w:val="24"/>
          <w:szCs w:val="24"/>
        </w:rPr>
        <w:t xml:space="preserve"> 33(10):1822–30. doi: 10.1016/j.childyouth.2011.05.007.</w:t>
      </w:r>
    </w:p>
    <w:p w14:paraId="5A21091C"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Hershberger, Mary A., and Martin H. Jones. 2018. “The Influence of Social Relationships and School Engagement on Academic Achievement in Maltreated Adolescents.” </w:t>
      </w:r>
      <w:r w:rsidRPr="0032581F">
        <w:rPr>
          <w:rFonts w:ascii="Times New Roman" w:hAnsi="Times New Roman" w:cs="Times New Roman"/>
          <w:i/>
          <w:iCs/>
          <w:sz w:val="24"/>
          <w:szCs w:val="24"/>
        </w:rPr>
        <w:t>Journal of Adolescence</w:t>
      </w:r>
      <w:r w:rsidRPr="0032581F">
        <w:rPr>
          <w:rFonts w:ascii="Times New Roman" w:hAnsi="Times New Roman" w:cs="Times New Roman"/>
          <w:sz w:val="24"/>
          <w:szCs w:val="24"/>
        </w:rPr>
        <w:t xml:space="preserve"> 67:98–108. doi: 10.1016/j.adolescence.2018.06.003.</w:t>
      </w:r>
    </w:p>
    <w:p w14:paraId="40676577"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lastRenderedPageBreak/>
        <w:t xml:space="preserve">Hong, Jun Sung, and James Garbarino. 2012. “Risk and Protective Factors for Homophobic Bullying in Schools: An Application of the Social–Ecological Framework.” </w:t>
      </w:r>
      <w:r w:rsidRPr="0032581F">
        <w:rPr>
          <w:rFonts w:ascii="Times New Roman" w:hAnsi="Times New Roman" w:cs="Times New Roman"/>
          <w:i/>
          <w:iCs/>
          <w:sz w:val="24"/>
          <w:szCs w:val="24"/>
        </w:rPr>
        <w:t>Educational Psychology Review</w:t>
      </w:r>
      <w:r w:rsidRPr="0032581F">
        <w:rPr>
          <w:rFonts w:ascii="Times New Roman" w:hAnsi="Times New Roman" w:cs="Times New Roman"/>
          <w:sz w:val="24"/>
          <w:szCs w:val="24"/>
        </w:rPr>
        <w:t xml:space="preserve"> 24(2):271–85. doi: 10.1007/s10648-012-9194-y.</w:t>
      </w:r>
    </w:p>
    <w:p w14:paraId="59AC6E74"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Iovu, Mihai-Bogdan. 2014. “Adolescents’ Positive Expectations and Future Worries on Their Transition to Adulthood.” </w:t>
      </w:r>
      <w:r w:rsidRPr="0032581F">
        <w:rPr>
          <w:rFonts w:ascii="Times New Roman" w:hAnsi="Times New Roman" w:cs="Times New Roman"/>
          <w:i/>
          <w:iCs/>
          <w:sz w:val="24"/>
          <w:szCs w:val="24"/>
        </w:rPr>
        <w:t>Procedia - Social and Behavioral Sciences</w:t>
      </w:r>
      <w:r w:rsidRPr="0032581F">
        <w:rPr>
          <w:rFonts w:ascii="Times New Roman" w:hAnsi="Times New Roman" w:cs="Times New Roman"/>
          <w:sz w:val="24"/>
          <w:szCs w:val="24"/>
        </w:rPr>
        <w:t xml:space="preserve"> 149:433–37. doi: 10.1016/j.sbspro.2014.08.283.</w:t>
      </w:r>
    </w:p>
    <w:p w14:paraId="47164B61"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Kiuru, Noona, Kaisa Aunola, Jukka Vuori, and Jari-Erik Nurmi. 2007. “The Role of Peer Groups in Adolescents’ Educational Expectations and Adjustment.” </w:t>
      </w:r>
      <w:r w:rsidRPr="0032581F">
        <w:rPr>
          <w:rFonts w:ascii="Times New Roman" w:hAnsi="Times New Roman" w:cs="Times New Roman"/>
          <w:i/>
          <w:iCs/>
          <w:sz w:val="24"/>
          <w:szCs w:val="24"/>
        </w:rPr>
        <w:t>Journal of Youth and Adolescence</w:t>
      </w:r>
      <w:r w:rsidRPr="0032581F">
        <w:rPr>
          <w:rFonts w:ascii="Times New Roman" w:hAnsi="Times New Roman" w:cs="Times New Roman"/>
          <w:sz w:val="24"/>
          <w:szCs w:val="24"/>
        </w:rPr>
        <w:t xml:space="preserve"> 36(8):995–1009. doi: 10.1007/s10964-006-9118-6.</w:t>
      </w:r>
    </w:p>
    <w:p w14:paraId="3D56B004"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Landes, Scott D., and Richard A. Settersten. 2019. “The Inseparability of Human Agency and Linked Lives.” </w:t>
      </w:r>
      <w:r w:rsidRPr="0032581F">
        <w:rPr>
          <w:rFonts w:ascii="Times New Roman" w:hAnsi="Times New Roman" w:cs="Times New Roman"/>
          <w:i/>
          <w:iCs/>
          <w:sz w:val="24"/>
          <w:szCs w:val="24"/>
        </w:rPr>
        <w:t>Advances in Life Course Research</w:t>
      </w:r>
      <w:r w:rsidRPr="0032581F">
        <w:rPr>
          <w:rFonts w:ascii="Times New Roman" w:hAnsi="Times New Roman" w:cs="Times New Roman"/>
          <w:sz w:val="24"/>
          <w:szCs w:val="24"/>
        </w:rPr>
        <w:t xml:space="preserve"> 42:100306. doi: 10.1016/j.alcr.2019.100306.</w:t>
      </w:r>
    </w:p>
    <w:p w14:paraId="41AB52E2"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Laub, John H., and Robert J. Sampson. 1993. “Turning Points in the Life Course: Why Change Matters to the Study of Crime*.” </w:t>
      </w:r>
      <w:r w:rsidRPr="0032581F">
        <w:rPr>
          <w:rFonts w:ascii="Times New Roman" w:hAnsi="Times New Roman" w:cs="Times New Roman"/>
          <w:i/>
          <w:iCs/>
          <w:sz w:val="24"/>
          <w:szCs w:val="24"/>
        </w:rPr>
        <w:t>Criminology</w:t>
      </w:r>
      <w:r w:rsidRPr="0032581F">
        <w:rPr>
          <w:rFonts w:ascii="Times New Roman" w:hAnsi="Times New Roman" w:cs="Times New Roman"/>
          <w:sz w:val="24"/>
          <w:szCs w:val="24"/>
        </w:rPr>
        <w:t xml:space="preserve"> 31(3):301–25. doi: 10.1111/j.1745-9125.1993.tb01132.x.</w:t>
      </w:r>
    </w:p>
    <w:p w14:paraId="6497823D"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Long, J. Scott, and Jeremy Freese. 2001. </w:t>
      </w:r>
      <w:r w:rsidRPr="0032581F">
        <w:rPr>
          <w:rFonts w:ascii="Times New Roman" w:hAnsi="Times New Roman" w:cs="Times New Roman"/>
          <w:i/>
          <w:iCs/>
          <w:sz w:val="24"/>
          <w:szCs w:val="24"/>
        </w:rPr>
        <w:t>Regression Models for Categorical and Dependent Variables Using STATA</w:t>
      </w:r>
      <w:r w:rsidRPr="0032581F">
        <w:rPr>
          <w:rFonts w:ascii="Times New Roman" w:hAnsi="Times New Roman" w:cs="Times New Roman"/>
          <w:sz w:val="24"/>
          <w:szCs w:val="24"/>
        </w:rPr>
        <w:t>.</w:t>
      </w:r>
    </w:p>
    <w:p w14:paraId="236C4BB5"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Lorthridge, Jaymie, Marneena Evans, Leanne Heaton, Andrea Stevens, and Lisa Phillips. 2018. “Strengthening Family Connections and Support for Youth in Foster Care Who Identify as LGBTQ: Findings from the PII-RISE Evaluation.” </w:t>
      </w:r>
      <w:r w:rsidRPr="0032581F">
        <w:rPr>
          <w:rFonts w:ascii="Times New Roman" w:hAnsi="Times New Roman" w:cs="Times New Roman"/>
          <w:i/>
          <w:iCs/>
          <w:sz w:val="24"/>
          <w:szCs w:val="24"/>
        </w:rPr>
        <w:t>Child Welfare</w:t>
      </w:r>
      <w:r w:rsidRPr="0032581F">
        <w:rPr>
          <w:rFonts w:ascii="Times New Roman" w:hAnsi="Times New Roman" w:cs="Times New Roman"/>
          <w:sz w:val="24"/>
          <w:szCs w:val="24"/>
        </w:rPr>
        <w:t xml:space="preserve"> 96(1):53–78.</w:t>
      </w:r>
    </w:p>
    <w:p w14:paraId="0CA127AA"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Lynch, Michael, and Dante Cicchetti. 1997. “Children’s Relationships with Adults and Peers: An Examination of Elementary and Junior High School Students.” </w:t>
      </w:r>
      <w:r w:rsidRPr="0032581F">
        <w:rPr>
          <w:rFonts w:ascii="Times New Roman" w:hAnsi="Times New Roman" w:cs="Times New Roman"/>
          <w:i/>
          <w:iCs/>
          <w:sz w:val="24"/>
          <w:szCs w:val="24"/>
        </w:rPr>
        <w:t>Journal of School Psychology</w:t>
      </w:r>
      <w:r w:rsidRPr="0032581F">
        <w:rPr>
          <w:rFonts w:ascii="Times New Roman" w:hAnsi="Times New Roman" w:cs="Times New Roman"/>
          <w:sz w:val="24"/>
          <w:szCs w:val="24"/>
        </w:rPr>
        <w:t xml:space="preserve"> 35(1):81–99. doi: 10.1016/S0022-4405(96)00031-3.</w:t>
      </w:r>
    </w:p>
    <w:p w14:paraId="1D7B4E1F"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Macmillan, Ross, Barbara J. McMorris, and Candace Kruttschnitt. 2004. “Linked Lives: Stability and Change in Maternal Circumstances and Trajectories of Antisocial Behavior in Children.” </w:t>
      </w:r>
      <w:r w:rsidRPr="0032581F">
        <w:rPr>
          <w:rFonts w:ascii="Times New Roman" w:hAnsi="Times New Roman" w:cs="Times New Roman"/>
          <w:i/>
          <w:iCs/>
          <w:sz w:val="24"/>
          <w:szCs w:val="24"/>
        </w:rPr>
        <w:t>Child Development</w:t>
      </w:r>
      <w:r w:rsidRPr="0032581F">
        <w:rPr>
          <w:rFonts w:ascii="Times New Roman" w:hAnsi="Times New Roman" w:cs="Times New Roman"/>
          <w:sz w:val="24"/>
          <w:szCs w:val="24"/>
        </w:rPr>
        <w:t xml:space="preserve"> 75(1):205–20. doi: 10.1111/j.1467-8624.2004.00664.x.</w:t>
      </w:r>
    </w:p>
    <w:p w14:paraId="1E70B8EE"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Mallon, Gerald P. 1998. “We Don’t Exactly Get the Welcome Wagon: The Experiences of Gay and Lesbian Adolescents in Child Welfare Systems.”</w:t>
      </w:r>
    </w:p>
    <w:p w14:paraId="657348BE"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Merritt, Darcey H. 2015. “The Impact of Positive Peer Relationships, School Experiences, and Future Outlook on Behavior Scores for Abused and Neglected Youth.” Society for Social Work and Research.</w:t>
      </w:r>
    </w:p>
    <w:p w14:paraId="12BA8967"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Meyer, Ilan H., and David M. Frost. 2013. “Minority Stress and the Health of Sexual Minorities.” Pp. 252–66 in </w:t>
      </w:r>
      <w:r w:rsidRPr="0032581F">
        <w:rPr>
          <w:rFonts w:ascii="Times New Roman" w:hAnsi="Times New Roman" w:cs="Times New Roman"/>
          <w:i/>
          <w:iCs/>
          <w:sz w:val="24"/>
          <w:szCs w:val="24"/>
        </w:rPr>
        <w:t>Handbook of psychology and sexual orientation</w:t>
      </w:r>
      <w:r w:rsidRPr="0032581F">
        <w:rPr>
          <w:rFonts w:ascii="Times New Roman" w:hAnsi="Times New Roman" w:cs="Times New Roman"/>
          <w:sz w:val="24"/>
          <w:szCs w:val="24"/>
        </w:rPr>
        <w:t>. New York, NY, US: Oxford University Press.</w:t>
      </w:r>
    </w:p>
    <w:p w14:paraId="1935E8DF"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Mihalec-Adkins, Brittany P., Sharon L. Christ, and Elizabeth Day. 2020. “An Exploration of Placement-Related Psychosocial Influences on School Engagement among Adolescents </w:t>
      </w:r>
      <w:r w:rsidRPr="0032581F">
        <w:rPr>
          <w:rFonts w:ascii="Times New Roman" w:hAnsi="Times New Roman" w:cs="Times New Roman"/>
          <w:sz w:val="24"/>
          <w:szCs w:val="24"/>
        </w:rPr>
        <w:lastRenderedPageBreak/>
        <w:t xml:space="preserve">in Foster Care.” </w:t>
      </w:r>
      <w:r w:rsidRPr="0032581F">
        <w:rPr>
          <w:rFonts w:ascii="Times New Roman" w:hAnsi="Times New Roman" w:cs="Times New Roman"/>
          <w:i/>
          <w:iCs/>
          <w:sz w:val="24"/>
          <w:szCs w:val="24"/>
        </w:rPr>
        <w:t>Children and Youth Services Review</w:t>
      </w:r>
      <w:r w:rsidRPr="0032581F">
        <w:rPr>
          <w:rFonts w:ascii="Times New Roman" w:hAnsi="Times New Roman" w:cs="Times New Roman"/>
          <w:sz w:val="24"/>
          <w:szCs w:val="24"/>
        </w:rPr>
        <w:t xml:space="preserve"> 108:104616. doi: 10.1016/j.childyouth.2019.104616.</w:t>
      </w:r>
    </w:p>
    <w:p w14:paraId="44336C2F"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Mitchum, Preston, and Aisha C. Moodie-Mills. 2014. “Beyond Bullying: How Hostile School Climate Perpetuates the School-to-Prison Pipeline for LGBT Youth.” </w:t>
      </w:r>
      <w:r w:rsidRPr="0032581F">
        <w:rPr>
          <w:rFonts w:ascii="Times New Roman" w:hAnsi="Times New Roman" w:cs="Times New Roman"/>
          <w:i/>
          <w:iCs/>
          <w:sz w:val="24"/>
          <w:szCs w:val="24"/>
        </w:rPr>
        <w:t>Washington, DC: Center for American Progress</w:t>
      </w:r>
      <w:r w:rsidRPr="0032581F">
        <w:rPr>
          <w:rFonts w:ascii="Times New Roman" w:hAnsi="Times New Roman" w:cs="Times New Roman"/>
          <w:sz w:val="24"/>
          <w:szCs w:val="24"/>
        </w:rPr>
        <w:t>.</w:t>
      </w:r>
    </w:p>
    <w:p w14:paraId="03CA1142"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Murdock, Tamera B., and Megan B. Bolch. 2005. “Risk and Protective Factors for Poor School Adjustment in Lesbian, Gay, and Bisexual (LGB) High School Youth: Variable and Person-Centered Analyses.” </w:t>
      </w:r>
      <w:r w:rsidRPr="0032581F">
        <w:rPr>
          <w:rFonts w:ascii="Times New Roman" w:hAnsi="Times New Roman" w:cs="Times New Roman"/>
          <w:i/>
          <w:iCs/>
          <w:sz w:val="24"/>
          <w:szCs w:val="24"/>
        </w:rPr>
        <w:t>Psychology in the Schools</w:t>
      </w:r>
      <w:r w:rsidRPr="0032581F">
        <w:rPr>
          <w:rFonts w:ascii="Times New Roman" w:hAnsi="Times New Roman" w:cs="Times New Roman"/>
          <w:sz w:val="24"/>
          <w:szCs w:val="24"/>
        </w:rPr>
        <w:t xml:space="preserve"> 42(2):159–72. doi: 10.1002/pits.20054.</w:t>
      </w:r>
    </w:p>
    <w:p w14:paraId="7A04BDB5"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Nurmi, Jari-Erik. 2005. “Thinking About and Acting Upon the Future: Development of Future Orientation Across the Life Span.”</w:t>
      </w:r>
    </w:p>
    <w:p w14:paraId="22EEB374" w14:textId="77777777" w:rsidR="00D75EDC"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Oshri, Assaf, Erinn B. Duprey, Steven M. Kogan, Mathew Carlson, and Sihong Liu. 2018. “Growth Patterns of Future Orientation Among Maltreated Youth: A Prospective Examination of the Emergence of Resilience.” </w:t>
      </w:r>
      <w:r w:rsidRPr="0032581F">
        <w:rPr>
          <w:rFonts w:ascii="Times New Roman" w:hAnsi="Times New Roman" w:cs="Times New Roman"/>
          <w:i/>
          <w:iCs/>
          <w:sz w:val="24"/>
          <w:szCs w:val="24"/>
        </w:rPr>
        <w:t>Developmental Psychology</w:t>
      </w:r>
      <w:r w:rsidRPr="0032581F">
        <w:rPr>
          <w:rFonts w:ascii="Times New Roman" w:hAnsi="Times New Roman" w:cs="Times New Roman"/>
          <w:sz w:val="24"/>
          <w:szCs w:val="24"/>
        </w:rPr>
        <w:t xml:space="preserve"> 54(8):1456–71. doi: 10.1037/dev0000528.</w:t>
      </w:r>
    </w:p>
    <w:p w14:paraId="4E93B061" w14:textId="77777777" w:rsidR="00455A59" w:rsidRDefault="00455A59" w:rsidP="00455A59">
      <w:pPr>
        <w:spacing w:after="0" w:line="240" w:lineRule="auto"/>
        <w:ind w:left="720" w:hanging="720"/>
        <w:rPr>
          <w:rFonts w:ascii="Times New Roman" w:eastAsia="Times New Roman" w:hAnsi="Times New Roman" w:cs="Times New Roman"/>
          <w:kern w:val="0"/>
          <w:sz w:val="24"/>
          <w:szCs w:val="24"/>
          <w14:ligatures w14:val="none"/>
        </w:rPr>
      </w:pPr>
      <w:r w:rsidRPr="00455A59">
        <w:rPr>
          <w:rFonts w:ascii="Times New Roman" w:eastAsia="Times New Roman" w:hAnsi="Times New Roman" w:cs="Times New Roman"/>
          <w:kern w:val="0"/>
          <w:sz w:val="24"/>
          <w:szCs w:val="24"/>
          <w14:ligatures w14:val="none"/>
        </w:rPr>
        <w:t xml:space="preserve">Parra, Luis A., Timothy S. Bell, Michael Benibgui, Jonathan L. Helm, and Paul D. Hastings. 2018. “The Buffering Effect of Peer Support on the Links between Family Rejection and Psychosocial Adjustment in LGB Emerging Adults.” </w:t>
      </w:r>
      <w:r w:rsidRPr="00455A59">
        <w:rPr>
          <w:rFonts w:ascii="Times New Roman" w:eastAsia="Times New Roman" w:hAnsi="Times New Roman" w:cs="Times New Roman"/>
          <w:i/>
          <w:iCs/>
          <w:kern w:val="0"/>
          <w:sz w:val="24"/>
          <w:szCs w:val="24"/>
          <w14:ligatures w14:val="none"/>
        </w:rPr>
        <w:t>Journal of Social and Personal Relationships</w:t>
      </w:r>
      <w:r w:rsidRPr="00455A59">
        <w:rPr>
          <w:rFonts w:ascii="Times New Roman" w:eastAsia="Times New Roman" w:hAnsi="Times New Roman" w:cs="Times New Roman"/>
          <w:kern w:val="0"/>
          <w:sz w:val="24"/>
          <w:szCs w:val="24"/>
          <w14:ligatures w14:val="none"/>
        </w:rPr>
        <w:t xml:space="preserve"> 35(6):854–71. doi: </w:t>
      </w:r>
      <w:hyperlink r:id="rId23" w:history="1">
        <w:r w:rsidRPr="00455A59">
          <w:rPr>
            <w:rFonts w:ascii="Times New Roman" w:eastAsia="Times New Roman" w:hAnsi="Times New Roman" w:cs="Times New Roman"/>
            <w:color w:val="0000FF"/>
            <w:kern w:val="0"/>
            <w:sz w:val="24"/>
            <w:szCs w:val="24"/>
            <w:u w:val="single"/>
            <w14:ligatures w14:val="none"/>
          </w:rPr>
          <w:t>10.1177/0265407517699713</w:t>
        </w:r>
      </w:hyperlink>
      <w:r w:rsidRPr="00455A59">
        <w:rPr>
          <w:rFonts w:ascii="Times New Roman" w:eastAsia="Times New Roman" w:hAnsi="Times New Roman" w:cs="Times New Roman"/>
          <w:kern w:val="0"/>
          <w:sz w:val="24"/>
          <w:szCs w:val="24"/>
          <w14:ligatures w14:val="none"/>
        </w:rPr>
        <w:t>.</w:t>
      </w:r>
    </w:p>
    <w:p w14:paraId="63D8EB73" w14:textId="77777777" w:rsidR="0013209C" w:rsidRPr="00455A59" w:rsidRDefault="0013209C" w:rsidP="00455A59">
      <w:pPr>
        <w:spacing w:after="0" w:line="240" w:lineRule="auto"/>
        <w:ind w:left="720" w:hanging="720"/>
        <w:rPr>
          <w:rFonts w:ascii="Times New Roman" w:eastAsia="Times New Roman" w:hAnsi="Times New Roman" w:cs="Times New Roman"/>
          <w:kern w:val="0"/>
          <w:sz w:val="24"/>
          <w:szCs w:val="24"/>
          <w14:ligatures w14:val="none"/>
        </w:rPr>
      </w:pPr>
    </w:p>
    <w:p w14:paraId="3A6735CB"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Prince, Dana M., Marina Epstein, Paula S. Nurius, Deborah Gorman-Smith, and David B. Henry. 2019. “Reciprocal Effects of Positive Future Expectations, Threats to Safety, and Risk Behavior Across Adolescence.” </w:t>
      </w:r>
      <w:r w:rsidRPr="0032581F">
        <w:rPr>
          <w:rFonts w:ascii="Times New Roman" w:hAnsi="Times New Roman" w:cs="Times New Roman"/>
          <w:i/>
          <w:iCs/>
          <w:sz w:val="24"/>
          <w:szCs w:val="24"/>
        </w:rPr>
        <w:t>Journal of Clinical Child &amp; Adolescent Psychology</w:t>
      </w:r>
      <w:r w:rsidRPr="0032581F">
        <w:rPr>
          <w:rFonts w:ascii="Times New Roman" w:hAnsi="Times New Roman" w:cs="Times New Roman"/>
          <w:sz w:val="24"/>
          <w:szCs w:val="24"/>
        </w:rPr>
        <w:t xml:space="preserve"> 48(1):54–67. doi: 10.1080/15374416.2016.1197835.</w:t>
      </w:r>
    </w:p>
    <w:p w14:paraId="24877F9E"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Radkowsky, Michael, and Lawrence J. Siegel. 1997. “The Gay Adolescent: Stressors, Adaptations, and Psychosocial Interventions.” </w:t>
      </w:r>
      <w:r w:rsidRPr="0032581F">
        <w:rPr>
          <w:rFonts w:ascii="Times New Roman" w:hAnsi="Times New Roman" w:cs="Times New Roman"/>
          <w:i/>
          <w:iCs/>
          <w:sz w:val="24"/>
          <w:szCs w:val="24"/>
        </w:rPr>
        <w:t>Clinical Psychology Review</w:t>
      </w:r>
      <w:r w:rsidRPr="0032581F">
        <w:rPr>
          <w:rFonts w:ascii="Times New Roman" w:hAnsi="Times New Roman" w:cs="Times New Roman"/>
          <w:sz w:val="24"/>
          <w:szCs w:val="24"/>
        </w:rPr>
        <w:t xml:space="preserve"> 17(2):191–216. doi: 10.1016/S0272-7358(97)00007-X.</w:t>
      </w:r>
    </w:p>
    <w:p w14:paraId="7D37A630"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Rajendran, Khushmand. 2008. “Impact of Relationship with the Caregiver and Positive Future Expectations on Behavioral and Emotional Resilience in Adolescents in Child Welfare.” Ph.D., State University of New York at Albany, United States -- New York.</w:t>
      </w:r>
    </w:p>
    <w:p w14:paraId="5AEF7ED0"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Rajendran, Khushmand, Brenda D. Smith, and Lynn Videka. 2015. “Association of Caregiver Social Support with the Safety, Permanency, and Well-Being of Children in Child Welfare.” </w:t>
      </w:r>
      <w:r w:rsidRPr="0032581F">
        <w:rPr>
          <w:rFonts w:ascii="Times New Roman" w:hAnsi="Times New Roman" w:cs="Times New Roman"/>
          <w:i/>
          <w:iCs/>
          <w:sz w:val="24"/>
          <w:szCs w:val="24"/>
        </w:rPr>
        <w:t>Children and Youth Services Review</w:t>
      </w:r>
      <w:r w:rsidRPr="0032581F">
        <w:rPr>
          <w:rFonts w:ascii="Times New Roman" w:hAnsi="Times New Roman" w:cs="Times New Roman"/>
          <w:sz w:val="24"/>
          <w:szCs w:val="24"/>
        </w:rPr>
        <w:t xml:space="preserve"> 48:150–58. doi: 10.1016/j.childyouth.2014.12.012.</w:t>
      </w:r>
    </w:p>
    <w:p w14:paraId="30E0E9AC"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Reich, Jennifer A. 2008. “The Child Welfare System and State Intervention in Families: From Historical Patterns to Future Questions.” </w:t>
      </w:r>
      <w:r w:rsidRPr="0032581F">
        <w:rPr>
          <w:rFonts w:ascii="Times New Roman" w:hAnsi="Times New Roman" w:cs="Times New Roman"/>
          <w:i/>
          <w:iCs/>
          <w:sz w:val="24"/>
          <w:szCs w:val="24"/>
        </w:rPr>
        <w:t>Sociology Compass</w:t>
      </w:r>
      <w:r w:rsidRPr="0032581F">
        <w:rPr>
          <w:rFonts w:ascii="Times New Roman" w:hAnsi="Times New Roman" w:cs="Times New Roman"/>
          <w:sz w:val="24"/>
          <w:szCs w:val="24"/>
        </w:rPr>
        <w:t xml:space="preserve"> 2(3):888–909. doi: 10.1111/j.1751-9020.2008.00111.x.</w:t>
      </w:r>
    </w:p>
    <w:p w14:paraId="3F714BD8"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lastRenderedPageBreak/>
        <w:t xml:space="preserve">Reynolds, John R., and Chardie L. Baird. 2010. “Is There a Downside to Shooting for the Stars? Unrealized Educational Expectations and Symptoms of Depression.” </w:t>
      </w:r>
      <w:r w:rsidRPr="0032581F">
        <w:rPr>
          <w:rFonts w:ascii="Times New Roman" w:hAnsi="Times New Roman" w:cs="Times New Roman"/>
          <w:i/>
          <w:iCs/>
          <w:sz w:val="24"/>
          <w:szCs w:val="24"/>
        </w:rPr>
        <w:t>American Sociological Review</w:t>
      </w:r>
      <w:r w:rsidRPr="0032581F">
        <w:rPr>
          <w:rFonts w:ascii="Times New Roman" w:hAnsi="Times New Roman" w:cs="Times New Roman"/>
          <w:sz w:val="24"/>
          <w:szCs w:val="24"/>
        </w:rPr>
        <w:t xml:space="preserve"> 75(1):151–72. doi: 10.1177/0003122409357064.</w:t>
      </w:r>
    </w:p>
    <w:p w14:paraId="78776792"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Rich, Ashleigh J., Travis Salway, Ayden Scheim, and Tonia Poteat. 2020. “Sexual Minority Stress Theory: Remembering and Honoring the Work of Virginia Brooks.” </w:t>
      </w:r>
      <w:r w:rsidRPr="0032581F">
        <w:rPr>
          <w:rFonts w:ascii="Times New Roman" w:hAnsi="Times New Roman" w:cs="Times New Roman"/>
          <w:i/>
          <w:iCs/>
          <w:sz w:val="24"/>
          <w:szCs w:val="24"/>
        </w:rPr>
        <w:t>LGBT Health</w:t>
      </w:r>
      <w:r w:rsidRPr="0032581F">
        <w:rPr>
          <w:rFonts w:ascii="Times New Roman" w:hAnsi="Times New Roman" w:cs="Times New Roman"/>
          <w:sz w:val="24"/>
          <w:szCs w:val="24"/>
        </w:rPr>
        <w:t xml:space="preserve"> 7(3):124–27. doi: 10.1089/lgbt.2019.0223.</w:t>
      </w:r>
    </w:p>
    <w:p w14:paraId="17CD3E88"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Rotenberg, Ken J., and Shelley Hymel. 1999. </w:t>
      </w:r>
      <w:r w:rsidRPr="0032581F">
        <w:rPr>
          <w:rFonts w:ascii="Times New Roman" w:hAnsi="Times New Roman" w:cs="Times New Roman"/>
          <w:i/>
          <w:iCs/>
          <w:sz w:val="24"/>
          <w:szCs w:val="24"/>
        </w:rPr>
        <w:t>Loneliness in Childhood and Adolescence / Edited by Ken J. Rotenberg, Shelley Hymel.</w:t>
      </w:r>
      <w:r w:rsidRPr="0032581F">
        <w:rPr>
          <w:rFonts w:ascii="Times New Roman" w:hAnsi="Times New Roman" w:cs="Times New Roman"/>
          <w:sz w:val="24"/>
          <w:szCs w:val="24"/>
        </w:rPr>
        <w:t xml:space="preserve"> Cambridge: Cambridge.</w:t>
      </w:r>
    </w:p>
    <w:p w14:paraId="37E4AFDD"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Saewyc, Elizabeth M., Carol L. Skay, Sandra L. Pettingell, Elizabeth A. Reis, Linda Bearinger, Michael Resnick, Aileen Murphy, and Leigh Combs. 2006. “Hazards of Stigma: The Sexual and Physical Abuse of Gay, Lesbian, and Bisexual Adolescents in the United States and Canada.” </w:t>
      </w:r>
      <w:r w:rsidRPr="0032581F">
        <w:rPr>
          <w:rFonts w:ascii="Times New Roman" w:hAnsi="Times New Roman" w:cs="Times New Roman"/>
          <w:i/>
          <w:iCs/>
          <w:sz w:val="24"/>
          <w:szCs w:val="24"/>
        </w:rPr>
        <w:t>Child Welfare</w:t>
      </w:r>
      <w:r w:rsidRPr="0032581F">
        <w:rPr>
          <w:rFonts w:ascii="Times New Roman" w:hAnsi="Times New Roman" w:cs="Times New Roman"/>
          <w:sz w:val="24"/>
          <w:szCs w:val="24"/>
        </w:rPr>
        <w:t xml:space="preserve"> 85(2).</w:t>
      </w:r>
    </w:p>
    <w:p w14:paraId="5B3B7D90"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Salazar, Amy M., Kevin P. Haggerty, Susan E. Barkan, Rachel Peterson, Madeline E. Furlong, Eunsaem Kim, Janice J. Cole, and Jessica M. Colito. 2020. “Supporting LGBTQ+ Foster Teens: Development of a Relationship-Focused, Self-Guided Curriculum for Foster Families.” </w:t>
      </w:r>
      <w:r w:rsidRPr="0032581F">
        <w:rPr>
          <w:rFonts w:ascii="Times New Roman" w:hAnsi="Times New Roman" w:cs="Times New Roman"/>
          <w:i/>
          <w:iCs/>
          <w:sz w:val="24"/>
          <w:szCs w:val="24"/>
        </w:rPr>
        <w:t>Sexuality Research &amp; Social Policy : Journal of NSRC : SR &amp; SP</w:t>
      </w:r>
      <w:r w:rsidRPr="0032581F">
        <w:rPr>
          <w:rFonts w:ascii="Times New Roman" w:hAnsi="Times New Roman" w:cs="Times New Roman"/>
          <w:sz w:val="24"/>
          <w:szCs w:val="24"/>
        </w:rPr>
        <w:t xml:space="preserve"> 17(2):239–51. doi: 10.1007/s13178-019-00387-z.</w:t>
      </w:r>
    </w:p>
    <w:p w14:paraId="144CD3B5"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Sanders, Jackie, Robyn Munford, and Linda Liebenberg. 2012. “Young People, Their Families and Social Supports: Understanding Resilience with Complexity Theory.” Pp. 233–43 in </w:t>
      </w:r>
      <w:r w:rsidRPr="0032581F">
        <w:rPr>
          <w:rFonts w:ascii="Times New Roman" w:hAnsi="Times New Roman" w:cs="Times New Roman"/>
          <w:i/>
          <w:iCs/>
          <w:sz w:val="24"/>
          <w:szCs w:val="24"/>
        </w:rPr>
        <w:t>The Social Ecology of Resilience: A Handbook of Theory and Practice</w:t>
      </w:r>
      <w:r w:rsidRPr="0032581F">
        <w:rPr>
          <w:rFonts w:ascii="Times New Roman" w:hAnsi="Times New Roman" w:cs="Times New Roman"/>
          <w:sz w:val="24"/>
          <w:szCs w:val="24"/>
        </w:rPr>
        <w:t>, edited by M. Ungar. New York, NY: Springer.</w:t>
      </w:r>
    </w:p>
    <w:p w14:paraId="62628AC9"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Schaub, Jason, Willem J. Stander, and Paul Montgomery. 2022. “LGBTQ+ Young People’s Health and Well-Being Experiences in Out-of-Home Social Care: A Scoping Review.” </w:t>
      </w:r>
      <w:r w:rsidRPr="0032581F">
        <w:rPr>
          <w:rFonts w:ascii="Times New Roman" w:hAnsi="Times New Roman" w:cs="Times New Roman"/>
          <w:i/>
          <w:iCs/>
          <w:sz w:val="24"/>
          <w:szCs w:val="24"/>
        </w:rPr>
        <w:t>Children and Youth Services Review</w:t>
      </w:r>
      <w:r w:rsidRPr="0032581F">
        <w:rPr>
          <w:rFonts w:ascii="Times New Roman" w:hAnsi="Times New Roman" w:cs="Times New Roman"/>
          <w:sz w:val="24"/>
          <w:szCs w:val="24"/>
        </w:rPr>
        <w:t xml:space="preserve"> 143:106682. doi: 10.1016/j.childyouth.2022.106682.</w:t>
      </w:r>
    </w:p>
    <w:p w14:paraId="79733E85"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Shpiegel, Svetlana, and Cassandra Simmel. 2016. “Functional Outcomes among Sexual Minority Youth Emancipating from the Child Welfare System.” </w:t>
      </w:r>
      <w:r w:rsidRPr="0032581F">
        <w:rPr>
          <w:rFonts w:ascii="Times New Roman" w:hAnsi="Times New Roman" w:cs="Times New Roman"/>
          <w:i/>
          <w:iCs/>
          <w:sz w:val="24"/>
          <w:szCs w:val="24"/>
        </w:rPr>
        <w:t>Children and Youth Services Review</w:t>
      </w:r>
      <w:r w:rsidRPr="0032581F">
        <w:rPr>
          <w:rFonts w:ascii="Times New Roman" w:hAnsi="Times New Roman" w:cs="Times New Roman"/>
          <w:sz w:val="24"/>
          <w:szCs w:val="24"/>
        </w:rPr>
        <w:t xml:space="preserve"> 61:101–8. doi: 10.1016/j.childyouth.2015.12.012.</w:t>
      </w:r>
    </w:p>
    <w:p w14:paraId="55327E09"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Sipsma, Heather L., Jeannette R. Ickovics, Haiqun Lin, and Trace S. Kershaw. 2012. “Future Expectations Among Adolescents: A Latent Class Analysis.” </w:t>
      </w:r>
      <w:r w:rsidRPr="0032581F">
        <w:rPr>
          <w:rFonts w:ascii="Times New Roman" w:hAnsi="Times New Roman" w:cs="Times New Roman"/>
          <w:i/>
          <w:iCs/>
          <w:sz w:val="24"/>
          <w:szCs w:val="24"/>
        </w:rPr>
        <w:t>American Journal of Community Psychology</w:t>
      </w:r>
      <w:r w:rsidRPr="0032581F">
        <w:rPr>
          <w:rFonts w:ascii="Times New Roman" w:hAnsi="Times New Roman" w:cs="Times New Roman"/>
          <w:sz w:val="24"/>
          <w:szCs w:val="24"/>
        </w:rPr>
        <w:t xml:space="preserve"> 50(1–2):169–81. doi: 10.1007/s10464-011-9487-1.</w:t>
      </w:r>
    </w:p>
    <w:p w14:paraId="0D19F3B8"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Stoddard, Sarah A., and Jennifer Pierce. 2015. “Promoting Positive Future Expectations During Adolescence: The Role of Assets.” </w:t>
      </w:r>
      <w:r w:rsidRPr="0032581F">
        <w:rPr>
          <w:rFonts w:ascii="Times New Roman" w:hAnsi="Times New Roman" w:cs="Times New Roman"/>
          <w:i/>
          <w:iCs/>
          <w:sz w:val="24"/>
          <w:szCs w:val="24"/>
        </w:rPr>
        <w:t>American Journal of Community Psychology</w:t>
      </w:r>
      <w:r w:rsidRPr="0032581F">
        <w:rPr>
          <w:rFonts w:ascii="Times New Roman" w:hAnsi="Times New Roman" w:cs="Times New Roman"/>
          <w:sz w:val="24"/>
          <w:szCs w:val="24"/>
        </w:rPr>
        <w:t xml:space="preserve"> 56(3/4):332–41. doi: 10.1007/s10464-015-9754-7.</w:t>
      </w:r>
    </w:p>
    <w:p w14:paraId="37A78228"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Toomey, Russell B., Caitlin Ryan, Rafael M. Diaz, and Stephen T. Russell. 2018. “Coping With Sexual Orientation-Related Minority Stress.” </w:t>
      </w:r>
      <w:r w:rsidRPr="0032581F">
        <w:rPr>
          <w:rFonts w:ascii="Times New Roman" w:hAnsi="Times New Roman" w:cs="Times New Roman"/>
          <w:i/>
          <w:iCs/>
          <w:sz w:val="24"/>
          <w:szCs w:val="24"/>
        </w:rPr>
        <w:t>Journal of Homosexuality</w:t>
      </w:r>
      <w:r w:rsidRPr="0032581F">
        <w:rPr>
          <w:rFonts w:ascii="Times New Roman" w:hAnsi="Times New Roman" w:cs="Times New Roman"/>
          <w:sz w:val="24"/>
          <w:szCs w:val="24"/>
        </w:rPr>
        <w:t xml:space="preserve"> 65(4):484–500. doi: 10.1080/00918369.2017.1321888.</w:t>
      </w:r>
    </w:p>
    <w:p w14:paraId="303907BB"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lastRenderedPageBreak/>
        <w:t xml:space="preserve">Trusty, Jerry. 1998. “Family Influences on Educational Expectations of Late Adolescents.” </w:t>
      </w:r>
      <w:r w:rsidRPr="0032581F">
        <w:rPr>
          <w:rFonts w:ascii="Times New Roman" w:hAnsi="Times New Roman" w:cs="Times New Roman"/>
          <w:i/>
          <w:iCs/>
          <w:sz w:val="24"/>
          <w:szCs w:val="24"/>
        </w:rPr>
        <w:t>The Journal of Educational Research</w:t>
      </w:r>
      <w:r w:rsidRPr="0032581F">
        <w:rPr>
          <w:rFonts w:ascii="Times New Roman" w:hAnsi="Times New Roman" w:cs="Times New Roman"/>
          <w:sz w:val="24"/>
          <w:szCs w:val="24"/>
        </w:rPr>
        <w:t xml:space="preserve"> 91(5):260–71. doi: 10.1080/00220679809597553.</w:t>
      </w:r>
    </w:p>
    <w:p w14:paraId="16EA6A8D"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U.S. Department of Health and Human Services, Administration for Children and Families, Administration on Children, Youth and Families, Children’s Bureau. 2023. “Child Maltreatment 2021.” Retrieved April 19, 2023 (https://www.acf.hhs.gov/cb/report/child-maltreatment-2021).</w:t>
      </w:r>
    </w:p>
    <w:p w14:paraId="3A065FFD"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Weerman, Frank M., Pamela Wilcox, and Christopher J. Sullivan. 2018. “The Short-Term Dynamics of Peers and Delinquent Behavior: An Analysis of Bi-Weekly Changes Within a High School Student Network.” </w:t>
      </w:r>
      <w:r w:rsidRPr="0032581F">
        <w:rPr>
          <w:rFonts w:ascii="Times New Roman" w:hAnsi="Times New Roman" w:cs="Times New Roman"/>
          <w:i/>
          <w:iCs/>
          <w:sz w:val="24"/>
          <w:szCs w:val="24"/>
        </w:rPr>
        <w:t>Journal of Quantitative Criminology</w:t>
      </w:r>
      <w:r w:rsidRPr="0032581F">
        <w:rPr>
          <w:rFonts w:ascii="Times New Roman" w:hAnsi="Times New Roman" w:cs="Times New Roman"/>
          <w:sz w:val="24"/>
          <w:szCs w:val="24"/>
        </w:rPr>
        <w:t xml:space="preserve"> 34(2):431–63. doi: 10.1007/s10940-017-9340-2.</w:t>
      </w:r>
    </w:p>
    <w:p w14:paraId="219D52AA"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Wilson, Bianca D. M., Sid P. Jordan, Ilan H. Meyer, Andrew Flores, Lara Stemple, and Jody Herman. 2017. “Disproportionality and Disparities among Sexual Minority Youth in Custody.” </w:t>
      </w:r>
      <w:r w:rsidRPr="0032581F">
        <w:rPr>
          <w:rFonts w:ascii="Times New Roman" w:hAnsi="Times New Roman" w:cs="Times New Roman"/>
          <w:i/>
          <w:iCs/>
          <w:sz w:val="24"/>
          <w:szCs w:val="24"/>
        </w:rPr>
        <w:t>Journal of Youth and Adolescence</w:t>
      </w:r>
      <w:r w:rsidRPr="0032581F">
        <w:rPr>
          <w:rFonts w:ascii="Times New Roman" w:hAnsi="Times New Roman" w:cs="Times New Roman"/>
          <w:sz w:val="24"/>
          <w:szCs w:val="24"/>
        </w:rPr>
        <w:t xml:space="preserve"> 46(7):1547–61. doi: 10.1007/s10964-017-0632-5.</w:t>
      </w:r>
    </w:p>
    <w:p w14:paraId="2B7910DC"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Wilson, Bianca D. M., and Angeliki A. Kastanis. 2015. “Sexual and Gender Minority Disproportionality and Disparities in Child Welfare: A Population-Based Study.” </w:t>
      </w:r>
      <w:r w:rsidRPr="0032581F">
        <w:rPr>
          <w:rFonts w:ascii="Times New Roman" w:hAnsi="Times New Roman" w:cs="Times New Roman"/>
          <w:i/>
          <w:iCs/>
          <w:sz w:val="24"/>
          <w:szCs w:val="24"/>
        </w:rPr>
        <w:t>Children and Youth Services Review</w:t>
      </w:r>
      <w:r w:rsidRPr="0032581F">
        <w:rPr>
          <w:rFonts w:ascii="Times New Roman" w:hAnsi="Times New Roman" w:cs="Times New Roman"/>
          <w:sz w:val="24"/>
          <w:szCs w:val="24"/>
        </w:rPr>
        <w:t xml:space="preserve"> 58:11–17. doi: 10.1016/j.childyouth.2015.08.016.</w:t>
      </w:r>
    </w:p>
    <w:p w14:paraId="5E889E3D"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Wyman, Peter A., Emory L. Cowen, William C. Work, and Judy H. Kerley. 1993. “The Role of Children’s Future Expectations in Self-System Functioning and Adjustment to Life Stress: A Prospective Study of Urban at-Risk Children.” </w:t>
      </w:r>
      <w:r w:rsidRPr="0032581F">
        <w:rPr>
          <w:rFonts w:ascii="Times New Roman" w:hAnsi="Times New Roman" w:cs="Times New Roman"/>
          <w:i/>
          <w:iCs/>
          <w:sz w:val="24"/>
          <w:szCs w:val="24"/>
        </w:rPr>
        <w:t>Development and Psychopathology</w:t>
      </w:r>
      <w:r w:rsidRPr="0032581F">
        <w:rPr>
          <w:rFonts w:ascii="Times New Roman" w:hAnsi="Times New Roman" w:cs="Times New Roman"/>
          <w:sz w:val="24"/>
          <w:szCs w:val="24"/>
        </w:rPr>
        <w:t xml:space="preserve"> 5(4):649–61. doi: 10.1017/S0954579400006210.</w:t>
      </w:r>
    </w:p>
    <w:p w14:paraId="3A2B6D97"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Yoon, Susan, Jamie Cage, Fei Pei, and Sheila Barnhart. 2021. “Risk and Resilience Factors for Psychobehavioral Symptom Trajectories Among Child Welfare–Involved Youth.” </w:t>
      </w:r>
      <w:r w:rsidRPr="0032581F">
        <w:rPr>
          <w:rFonts w:ascii="Times New Roman" w:hAnsi="Times New Roman" w:cs="Times New Roman"/>
          <w:i/>
          <w:iCs/>
          <w:sz w:val="24"/>
          <w:szCs w:val="24"/>
        </w:rPr>
        <w:t>Journal of Interpersonal Violence</w:t>
      </w:r>
      <w:r w:rsidRPr="0032581F">
        <w:rPr>
          <w:rFonts w:ascii="Times New Roman" w:hAnsi="Times New Roman" w:cs="Times New Roman"/>
          <w:sz w:val="24"/>
          <w:szCs w:val="24"/>
        </w:rPr>
        <w:t xml:space="preserve"> 36(9–10):NP5281–5303. doi: 10.1177/0886260518799485.</w:t>
      </w:r>
    </w:p>
    <w:p w14:paraId="2F18151F" w14:textId="77777777" w:rsidR="00D75EDC" w:rsidRPr="0032581F" w:rsidRDefault="00D75EDC" w:rsidP="00D75EDC">
      <w:pPr>
        <w:pStyle w:val="Bibliography"/>
        <w:rPr>
          <w:rFonts w:ascii="Times New Roman" w:hAnsi="Times New Roman" w:cs="Times New Roman"/>
          <w:sz w:val="24"/>
          <w:szCs w:val="24"/>
        </w:rPr>
      </w:pPr>
      <w:r w:rsidRPr="0032581F">
        <w:rPr>
          <w:rFonts w:ascii="Times New Roman" w:hAnsi="Times New Roman" w:cs="Times New Roman"/>
          <w:sz w:val="24"/>
          <w:szCs w:val="24"/>
        </w:rPr>
        <w:t xml:space="preserve">Young, S. Abby, Ann M. Beutel, and Stephanie W. Burge. 2023. “High Hopes: Gender Trends in Educational Expectations for Graduate and Professional School, 1976-2019.” </w:t>
      </w:r>
      <w:r w:rsidRPr="0032581F">
        <w:rPr>
          <w:rFonts w:ascii="Times New Roman" w:hAnsi="Times New Roman" w:cs="Times New Roman"/>
          <w:i/>
          <w:iCs/>
          <w:sz w:val="24"/>
          <w:szCs w:val="24"/>
        </w:rPr>
        <w:t>The Sociological Quarterly</w:t>
      </w:r>
      <w:r w:rsidRPr="0032581F">
        <w:rPr>
          <w:rFonts w:ascii="Times New Roman" w:hAnsi="Times New Roman" w:cs="Times New Roman"/>
          <w:sz w:val="24"/>
          <w:szCs w:val="24"/>
        </w:rPr>
        <w:t xml:space="preserve"> 0(0):1–27. doi: 10.1080/00380253.2023.2177207.</w:t>
      </w:r>
    </w:p>
    <w:p w14:paraId="7B41733C" w14:textId="64543C6A" w:rsidR="0038481C" w:rsidRPr="00442034" w:rsidRDefault="00D75EDC" w:rsidP="00CB6E45">
      <w:pPr>
        <w:spacing w:line="480" w:lineRule="auto"/>
        <w:jc w:val="center"/>
        <w:rPr>
          <w:rFonts w:ascii="Times New Roman" w:hAnsi="Times New Roman" w:cs="Times New Roman"/>
          <w:sz w:val="24"/>
          <w:szCs w:val="24"/>
        </w:rPr>
      </w:pPr>
      <w:r w:rsidRPr="0032581F">
        <w:rPr>
          <w:rFonts w:ascii="Times New Roman" w:hAnsi="Times New Roman" w:cs="Times New Roman"/>
          <w:sz w:val="24"/>
          <w:szCs w:val="24"/>
        </w:rPr>
        <w:fldChar w:fldCharType="end"/>
      </w:r>
    </w:p>
    <w:p w14:paraId="18DABBD7" w14:textId="77777777" w:rsidR="0038481C" w:rsidRPr="00442034" w:rsidRDefault="0038481C" w:rsidP="00CB6E45">
      <w:pPr>
        <w:spacing w:line="480" w:lineRule="auto"/>
        <w:jc w:val="center"/>
        <w:rPr>
          <w:rFonts w:ascii="Times New Roman" w:hAnsi="Times New Roman" w:cs="Times New Roman"/>
          <w:sz w:val="24"/>
          <w:szCs w:val="24"/>
        </w:rPr>
      </w:pPr>
    </w:p>
    <w:p w14:paraId="2A30B728" w14:textId="77777777" w:rsidR="0038481C" w:rsidRPr="00442034" w:rsidRDefault="0038481C" w:rsidP="00CB6E45">
      <w:pPr>
        <w:spacing w:line="480" w:lineRule="auto"/>
        <w:jc w:val="center"/>
        <w:rPr>
          <w:rFonts w:ascii="Times New Roman" w:hAnsi="Times New Roman" w:cs="Times New Roman"/>
          <w:sz w:val="24"/>
          <w:szCs w:val="24"/>
        </w:rPr>
      </w:pPr>
    </w:p>
    <w:p w14:paraId="5A367986" w14:textId="77777777" w:rsidR="0038481C" w:rsidRPr="00442034" w:rsidRDefault="0038481C" w:rsidP="00CB6E45">
      <w:pPr>
        <w:spacing w:line="480" w:lineRule="auto"/>
        <w:jc w:val="center"/>
        <w:rPr>
          <w:rFonts w:ascii="Times New Roman" w:hAnsi="Times New Roman" w:cs="Times New Roman"/>
          <w:sz w:val="24"/>
          <w:szCs w:val="24"/>
        </w:rPr>
      </w:pPr>
    </w:p>
    <w:p w14:paraId="2D850B7B" w14:textId="77777777" w:rsidR="0038481C" w:rsidRPr="00442034" w:rsidRDefault="0038481C" w:rsidP="00CB6E45">
      <w:pPr>
        <w:spacing w:line="480" w:lineRule="auto"/>
        <w:jc w:val="center"/>
        <w:rPr>
          <w:rFonts w:ascii="Times New Roman" w:hAnsi="Times New Roman" w:cs="Times New Roman"/>
          <w:sz w:val="24"/>
          <w:szCs w:val="24"/>
        </w:rPr>
      </w:pPr>
    </w:p>
    <w:p w14:paraId="427B571D" w14:textId="77777777" w:rsidR="0038481C" w:rsidRPr="00442034" w:rsidRDefault="0038481C" w:rsidP="00CB6E45">
      <w:pPr>
        <w:spacing w:line="480" w:lineRule="auto"/>
        <w:jc w:val="center"/>
        <w:rPr>
          <w:rFonts w:ascii="Times New Roman" w:hAnsi="Times New Roman" w:cs="Times New Roman"/>
          <w:sz w:val="24"/>
          <w:szCs w:val="24"/>
        </w:rPr>
      </w:pPr>
    </w:p>
    <w:p w14:paraId="7E3BD25D" w14:textId="77777777" w:rsidR="00B05364" w:rsidRDefault="00B05364" w:rsidP="001D2F94">
      <w:pPr>
        <w:spacing w:line="480" w:lineRule="auto"/>
        <w:rPr>
          <w:rFonts w:ascii="Times New Roman" w:hAnsi="Times New Roman" w:cs="Times New Roman"/>
          <w:sz w:val="24"/>
          <w:szCs w:val="24"/>
        </w:rPr>
      </w:pPr>
    </w:p>
    <w:p w14:paraId="17324AD9" w14:textId="77777777" w:rsidR="00B05364" w:rsidRDefault="00B05364" w:rsidP="00720D04">
      <w:pPr>
        <w:spacing w:line="480" w:lineRule="auto"/>
        <w:rPr>
          <w:rFonts w:ascii="Times New Roman" w:hAnsi="Times New Roman" w:cs="Times New Roman"/>
          <w:sz w:val="24"/>
          <w:szCs w:val="24"/>
        </w:rPr>
      </w:pPr>
    </w:p>
    <w:p w14:paraId="5870DEBE" w14:textId="77777777" w:rsidR="00A8638A" w:rsidRDefault="00A8638A" w:rsidP="00720D04">
      <w:pPr>
        <w:spacing w:line="480" w:lineRule="auto"/>
        <w:rPr>
          <w:rFonts w:ascii="Times New Roman" w:hAnsi="Times New Roman" w:cs="Times New Roman"/>
          <w:sz w:val="24"/>
          <w:szCs w:val="24"/>
        </w:rPr>
      </w:pPr>
    </w:p>
    <w:p w14:paraId="12E8F3DA" w14:textId="77777777" w:rsidR="005A70F9" w:rsidRDefault="00CB6E45" w:rsidP="00CB6E45">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t xml:space="preserve">Chapter Four: </w:t>
      </w:r>
    </w:p>
    <w:p w14:paraId="4F02A2F3" w14:textId="33CB2220" w:rsidR="00590AA4" w:rsidRPr="00442034" w:rsidRDefault="00CB6E45" w:rsidP="00CB6E45">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t>The Caseworker as an External Locus of Hope for LGB Youth in Foster Care</w:t>
      </w:r>
    </w:p>
    <w:p w14:paraId="1828DB36" w14:textId="06BD7A0A" w:rsidR="00590AA4" w:rsidRDefault="00F0443C" w:rsidP="00F0443C">
      <w:pPr>
        <w:jc w:val="center"/>
        <w:rPr>
          <w:rFonts w:ascii="Times New Roman" w:hAnsi="Times New Roman" w:cs="Times New Roman"/>
          <w:sz w:val="24"/>
          <w:szCs w:val="24"/>
        </w:rPr>
      </w:pPr>
      <w:r>
        <w:rPr>
          <w:rFonts w:ascii="Times New Roman" w:hAnsi="Times New Roman" w:cs="Times New Roman"/>
          <w:sz w:val="24"/>
          <w:szCs w:val="24"/>
        </w:rPr>
        <w:t>Co-Authors on Chapter Four: Dr. Angela Pharris, Dr. Erin Maher, and Dr. Anthony Natale</w:t>
      </w:r>
    </w:p>
    <w:p w14:paraId="079F930F" w14:textId="77777777" w:rsidR="001D2F94" w:rsidRDefault="001D2F94">
      <w:pPr>
        <w:rPr>
          <w:rFonts w:ascii="Times New Roman" w:hAnsi="Times New Roman" w:cs="Times New Roman"/>
          <w:sz w:val="24"/>
          <w:szCs w:val="24"/>
        </w:rPr>
      </w:pPr>
    </w:p>
    <w:p w14:paraId="2207F781" w14:textId="77777777" w:rsidR="001D2F94" w:rsidRDefault="001D2F94">
      <w:pPr>
        <w:rPr>
          <w:rFonts w:ascii="Times New Roman" w:hAnsi="Times New Roman" w:cs="Times New Roman"/>
          <w:sz w:val="24"/>
          <w:szCs w:val="24"/>
        </w:rPr>
      </w:pPr>
    </w:p>
    <w:p w14:paraId="196ED372" w14:textId="77777777" w:rsidR="001D2F94" w:rsidRDefault="001D2F94">
      <w:pPr>
        <w:rPr>
          <w:rFonts w:ascii="Times New Roman" w:hAnsi="Times New Roman" w:cs="Times New Roman"/>
          <w:sz w:val="24"/>
          <w:szCs w:val="24"/>
        </w:rPr>
      </w:pPr>
    </w:p>
    <w:p w14:paraId="1739327A" w14:textId="77777777" w:rsidR="001D2F94" w:rsidRDefault="001D2F94">
      <w:pPr>
        <w:rPr>
          <w:rFonts w:ascii="Times New Roman" w:hAnsi="Times New Roman" w:cs="Times New Roman"/>
          <w:sz w:val="24"/>
          <w:szCs w:val="24"/>
        </w:rPr>
      </w:pPr>
    </w:p>
    <w:p w14:paraId="2F873798" w14:textId="77777777" w:rsidR="0013209C" w:rsidRDefault="0013209C">
      <w:pPr>
        <w:rPr>
          <w:rFonts w:ascii="Times New Roman" w:hAnsi="Times New Roman" w:cs="Times New Roman"/>
          <w:sz w:val="24"/>
          <w:szCs w:val="24"/>
        </w:rPr>
      </w:pPr>
    </w:p>
    <w:p w14:paraId="6F6C5474" w14:textId="77777777" w:rsidR="0013209C" w:rsidRDefault="0013209C">
      <w:pPr>
        <w:rPr>
          <w:rFonts w:ascii="Times New Roman" w:hAnsi="Times New Roman" w:cs="Times New Roman"/>
          <w:sz w:val="24"/>
          <w:szCs w:val="24"/>
        </w:rPr>
      </w:pPr>
    </w:p>
    <w:p w14:paraId="1890DD6D" w14:textId="77777777" w:rsidR="0013209C" w:rsidRDefault="0013209C">
      <w:pPr>
        <w:rPr>
          <w:rFonts w:ascii="Times New Roman" w:hAnsi="Times New Roman" w:cs="Times New Roman"/>
          <w:sz w:val="24"/>
          <w:szCs w:val="24"/>
        </w:rPr>
      </w:pPr>
    </w:p>
    <w:p w14:paraId="670BAFB7" w14:textId="77777777" w:rsidR="0013209C" w:rsidRDefault="0013209C">
      <w:pPr>
        <w:rPr>
          <w:rFonts w:ascii="Times New Roman" w:hAnsi="Times New Roman" w:cs="Times New Roman"/>
          <w:sz w:val="24"/>
          <w:szCs w:val="24"/>
        </w:rPr>
      </w:pPr>
    </w:p>
    <w:p w14:paraId="0EA2F7C3" w14:textId="77777777" w:rsidR="0013209C" w:rsidRDefault="0013209C">
      <w:pPr>
        <w:rPr>
          <w:rFonts w:ascii="Times New Roman" w:hAnsi="Times New Roman" w:cs="Times New Roman"/>
          <w:sz w:val="24"/>
          <w:szCs w:val="24"/>
        </w:rPr>
      </w:pPr>
    </w:p>
    <w:p w14:paraId="4C5F60EE" w14:textId="77777777" w:rsidR="0013209C" w:rsidRDefault="0013209C">
      <w:pPr>
        <w:rPr>
          <w:rFonts w:ascii="Times New Roman" w:hAnsi="Times New Roman" w:cs="Times New Roman"/>
          <w:sz w:val="24"/>
          <w:szCs w:val="24"/>
        </w:rPr>
      </w:pPr>
    </w:p>
    <w:p w14:paraId="6B80F83B" w14:textId="77777777" w:rsidR="001D2F94" w:rsidRDefault="001D2F94">
      <w:pPr>
        <w:rPr>
          <w:rFonts w:ascii="Times New Roman" w:hAnsi="Times New Roman" w:cs="Times New Roman"/>
          <w:sz w:val="24"/>
          <w:szCs w:val="24"/>
        </w:rPr>
      </w:pPr>
    </w:p>
    <w:p w14:paraId="57B50DD2" w14:textId="50CCCBC5" w:rsidR="001D2F94" w:rsidRDefault="00877D41">
      <w:pPr>
        <w:rPr>
          <w:rFonts w:ascii="Times New Roman" w:hAnsi="Times New Roman" w:cs="Times New Roman"/>
          <w:sz w:val="24"/>
          <w:szCs w:val="24"/>
        </w:rPr>
      </w:pPr>
      <w:r>
        <w:rPr>
          <w:rFonts w:ascii="Times New Roman" w:hAnsi="Times New Roman" w:cs="Times New Roman"/>
          <w:sz w:val="24"/>
          <w:szCs w:val="24"/>
        </w:rPr>
        <w:t>Breakdown of Effort:</w:t>
      </w:r>
    </w:p>
    <w:p w14:paraId="5B6D6FD7" w14:textId="7BF7FAEE" w:rsidR="00C23616" w:rsidRDefault="00C23616">
      <w:pPr>
        <w:rPr>
          <w:rFonts w:ascii="Times New Roman" w:hAnsi="Times New Roman" w:cs="Times New Roman"/>
          <w:sz w:val="24"/>
          <w:szCs w:val="24"/>
        </w:rPr>
      </w:pPr>
      <w:r>
        <w:rPr>
          <w:rFonts w:ascii="Times New Roman" w:hAnsi="Times New Roman" w:cs="Times New Roman"/>
          <w:sz w:val="24"/>
          <w:szCs w:val="24"/>
        </w:rPr>
        <w:t xml:space="preserve">Dr. Angela Pharris: </w:t>
      </w:r>
      <w:r w:rsidR="00CF7C0E">
        <w:rPr>
          <w:rFonts w:ascii="Times New Roman" w:hAnsi="Times New Roman" w:cs="Times New Roman"/>
          <w:sz w:val="24"/>
          <w:szCs w:val="24"/>
        </w:rPr>
        <w:t xml:space="preserve">First author given the agreement with the grant data was collected </w:t>
      </w:r>
      <w:proofErr w:type="gramStart"/>
      <w:r w:rsidR="00CF7C0E">
        <w:rPr>
          <w:rFonts w:ascii="Times New Roman" w:hAnsi="Times New Roman" w:cs="Times New Roman"/>
          <w:sz w:val="24"/>
          <w:szCs w:val="24"/>
        </w:rPr>
        <w:t>by,</w:t>
      </w:r>
      <w:proofErr w:type="gramEnd"/>
      <w:r w:rsidR="00CF7C0E">
        <w:rPr>
          <w:rFonts w:ascii="Times New Roman" w:hAnsi="Times New Roman" w:cs="Times New Roman"/>
          <w:sz w:val="24"/>
          <w:szCs w:val="24"/>
        </w:rPr>
        <w:t xml:space="preserve"> </w:t>
      </w:r>
      <w:r w:rsidR="00534357">
        <w:rPr>
          <w:rFonts w:ascii="Times New Roman" w:hAnsi="Times New Roman" w:cs="Times New Roman"/>
          <w:sz w:val="24"/>
          <w:szCs w:val="24"/>
        </w:rPr>
        <w:t>primary conceptualization</w:t>
      </w:r>
      <w:r w:rsidR="00E46514">
        <w:rPr>
          <w:rFonts w:ascii="Times New Roman" w:hAnsi="Times New Roman" w:cs="Times New Roman"/>
          <w:sz w:val="24"/>
          <w:szCs w:val="24"/>
        </w:rPr>
        <w:t>.</w:t>
      </w:r>
    </w:p>
    <w:p w14:paraId="5970C288" w14:textId="7362801B" w:rsidR="00877D41" w:rsidRDefault="00877D41">
      <w:pPr>
        <w:rPr>
          <w:rFonts w:ascii="Times New Roman" w:hAnsi="Times New Roman" w:cs="Times New Roman"/>
          <w:sz w:val="24"/>
          <w:szCs w:val="24"/>
        </w:rPr>
      </w:pPr>
      <w:r>
        <w:rPr>
          <w:rFonts w:ascii="Times New Roman" w:hAnsi="Times New Roman" w:cs="Times New Roman"/>
          <w:sz w:val="24"/>
          <w:szCs w:val="24"/>
        </w:rPr>
        <w:t xml:space="preserve">Heather Lepper-Pappan: </w:t>
      </w:r>
      <w:r w:rsidR="00C23616">
        <w:rPr>
          <w:rFonts w:ascii="Times New Roman" w:hAnsi="Times New Roman" w:cs="Times New Roman"/>
          <w:sz w:val="24"/>
          <w:szCs w:val="24"/>
        </w:rPr>
        <w:t>Development of research questions, performed all data analyses, author of first draft, edited all subsequent drafts</w:t>
      </w:r>
      <w:r w:rsidR="00E46514">
        <w:rPr>
          <w:rFonts w:ascii="Times New Roman" w:hAnsi="Times New Roman" w:cs="Times New Roman"/>
          <w:sz w:val="24"/>
          <w:szCs w:val="24"/>
        </w:rPr>
        <w:t>.</w:t>
      </w:r>
    </w:p>
    <w:p w14:paraId="712E2008" w14:textId="24D9918F" w:rsidR="00534357" w:rsidRDefault="00534357">
      <w:pPr>
        <w:rPr>
          <w:rFonts w:ascii="Times New Roman" w:hAnsi="Times New Roman" w:cs="Times New Roman"/>
          <w:sz w:val="24"/>
          <w:szCs w:val="24"/>
        </w:rPr>
      </w:pPr>
      <w:r>
        <w:rPr>
          <w:rFonts w:ascii="Times New Roman" w:hAnsi="Times New Roman" w:cs="Times New Roman"/>
          <w:sz w:val="24"/>
          <w:szCs w:val="24"/>
        </w:rPr>
        <w:t>Dr. Erin Maher: Edited subsequent drafts, provided expert guidance</w:t>
      </w:r>
      <w:r w:rsidR="00E46514">
        <w:rPr>
          <w:rFonts w:ascii="Times New Roman" w:hAnsi="Times New Roman" w:cs="Times New Roman"/>
          <w:sz w:val="24"/>
          <w:szCs w:val="24"/>
        </w:rPr>
        <w:t>.</w:t>
      </w:r>
    </w:p>
    <w:p w14:paraId="01FC52ED" w14:textId="22B5E5E4" w:rsidR="00534357" w:rsidRDefault="00534357" w:rsidP="00534357">
      <w:pPr>
        <w:rPr>
          <w:rFonts w:ascii="Times New Roman" w:hAnsi="Times New Roman" w:cs="Times New Roman"/>
          <w:sz w:val="24"/>
          <w:szCs w:val="24"/>
        </w:rPr>
      </w:pPr>
      <w:r>
        <w:rPr>
          <w:rFonts w:ascii="Times New Roman" w:hAnsi="Times New Roman" w:cs="Times New Roman"/>
          <w:sz w:val="24"/>
          <w:szCs w:val="24"/>
        </w:rPr>
        <w:t>Dr. Anthony Natale: Edited subsequent drafts, provided expert guidance</w:t>
      </w:r>
      <w:r w:rsidR="00E46514">
        <w:rPr>
          <w:rFonts w:ascii="Times New Roman" w:hAnsi="Times New Roman" w:cs="Times New Roman"/>
          <w:sz w:val="24"/>
          <w:szCs w:val="24"/>
        </w:rPr>
        <w:t>.</w:t>
      </w:r>
    </w:p>
    <w:p w14:paraId="7C61C8BF" w14:textId="77777777" w:rsidR="00455A59" w:rsidRDefault="00455A59" w:rsidP="00534357">
      <w:pPr>
        <w:jc w:val="center"/>
        <w:rPr>
          <w:rFonts w:ascii="Times New Roman" w:hAnsi="Times New Roman" w:cs="Times New Roman"/>
          <w:b/>
          <w:bCs/>
          <w:sz w:val="24"/>
          <w:szCs w:val="24"/>
        </w:rPr>
      </w:pPr>
    </w:p>
    <w:p w14:paraId="2D840066" w14:textId="11EE41DF" w:rsidR="00C11EF7" w:rsidRPr="00534357" w:rsidRDefault="00C11EF7" w:rsidP="00534357">
      <w:pPr>
        <w:jc w:val="center"/>
        <w:rPr>
          <w:rFonts w:ascii="Times New Roman" w:hAnsi="Times New Roman" w:cs="Times New Roman"/>
          <w:sz w:val="24"/>
          <w:szCs w:val="24"/>
        </w:rPr>
      </w:pPr>
      <w:r w:rsidRPr="00442034">
        <w:rPr>
          <w:rFonts w:ascii="Times New Roman" w:hAnsi="Times New Roman" w:cs="Times New Roman"/>
          <w:b/>
          <w:bCs/>
          <w:sz w:val="24"/>
          <w:szCs w:val="24"/>
        </w:rPr>
        <w:lastRenderedPageBreak/>
        <w:t>Abstract</w:t>
      </w:r>
    </w:p>
    <w:p w14:paraId="3C100E5D" w14:textId="77777777" w:rsidR="00C11EF7" w:rsidRPr="00442034" w:rsidRDefault="00C11EF7" w:rsidP="00164B36">
      <w:pPr>
        <w:spacing w:line="240" w:lineRule="auto"/>
        <w:contextualSpacing/>
        <w:rPr>
          <w:rFonts w:ascii="Times New Roman" w:hAnsi="Times New Roman" w:cs="Times New Roman"/>
          <w:b/>
          <w:bCs/>
          <w:sz w:val="24"/>
          <w:szCs w:val="24"/>
        </w:rPr>
      </w:pPr>
      <w:r w:rsidRPr="00442034">
        <w:rPr>
          <w:rFonts w:ascii="Times New Roman" w:hAnsi="Times New Roman" w:cs="Times New Roman"/>
          <w:sz w:val="24"/>
          <w:szCs w:val="24"/>
        </w:rPr>
        <w:t xml:space="preserve">Research with youth has demonstrated that a hopeful mindset is associated with resilience and well-being and is influenced by our supportive caregivers and adults. Lesbian, gay, and bisexual (LGB) youth experience a very high frequency of adverse childhood experiences (ACE) and may lack supportive caregivers throughout their foster care experience (Craig et al., 2020; Turney &amp; Wildeman, 2016). This study tests the theory that child welfare caseworkers are a source of hope among LGB youth in foster care. Quantitative analysis was used to examine differences in ACE exposure and differences in the caseworker as a source of hope. LGB youth with eight or more ACEs have a significant positive association with hope in their caseworkers than non-LGB youth. </w:t>
      </w:r>
    </w:p>
    <w:p w14:paraId="4F03E04C" w14:textId="77777777" w:rsidR="00C11EF7" w:rsidRPr="00442034" w:rsidRDefault="00C11EF7" w:rsidP="00C11EF7">
      <w:pPr>
        <w:spacing w:line="480" w:lineRule="auto"/>
        <w:ind w:firstLine="720"/>
        <w:contextualSpacing/>
        <w:rPr>
          <w:rFonts w:ascii="Times New Roman" w:hAnsi="Times New Roman" w:cs="Times New Roman"/>
          <w:i/>
          <w:iCs/>
          <w:sz w:val="24"/>
          <w:szCs w:val="24"/>
        </w:rPr>
      </w:pPr>
    </w:p>
    <w:p w14:paraId="62C0ADA2" w14:textId="77777777" w:rsidR="00C11EF7" w:rsidRPr="00442034" w:rsidRDefault="00C11EF7" w:rsidP="00C11EF7">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i/>
          <w:iCs/>
          <w:sz w:val="24"/>
          <w:szCs w:val="24"/>
        </w:rPr>
        <w:t xml:space="preserve">Keywords: </w:t>
      </w:r>
      <w:r w:rsidRPr="00442034">
        <w:rPr>
          <w:rFonts w:ascii="Times New Roman" w:hAnsi="Times New Roman" w:cs="Times New Roman"/>
          <w:sz w:val="24"/>
          <w:szCs w:val="24"/>
        </w:rPr>
        <w:t>LGB youth, foster care, hope theory, adverse childhood experiences</w:t>
      </w:r>
    </w:p>
    <w:p w14:paraId="4D775DAE" w14:textId="50BF1225" w:rsidR="00C11EF7" w:rsidRPr="00442034" w:rsidRDefault="00C11EF7">
      <w:pPr>
        <w:rPr>
          <w:rFonts w:ascii="Times New Roman" w:hAnsi="Times New Roman" w:cs="Times New Roman"/>
          <w:sz w:val="24"/>
          <w:szCs w:val="24"/>
        </w:rPr>
      </w:pPr>
      <w:r w:rsidRPr="00442034">
        <w:rPr>
          <w:rFonts w:ascii="Times New Roman" w:hAnsi="Times New Roman" w:cs="Times New Roman"/>
          <w:sz w:val="24"/>
          <w:szCs w:val="24"/>
        </w:rPr>
        <w:br w:type="page"/>
      </w:r>
    </w:p>
    <w:p w14:paraId="2D7E90BC" w14:textId="77777777" w:rsidR="00D0519D" w:rsidRPr="00442034" w:rsidRDefault="00D0519D" w:rsidP="00D0519D">
      <w:pPr>
        <w:spacing w:line="480" w:lineRule="auto"/>
        <w:contextualSpacing/>
        <w:jc w:val="center"/>
        <w:rPr>
          <w:rFonts w:ascii="Times New Roman" w:hAnsi="Times New Roman" w:cs="Times New Roman"/>
          <w:b/>
          <w:bCs/>
          <w:sz w:val="24"/>
          <w:szCs w:val="24"/>
        </w:rPr>
      </w:pPr>
      <w:r w:rsidRPr="00442034">
        <w:rPr>
          <w:rFonts w:ascii="Times New Roman" w:hAnsi="Times New Roman" w:cs="Times New Roman"/>
          <w:b/>
          <w:bCs/>
          <w:sz w:val="24"/>
          <w:szCs w:val="24"/>
        </w:rPr>
        <w:lastRenderedPageBreak/>
        <w:t>Introduction</w:t>
      </w:r>
    </w:p>
    <w:p w14:paraId="6B833D55" w14:textId="629C0E23" w:rsidR="00D0519D" w:rsidRPr="00442034" w:rsidRDefault="00D0519D" w:rsidP="00D0519D">
      <w:pPr>
        <w:spacing w:line="480" w:lineRule="auto"/>
        <w:contextualSpacing/>
        <w:rPr>
          <w:rFonts w:ascii="Times New Roman" w:hAnsi="Times New Roman" w:cs="Times New Roman"/>
          <w:sz w:val="24"/>
          <w:szCs w:val="24"/>
        </w:rPr>
      </w:pPr>
      <w:r w:rsidRPr="00442034">
        <w:rPr>
          <w:rFonts w:ascii="Times New Roman" w:hAnsi="Times New Roman" w:cs="Times New Roman"/>
          <w:b/>
          <w:bCs/>
          <w:sz w:val="24"/>
          <w:szCs w:val="24"/>
        </w:rPr>
        <w:tab/>
      </w:r>
      <w:r w:rsidRPr="00442034">
        <w:rPr>
          <w:rFonts w:ascii="Times New Roman" w:hAnsi="Times New Roman" w:cs="Times New Roman"/>
          <w:sz w:val="24"/>
          <w:szCs w:val="24"/>
        </w:rPr>
        <w:t xml:space="preserve">Hope is a well-established protective factor linked to greater well-being for youth (Marquis et al., 2015; Schmid &amp; Lopez, 2011). Hope is the cognitive, motivational state based on an individual's ability to identify future goals, strategize pathways to the </w:t>
      </w:r>
      <w:r w:rsidR="00880A6D" w:rsidRPr="00442034">
        <w:rPr>
          <w:rFonts w:ascii="Times New Roman" w:hAnsi="Times New Roman" w:cs="Times New Roman"/>
          <w:sz w:val="24"/>
          <w:szCs w:val="24"/>
        </w:rPr>
        <w:t>goals, and</w:t>
      </w:r>
      <w:r w:rsidRPr="00442034">
        <w:rPr>
          <w:rFonts w:ascii="Times New Roman" w:hAnsi="Times New Roman" w:cs="Times New Roman"/>
          <w:sz w:val="24"/>
          <w:szCs w:val="24"/>
        </w:rPr>
        <w:t xml:space="preserve"> focus mental resources toward desirable goals (Snyder, 1994). Prior research suggests that supportive caregivers are sources of hope for many adolescents (Muñoz et al., 2019). However, youth who identify as lesbian, gay, or bisexual (LGB) may lack access to stable, continuous, and supportive adults. Foster care and out-of-home placement exasperate access to supportive caregivers. However, one relationship that youth in foster care do have access to is the child welfare caseworker, who may, in turn, be a source to nurture hopeful thinking. Still, researchers know little about the support mechanism or the strategies caseworkers may use to communicate support for youth. Additionally, not enough is known about the actions or activities that caseworkers may use to signal support for LGB youth during their time in the child welfare system (</w:t>
      </w:r>
      <w:proofErr w:type="spellStart"/>
      <w:r w:rsidRPr="00442034">
        <w:rPr>
          <w:rFonts w:ascii="Times New Roman" w:hAnsi="Times New Roman" w:cs="Times New Roman"/>
          <w:sz w:val="24"/>
          <w:szCs w:val="24"/>
        </w:rPr>
        <w:t>Kassbøll</w:t>
      </w:r>
      <w:proofErr w:type="spellEnd"/>
      <w:r w:rsidRPr="00442034">
        <w:rPr>
          <w:rFonts w:ascii="Times New Roman" w:hAnsi="Times New Roman" w:cs="Times New Roman"/>
          <w:sz w:val="24"/>
          <w:szCs w:val="24"/>
        </w:rPr>
        <w:t xml:space="preserve"> et al., 2021).</w:t>
      </w:r>
    </w:p>
    <w:p w14:paraId="24D4D932" w14:textId="297C2136"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Previous research has established a relationship between positive caseworker relationships and greater well-being for youth in foster care (Collins et al., 2010; Paul, 2020; Ragg et al., 2006). A small but emerging body of literature has focused on the distinct needs of lesbian, gay, bisexual, transgender, or questioning (LGBTQ) youth and found that they often identify child welfare professionals as significant persons of support in their social networks (Paul, 2020; Rosenberg, 2019), but youth also report feelings of discrimination, marginalization and a lack of acceptance throughout their child welfare placement experiences (</w:t>
      </w:r>
      <w:proofErr w:type="spellStart"/>
      <w:r w:rsidRPr="00442034">
        <w:rPr>
          <w:rFonts w:ascii="Times New Roman" w:hAnsi="Times New Roman" w:cs="Times New Roman"/>
          <w:sz w:val="24"/>
          <w:szCs w:val="24"/>
        </w:rPr>
        <w:t>Kassbøll</w:t>
      </w:r>
      <w:proofErr w:type="spellEnd"/>
      <w:r w:rsidRPr="00442034">
        <w:rPr>
          <w:rFonts w:ascii="Times New Roman" w:hAnsi="Times New Roman" w:cs="Times New Roman"/>
          <w:sz w:val="24"/>
          <w:szCs w:val="24"/>
        </w:rPr>
        <w:t xml:space="preserve"> et al., 2021; McCormick et al., 2016). Child welfare workers significantly influence disclosing their identity to others, which may limit or constrain the development of a trusting relationship. </w:t>
      </w:r>
      <w:r w:rsidRPr="00442034">
        <w:rPr>
          <w:rFonts w:ascii="Times New Roman" w:hAnsi="Times New Roman" w:cs="Times New Roman"/>
          <w:sz w:val="24"/>
          <w:szCs w:val="24"/>
        </w:rPr>
        <w:lastRenderedPageBreak/>
        <w:t>Workers should be able to provide a supportive relationship that seeks to validate (over stigmatizing) and promotes acceptance over rejection (Ragg et al., 2006). In addition to being a competent and affirming provider, the child welfare caseworker is a source of hope by helping youth envision future selves and helping youth construct strategies toward those desired goals</w:t>
      </w:r>
      <w:r w:rsidR="00AC168C">
        <w:rPr>
          <w:rFonts w:ascii="Times New Roman" w:hAnsi="Times New Roman" w:cs="Times New Roman"/>
          <w:sz w:val="24"/>
          <w:szCs w:val="24"/>
        </w:rPr>
        <w:t>.</w:t>
      </w:r>
      <w:r w:rsidRPr="00442034">
        <w:rPr>
          <w:rFonts w:ascii="Times New Roman" w:hAnsi="Times New Roman" w:cs="Times New Roman"/>
          <w:sz w:val="24"/>
          <w:szCs w:val="24"/>
        </w:rPr>
        <w:t xml:space="preserve"> </w:t>
      </w:r>
    </w:p>
    <w:p w14:paraId="149D1B9F" w14:textId="77777777"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 Researchers have found that individuals who report higher hope indicate more robust social support, suggesting that hopeful thinking is, in part, developed from meaningful connections to others (Barnum et al., 1998; Merkas &amp; Braisa- Zganec, 2011). Higher hope is also associated with social competence (Snyder et al., 1997; Demirci, 2020) and decreased isolation (Sympson, 1999; Margalit, 2010). Therefore, it is essential for LGB youth in foster care to identify and promote supportive adult relationships as sources of hope. Unfortunately, less is known about the positive experiences that promote well-being for youth, and we need to understand the sources of those positive experiences (Petruccelli et al., 2019; Sphiegel &amp; Simmel, 2016; Turney &amp; Wildeman, 2016). Therefore, the current study examines the relationship of the caseworker as the external force of hope in the life of LGB youth in foster care or out-of-home placements.</w:t>
      </w:r>
    </w:p>
    <w:p w14:paraId="6A396F09" w14:textId="77777777" w:rsidR="00D0519D" w:rsidRPr="00442034" w:rsidRDefault="00D0519D" w:rsidP="00164B36">
      <w:pPr>
        <w:pStyle w:val="paragraph"/>
        <w:spacing w:before="0" w:beforeAutospacing="0" w:after="0" w:afterAutospacing="0" w:line="480" w:lineRule="auto"/>
        <w:jc w:val="center"/>
        <w:textAlignment w:val="baseline"/>
        <w:rPr>
          <w:rStyle w:val="normaltextrun"/>
          <w:b/>
          <w:bCs/>
          <w:color w:val="000000" w:themeColor="text1"/>
        </w:rPr>
      </w:pPr>
      <w:r w:rsidRPr="00442034">
        <w:rPr>
          <w:rStyle w:val="normaltextrun"/>
          <w:b/>
          <w:bCs/>
          <w:color w:val="000000" w:themeColor="text1"/>
        </w:rPr>
        <w:t>Adverse Childhood Experiences and Lesbian, Gay, and Bisexual Youth</w:t>
      </w:r>
    </w:p>
    <w:p w14:paraId="3865A907" w14:textId="77777777" w:rsidR="00D0519D" w:rsidRPr="00442034" w:rsidRDefault="00D0519D" w:rsidP="00D0519D">
      <w:pPr>
        <w:pStyle w:val="paragraph"/>
        <w:spacing w:before="0" w:beforeAutospacing="0" w:after="0" w:afterAutospacing="0" w:line="480" w:lineRule="auto"/>
        <w:textAlignment w:val="baseline"/>
        <w:rPr>
          <w:rStyle w:val="normaltextrun"/>
          <w:b/>
          <w:bCs/>
          <w:i/>
          <w:iCs/>
          <w:color w:val="000000" w:themeColor="text1"/>
        </w:rPr>
      </w:pPr>
      <w:r w:rsidRPr="00442034">
        <w:rPr>
          <w:rStyle w:val="normaltextrun"/>
          <w:b/>
          <w:bCs/>
          <w:color w:val="000000" w:themeColor="text1"/>
        </w:rPr>
        <w:t>ACEs Contribute to Poor Well-Being and Health Outcomes</w:t>
      </w:r>
    </w:p>
    <w:p w14:paraId="2F123594" w14:textId="2B38DDFE" w:rsidR="00D0519D" w:rsidRPr="00442034" w:rsidRDefault="00D0519D" w:rsidP="00D0519D">
      <w:pPr>
        <w:pStyle w:val="paragraph"/>
        <w:spacing w:before="0" w:beforeAutospacing="0" w:after="0" w:afterAutospacing="0" w:line="480" w:lineRule="auto"/>
        <w:ind w:firstLine="720"/>
        <w:textAlignment w:val="baseline"/>
        <w:rPr>
          <w:b/>
          <w:bCs/>
          <w:i/>
          <w:iCs/>
          <w:color w:val="000000" w:themeColor="text1"/>
        </w:rPr>
      </w:pPr>
      <w:r w:rsidRPr="00442034">
        <w:rPr>
          <w:rStyle w:val="normaltextrun"/>
          <w:b/>
          <w:bCs/>
          <w:i/>
          <w:iCs/>
          <w:color w:val="000000" w:themeColor="text1"/>
        </w:rPr>
        <w:t xml:space="preserve"> </w:t>
      </w:r>
      <w:r w:rsidRPr="00442034">
        <w:rPr>
          <w:rStyle w:val="normaltextrun"/>
          <w:color w:val="000000" w:themeColor="text1"/>
        </w:rPr>
        <w:t xml:space="preserve">The original ACE study established a dose-response relationship between childhood trauma and long-term adverse effects on health and wellness (Felitti et al., 1998). The initial study introduced a 10-item Adverse Childhood Experiences scale to investigate the association of childhood trauma exposure to adverse experiences on health and risk behaviors and disease conditions within a large sample of adults (Felitti et al., 1998). This study and a series of systematic reviews and meta-analyses since </w:t>
      </w:r>
      <w:r w:rsidRPr="00442034">
        <w:rPr>
          <w:rStyle w:val="normaltextrun"/>
          <w:color w:val="000000" w:themeColor="text1"/>
          <w:shd w:val="clear" w:color="auto" w:fill="E1E3E6"/>
        </w:rPr>
        <w:t xml:space="preserve">(Centers for Disease Control and Prevention [CDC], </w:t>
      </w:r>
      <w:r w:rsidRPr="00442034">
        <w:rPr>
          <w:rStyle w:val="normaltextrun"/>
          <w:color w:val="000000" w:themeColor="text1"/>
          <w:shd w:val="clear" w:color="auto" w:fill="E1E3E6"/>
        </w:rPr>
        <w:lastRenderedPageBreak/>
        <w:t>2019; Kalmakis &amp; Chandler, 2014; Petruccelli et al., 2019</w:t>
      </w:r>
      <w:r w:rsidRPr="00442034">
        <w:rPr>
          <w:rStyle w:val="normaltextrun"/>
          <w:color w:val="000000" w:themeColor="text1"/>
        </w:rPr>
        <w:t>) have demonstrated that exposure to significant health consequences throughout the lifespan, including</w:t>
      </w:r>
      <w:r w:rsidRPr="00442034">
        <w:rPr>
          <w:rStyle w:val="normaltextrun"/>
          <w:strike/>
          <w:color w:val="000000" w:themeColor="text1"/>
        </w:rPr>
        <w:t xml:space="preserve"> </w:t>
      </w:r>
      <w:r w:rsidRPr="00442034">
        <w:rPr>
          <w:rStyle w:val="normaltextrun"/>
          <w:color w:val="000000" w:themeColor="text1"/>
        </w:rPr>
        <w:t>obesity, heart disease, cancer, suicide attempts, and other chronic health outcomes. In addition, ACEs are linked to several adverse social-emotional developments. These impairments may reflect an individual's attempt at short-term coping, such as increased risk-taking behavior, substance abuse, depression, risky sexual practices, self-injury, and encounters with the criminal justice system (CDC, 2019; Layne et al., 2014). ACEs have also been associated with other well-being indicators, such as educational attainment, income, and other critical social indicators (CDC, 2019; Metzler et al., 2016).</w:t>
      </w:r>
    </w:p>
    <w:p w14:paraId="689E45E8" w14:textId="094F0C0A" w:rsidR="00D0519D" w:rsidRDefault="00D0519D" w:rsidP="00D0519D">
      <w:pPr>
        <w:pStyle w:val="paragraph"/>
        <w:spacing w:before="0" w:beforeAutospacing="0" w:after="0" w:afterAutospacing="0" w:line="480" w:lineRule="auto"/>
        <w:ind w:firstLine="720"/>
        <w:textAlignment w:val="baseline"/>
        <w:rPr>
          <w:rStyle w:val="normaltextrun"/>
          <w:color w:val="000000" w:themeColor="text1"/>
        </w:rPr>
      </w:pPr>
      <w:r w:rsidRPr="00442034">
        <w:rPr>
          <w:rStyle w:val="normaltextrun"/>
          <w:color w:val="000000" w:themeColor="text1"/>
        </w:rPr>
        <w:t xml:space="preserve">While the literature on Adverse Childhood Experiences (ACEs) is robust, our review more narrowly focuses on five significant findings relevant to LGB foster youth. First, the experience of ACEs contributes to poor well-being outcomes for youth, such as depression, substance use, and suicide attempts, as well as chronic physical health problems such as obesity and heart disease </w:t>
      </w:r>
      <w:r w:rsidRPr="00442034">
        <w:rPr>
          <w:rStyle w:val="normaltextrun"/>
          <w:color w:val="000000" w:themeColor="text1"/>
          <w:shd w:val="clear" w:color="auto" w:fill="E1E3E6"/>
        </w:rPr>
        <w:t>(Petruccelli et al., 2019)</w:t>
      </w:r>
      <w:r w:rsidRPr="00442034">
        <w:rPr>
          <w:rStyle w:val="normaltextrun"/>
          <w:color w:val="000000" w:themeColor="text1"/>
        </w:rPr>
        <w:t xml:space="preserve">. Second, youth in foster care, particularly LGB youth, report higher ACEs than the general population, magnifying these adverse outcomes </w:t>
      </w:r>
      <w:r w:rsidRPr="00442034">
        <w:rPr>
          <w:rStyle w:val="normaltextrun"/>
          <w:color w:val="000000" w:themeColor="text1"/>
          <w:shd w:val="clear" w:color="auto" w:fill="E1E3E6"/>
        </w:rPr>
        <w:t>(Saewyc et al., 2006; Turney &amp; Wildeman, 2016)</w:t>
      </w:r>
      <w:r w:rsidRPr="00442034">
        <w:rPr>
          <w:rStyle w:val="normaltextrun"/>
          <w:color w:val="000000" w:themeColor="text1"/>
        </w:rPr>
        <w:t xml:space="preserve">. Third, LGB youth are more likely to experience ACEs, such as verbal and physical harassment and sexual abuse, leading to living disruptions, </w:t>
      </w:r>
      <w:r w:rsidR="00E67867">
        <w:rPr>
          <w:rStyle w:val="normaltextrun"/>
          <w:color w:val="000000" w:themeColor="text1"/>
        </w:rPr>
        <w:t xml:space="preserve">and </w:t>
      </w:r>
      <w:r w:rsidRPr="00442034">
        <w:rPr>
          <w:rStyle w:val="normaltextrun"/>
          <w:color w:val="000000" w:themeColor="text1"/>
        </w:rPr>
        <w:t xml:space="preserve">contributing to disproportionate representation in foster care </w:t>
      </w:r>
      <w:r w:rsidRPr="00442034">
        <w:rPr>
          <w:rStyle w:val="normaltextrun"/>
          <w:color w:val="000000" w:themeColor="text1"/>
          <w:shd w:val="clear" w:color="auto" w:fill="E1E3E6"/>
        </w:rPr>
        <w:t>(Fish et al., 2019)</w:t>
      </w:r>
      <w:r w:rsidRPr="00442034">
        <w:rPr>
          <w:rStyle w:val="normaltextrun"/>
          <w:color w:val="000000" w:themeColor="text1"/>
        </w:rPr>
        <w:t xml:space="preserve">. Fourth, adverse childhood experiences of abuse and neglect continue for some LGB youth in the foster care system, contributing to placement instability and transition outcomes from foster care into adulthood </w:t>
      </w:r>
      <w:r w:rsidRPr="00442034">
        <w:rPr>
          <w:rStyle w:val="normaltextrun"/>
          <w:color w:val="000000" w:themeColor="text1"/>
          <w:shd w:val="clear" w:color="auto" w:fill="E1E3E6"/>
        </w:rPr>
        <w:t>(Shpiegel &amp; Simmel, 2016)</w:t>
      </w:r>
      <w:r w:rsidRPr="00442034">
        <w:rPr>
          <w:rStyle w:val="normaltextrun"/>
          <w:color w:val="000000" w:themeColor="text1"/>
        </w:rPr>
        <w:t xml:space="preserve">. </w:t>
      </w:r>
    </w:p>
    <w:p w14:paraId="15A797FB" w14:textId="77777777" w:rsidR="00880A6D" w:rsidRDefault="00880A6D" w:rsidP="00D0519D">
      <w:pPr>
        <w:pStyle w:val="paragraph"/>
        <w:spacing w:before="0" w:beforeAutospacing="0" w:after="0" w:afterAutospacing="0" w:line="480" w:lineRule="auto"/>
        <w:ind w:firstLine="720"/>
        <w:textAlignment w:val="baseline"/>
        <w:rPr>
          <w:rStyle w:val="normaltextrun"/>
          <w:color w:val="000000" w:themeColor="text1"/>
        </w:rPr>
      </w:pPr>
    </w:p>
    <w:p w14:paraId="5B7FBFFC" w14:textId="77777777" w:rsidR="00880A6D" w:rsidRPr="00442034" w:rsidRDefault="00880A6D" w:rsidP="00D0519D">
      <w:pPr>
        <w:pStyle w:val="paragraph"/>
        <w:spacing w:before="0" w:beforeAutospacing="0" w:after="0" w:afterAutospacing="0" w:line="480" w:lineRule="auto"/>
        <w:ind w:firstLine="720"/>
        <w:textAlignment w:val="baseline"/>
        <w:rPr>
          <w:rStyle w:val="eop"/>
          <w:color w:val="000000" w:themeColor="text1"/>
        </w:rPr>
      </w:pPr>
    </w:p>
    <w:p w14:paraId="1AECB8A4" w14:textId="77777777" w:rsidR="00D0519D" w:rsidRPr="00442034" w:rsidRDefault="00D0519D" w:rsidP="00D0519D">
      <w:pPr>
        <w:pStyle w:val="paragraph"/>
        <w:spacing w:before="0" w:beforeAutospacing="0" w:after="0" w:afterAutospacing="0" w:line="480" w:lineRule="auto"/>
        <w:textAlignment w:val="baseline"/>
        <w:rPr>
          <w:rStyle w:val="normaltextrun"/>
          <w:b/>
          <w:bCs/>
          <w:color w:val="000000" w:themeColor="text1"/>
        </w:rPr>
      </w:pPr>
      <w:r w:rsidRPr="00442034">
        <w:rPr>
          <w:rStyle w:val="normaltextrun"/>
          <w:b/>
          <w:bCs/>
          <w:color w:val="000000" w:themeColor="text1"/>
        </w:rPr>
        <w:lastRenderedPageBreak/>
        <w:t>ACEs are High Among LGB Youth</w:t>
      </w:r>
    </w:p>
    <w:p w14:paraId="06741983" w14:textId="593AFF0F" w:rsidR="00D0519D" w:rsidRPr="00442034" w:rsidRDefault="00D0519D" w:rsidP="00D0519D">
      <w:pPr>
        <w:pStyle w:val="paragraph"/>
        <w:spacing w:before="0" w:beforeAutospacing="0" w:after="0" w:afterAutospacing="0" w:line="480" w:lineRule="auto"/>
        <w:ind w:firstLine="720"/>
        <w:textAlignment w:val="baseline"/>
        <w:rPr>
          <w:b/>
          <w:bCs/>
          <w:color w:val="000000" w:themeColor="text1"/>
        </w:rPr>
      </w:pPr>
      <w:r w:rsidRPr="00442034">
        <w:rPr>
          <w:rStyle w:val="normaltextrun"/>
          <w:color w:val="000000" w:themeColor="text1"/>
        </w:rPr>
        <w:t>Youth in foster care are exposed to ACEs more frequently than the general population (Turney &amp; Wildeman, 2016). In the original ACEs study, nearly two-thirds of respondents reported experiencing one or more adverse childhood experiences after age 19 (Felitti et al., 1998). Sacks and Murphy (2018) recently found that 45% of children in the United States have experienced at least one ACE. They also found that one in ten children had three or more ACEs. Exposure to ACEs is considerably higher relative to the general population. A national comparative study found that nearly half of the children in foster care have experienced parental substance abuse compared to only 6.4% of the general population, and almost 40% of children in foster care have experienced parental incarceration compared to only 4.6% of the general population (Turney &amp; Wildeman, 2017). Among youth with child welfare system involvement, nearly 70% report experiencing three or more ACEs by six years of age (Clarkson Freeman, 2014). Research has shown the risk for adverse health outcomes increases as the number of ACEs increases, highlighting the cumulative adverse effects of child maltreatment and neglect and the disparate health and well-being outcomes for youth in foster care (Chartier et al., 2010). ACEs vary in severity and are often chronic, leading to disruptions in youth's health and development, both physically and psychologically (</w:t>
      </w:r>
      <w:proofErr w:type="spellStart"/>
      <w:r w:rsidRPr="00442034">
        <w:rPr>
          <w:rStyle w:val="normaltextrun"/>
          <w:color w:val="000000" w:themeColor="text1"/>
        </w:rPr>
        <w:t>Kalmakis</w:t>
      </w:r>
      <w:proofErr w:type="spellEnd"/>
      <w:r w:rsidRPr="00442034">
        <w:rPr>
          <w:rStyle w:val="normaltextrun"/>
          <w:color w:val="000000" w:themeColor="text1"/>
        </w:rPr>
        <w:t xml:space="preserve"> &amp; Chandler, 2014).</w:t>
      </w:r>
    </w:p>
    <w:p w14:paraId="2F037754" w14:textId="75AF5093" w:rsidR="00D0519D" w:rsidRPr="00442034" w:rsidRDefault="00D0519D" w:rsidP="00D0519D">
      <w:pPr>
        <w:pStyle w:val="paragraph"/>
        <w:spacing w:before="0" w:beforeAutospacing="0" w:after="0" w:afterAutospacing="0" w:line="480" w:lineRule="auto"/>
        <w:ind w:firstLine="720"/>
        <w:textAlignment w:val="baseline"/>
        <w:rPr>
          <w:rStyle w:val="eop"/>
          <w:color w:val="000000" w:themeColor="text1"/>
        </w:rPr>
      </w:pPr>
      <w:r w:rsidRPr="00442034">
        <w:rPr>
          <w:rStyle w:val="normaltextrun"/>
          <w:color w:val="000000" w:themeColor="text1"/>
        </w:rPr>
        <w:t xml:space="preserve">Exposure to ACEs is high among LGB youth in the population and among LGB youth in foster care (Craig et al., 2020; Dettlaff et al., 2018; Prince et al., 2021; Schnarrs et al., 2019). As sexual minorities, LGB youth face additional challenges during their youth, including higher levels of minority stress, significant estimates of verbal and physical harassment, and stigmatization (Murdock &amp; Bolch, 2005). Lesbian, gay, and bisexual youth struggle to identify themselves publicly or privately, as such disclosure has led to violence and abuse from family </w:t>
      </w:r>
      <w:r w:rsidRPr="00442034">
        <w:rPr>
          <w:rStyle w:val="normaltextrun"/>
          <w:color w:val="000000" w:themeColor="text1"/>
        </w:rPr>
        <w:lastRenderedPageBreak/>
        <w:t>members (Saewyc et al., 2006). Compared to non-LGB youth, LGB youth are more likely to experience abandonment, sexual abuse from a caretaker, or being forced into homeless</w:t>
      </w:r>
      <w:r w:rsidR="00E67867">
        <w:rPr>
          <w:rStyle w:val="normaltextrun"/>
          <w:color w:val="000000" w:themeColor="text1"/>
        </w:rPr>
        <w:t>ness</w:t>
      </w:r>
      <w:r w:rsidRPr="00442034">
        <w:rPr>
          <w:rStyle w:val="normaltextrun"/>
          <w:color w:val="000000" w:themeColor="text1"/>
        </w:rPr>
        <w:t xml:space="preserve"> after family disruption, resulting in compounded risks of ACEs exposures. LGB youth are 2.5 times more likely to be placed in foster care than their heterosexual peers, illustrating disparities among them in foster care and the overrepresentation of sexual minorities within this system (Fish et al., 2019).</w:t>
      </w:r>
    </w:p>
    <w:p w14:paraId="3305A8F5" w14:textId="77777777" w:rsidR="00D0519D" w:rsidRPr="00442034" w:rsidRDefault="00D0519D" w:rsidP="00D0519D">
      <w:pPr>
        <w:pStyle w:val="paragraph"/>
        <w:spacing w:before="0" w:beforeAutospacing="0" w:after="0" w:afterAutospacing="0" w:line="480" w:lineRule="auto"/>
        <w:textAlignment w:val="baseline"/>
        <w:rPr>
          <w:b/>
          <w:bCs/>
          <w:color w:val="000000" w:themeColor="text1"/>
        </w:rPr>
      </w:pPr>
      <w:r w:rsidRPr="00442034">
        <w:rPr>
          <w:rStyle w:val="eop"/>
          <w:b/>
          <w:bCs/>
          <w:color w:val="000000" w:themeColor="text1"/>
        </w:rPr>
        <w:t xml:space="preserve">LGB ACEs Shape the Pathway to Foster Care and Additional Risk </w:t>
      </w:r>
    </w:p>
    <w:p w14:paraId="7B2F97DE" w14:textId="3FFAC2D5" w:rsidR="00D0519D" w:rsidRPr="00442034" w:rsidRDefault="00D0519D" w:rsidP="00D0519D">
      <w:pPr>
        <w:pStyle w:val="paragraph"/>
        <w:spacing w:before="0" w:beforeAutospacing="0" w:after="0" w:afterAutospacing="0" w:line="480" w:lineRule="auto"/>
        <w:ind w:firstLine="720"/>
        <w:textAlignment w:val="baseline"/>
        <w:rPr>
          <w:rStyle w:val="eop"/>
          <w:color w:val="000000" w:themeColor="text1"/>
        </w:rPr>
      </w:pPr>
      <w:r w:rsidRPr="00442034">
        <w:rPr>
          <w:rStyle w:val="normaltextrun"/>
          <w:color w:val="000000" w:themeColor="text1"/>
        </w:rPr>
        <w:t>Family rejection and violence are often why LGB youth enter foster care, but patterns of abuse, discrimination, and rejection may continue while in care (Mitchum &amp; Moodie-Mills, 2014). In addition, LGB individuals face negative societal perceptions and rejection, intolerance, stigma, and dehumanization, resulting in prejudice and bias in institutional policies and practices within the child welfare system (Natale, in press). Harassment or rejection by caregivers and other foster youth, unfair isolation and discrimination in congregate care settings, and misconceptions that LGB youth are sexual predators are hardships youth continually face during child welfare system involvement (Wilson &amp; Kastanis, 2015). In addition to system challenges, the relationship with the caregivers, including the caseworker, may pose additional risks to LGB youth. Studies demonstrate that caseworker turnover impacts the stability of young people and the loss of a trusting relationship (Curry, 2019; Strolin-Goltzman, 2010), creating what has been described as a moral injury for youth (Haight et al., 2022). The adverse experiences are in addition to societal homophobia, internalized homophobia that LGB youth may face, and the lack of resources available within the child welfare system to help them navigate their distinct challenges (Natale, in press).</w:t>
      </w:r>
    </w:p>
    <w:p w14:paraId="6BE209D2" w14:textId="0A4F7984" w:rsidR="00D0519D" w:rsidRPr="00442034" w:rsidRDefault="00D0519D" w:rsidP="00D0519D">
      <w:pPr>
        <w:pStyle w:val="paragraph"/>
        <w:spacing w:before="0" w:beforeAutospacing="0" w:after="0" w:afterAutospacing="0" w:line="480" w:lineRule="auto"/>
        <w:ind w:firstLine="720"/>
        <w:textAlignment w:val="baseline"/>
        <w:rPr>
          <w:rStyle w:val="eop"/>
          <w:color w:val="000000" w:themeColor="text1"/>
        </w:rPr>
      </w:pPr>
      <w:r w:rsidRPr="00442034">
        <w:rPr>
          <w:rStyle w:val="normaltextrun"/>
          <w:color w:val="000000" w:themeColor="text1"/>
        </w:rPr>
        <w:lastRenderedPageBreak/>
        <w:t xml:space="preserve">Even though LGB youth are over-represented in foster care, their experiences are </w:t>
      </w:r>
      <w:proofErr w:type="gramStart"/>
      <w:r w:rsidRPr="00442034">
        <w:rPr>
          <w:rStyle w:val="normaltextrun"/>
          <w:color w:val="000000" w:themeColor="text1"/>
        </w:rPr>
        <w:t>less accounted for</w:t>
      </w:r>
      <w:proofErr w:type="gramEnd"/>
      <w:r w:rsidRPr="00442034">
        <w:rPr>
          <w:rStyle w:val="normaltextrun"/>
          <w:color w:val="000000" w:themeColor="text1"/>
        </w:rPr>
        <w:t xml:space="preserve"> in research (Martin et al., 2016). Tuck (2009) calls for researchers to shift from "damage-centered" research on vulnerable communities that portray the youth as broken to research that focuses on the strengths and desires of the youth. Studies should examine the painful experiences of LGB youth in foster care and their resilience and capacity to thrive as part of their experiences (</w:t>
      </w:r>
      <w:proofErr w:type="spellStart"/>
      <w:r w:rsidRPr="00442034">
        <w:rPr>
          <w:rStyle w:val="normaltextrun"/>
          <w:color w:val="000000" w:themeColor="text1"/>
        </w:rPr>
        <w:t>Gringrich</w:t>
      </w:r>
      <w:proofErr w:type="spellEnd"/>
      <w:r w:rsidRPr="00442034">
        <w:rPr>
          <w:rStyle w:val="normaltextrun"/>
          <w:color w:val="000000" w:themeColor="text1"/>
        </w:rPr>
        <w:t xml:space="preserve">-Philbrook, 2005). Hope, an established measure with a relationship to various types of well-being outcomes, provides one possible way to </w:t>
      </w:r>
      <w:r w:rsidR="00E67867" w:rsidRPr="00442034">
        <w:rPr>
          <w:rStyle w:val="normaltextrun"/>
          <w:color w:val="000000" w:themeColor="text1"/>
        </w:rPr>
        <w:t>examine LGB</w:t>
      </w:r>
      <w:r w:rsidRPr="00442034">
        <w:rPr>
          <w:rStyle w:val="normaltextrun"/>
          <w:color w:val="000000" w:themeColor="text1"/>
        </w:rPr>
        <w:t xml:space="preserve"> youth in foster care.</w:t>
      </w:r>
    </w:p>
    <w:p w14:paraId="599FA5F6" w14:textId="6117C856" w:rsidR="00D0519D" w:rsidRPr="00442034" w:rsidRDefault="00D0519D" w:rsidP="00D0519D">
      <w:pPr>
        <w:pStyle w:val="paragraph"/>
        <w:spacing w:before="0" w:beforeAutospacing="0" w:after="0" w:afterAutospacing="0" w:line="480" w:lineRule="auto"/>
        <w:ind w:firstLine="720"/>
        <w:textAlignment w:val="baseline"/>
        <w:rPr>
          <w:rStyle w:val="eop"/>
          <w:color w:val="000000" w:themeColor="text1"/>
        </w:rPr>
      </w:pPr>
      <w:r w:rsidRPr="00442034">
        <w:rPr>
          <w:rStyle w:val="eop"/>
          <w:color w:val="000000" w:themeColor="text1"/>
        </w:rPr>
        <w:t>In summary, the literature on LGB youth and ACEs establishes the relationship between health and</w:t>
      </w:r>
      <w:r w:rsidR="008B31FC">
        <w:rPr>
          <w:rStyle w:val="eop"/>
          <w:color w:val="000000" w:themeColor="text1"/>
        </w:rPr>
        <w:t xml:space="preserve"> </w:t>
      </w:r>
      <w:r w:rsidRPr="00442034">
        <w:rPr>
          <w:rStyle w:val="eop"/>
          <w:color w:val="000000" w:themeColor="text1"/>
        </w:rPr>
        <w:t xml:space="preserve">well-being with ACE exposure while underscoring that </w:t>
      </w:r>
      <w:r w:rsidRPr="00442034">
        <w:rPr>
          <w:rStyle w:val="normaltextrun"/>
          <w:color w:val="000000" w:themeColor="text1"/>
        </w:rPr>
        <w:t>LGB youth face higher ACEs than the general population. Third, LGB youth are unique in that they are more likely to experience ACEs, such as verbal and physical harassment and sexual abuse due to their sexual orientation, leading to placement or care disruptions in foster care. Sadly, despite leaving unsafe homes, many LGB youths encounter experiences of abuse and neglect while in the child welfare system and endure additional experiences of abuse and neglect while in foster care, with tangible impacts on placement instability and poor adult transition outcomes. Finally, focusing on "risk-based" approaches to ACEs and their negative effects on vulnerable populations alone often overlooks the role of protective factors such as hope.</w:t>
      </w:r>
    </w:p>
    <w:p w14:paraId="5CAEC521" w14:textId="77777777" w:rsidR="00D0519D" w:rsidRPr="00442034" w:rsidRDefault="00D0519D" w:rsidP="00D0519D">
      <w:pPr>
        <w:spacing w:line="480" w:lineRule="auto"/>
        <w:contextualSpacing/>
        <w:rPr>
          <w:rFonts w:ascii="Times New Roman" w:hAnsi="Times New Roman" w:cs="Times New Roman"/>
          <w:b/>
          <w:bCs/>
          <w:sz w:val="24"/>
          <w:szCs w:val="24"/>
        </w:rPr>
      </w:pPr>
      <w:r w:rsidRPr="00442034">
        <w:rPr>
          <w:rFonts w:ascii="Times New Roman" w:hAnsi="Times New Roman" w:cs="Times New Roman"/>
          <w:b/>
          <w:bCs/>
          <w:sz w:val="24"/>
          <w:szCs w:val="24"/>
        </w:rPr>
        <w:t>Hope Theory</w:t>
      </w:r>
    </w:p>
    <w:p w14:paraId="37CD5902" w14:textId="77777777" w:rsidR="00D0519D" w:rsidRPr="00442034" w:rsidRDefault="00D0519D" w:rsidP="00D0519D">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One of the most well-researched theories of hope is that of Snyder et al. (1994), who defined hope as a positive motivational state based on the interactional impact of the person's sense of successful (a) agency (goal-directed energy) and (b) pathways (planning to meet goals) (Snyder et al., 1994). Hope agency reflects the cognitive assessment of one’s capability to initiate </w:t>
      </w:r>
      <w:r w:rsidRPr="00442034">
        <w:rPr>
          <w:rFonts w:ascii="Times New Roman" w:hAnsi="Times New Roman" w:cs="Times New Roman"/>
          <w:sz w:val="24"/>
          <w:szCs w:val="24"/>
        </w:rPr>
        <w:lastRenderedPageBreak/>
        <w:t xml:space="preserve">and sustain action toward desired and valued goals (e.g., "I am ready," "I have what it takes") and the ability to access the strategies or potential pathways to pursue those goals ("I have a plan," "I know how to get to my goals"). Goals, pathways, and agency thinking form the individual's overall hope (Snyder et al., 1994). </w:t>
      </w:r>
    </w:p>
    <w:p w14:paraId="5BDC6948" w14:textId="77777777" w:rsidR="00D0519D" w:rsidRPr="00442034" w:rsidRDefault="00D0519D" w:rsidP="00D0519D">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Psychometrics established to measure hope have demonstrated that hope is positively linked to greater self-worth and life satisfaction among children and youth (Marques et al., 2015). In addition, hope has also been associated with positive behaviors, healthy relationships, and academic success (Hellman et al., 2017; Marques &amp; Lopez, 2018; Sulimani-Aidan et al., 2019). </w:t>
      </w:r>
    </w:p>
    <w:p w14:paraId="31BFDAE8" w14:textId="77777777" w:rsidR="00D0519D" w:rsidRPr="00442034" w:rsidRDefault="00D0519D" w:rsidP="00D0519D">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Hope is closely related to other positive psychological constructs, such as self-efficacy, optimism, and resiliency, but hope has distinct conceptual and empirical differences between the constructs. For example, Bandura (1977) defined self-efficacy as the perceived ability to act on the necessary behaviors to achieve goals but less emphasizes one's intention to act. In contrast, hope includes the intention to act through pathways thinking (Rand, 2018). In addition, self-efficacy is generally the belief that you can do something but not consider </w:t>
      </w:r>
      <w:r w:rsidRPr="00442034">
        <w:rPr>
          <w:rFonts w:ascii="Times New Roman" w:hAnsi="Times New Roman" w:cs="Times New Roman"/>
          <w:i/>
          <w:iCs/>
          <w:sz w:val="24"/>
          <w:szCs w:val="24"/>
        </w:rPr>
        <w:t>if</w:t>
      </w:r>
      <w:r w:rsidRPr="00442034">
        <w:rPr>
          <w:rFonts w:ascii="Times New Roman" w:hAnsi="Times New Roman" w:cs="Times New Roman"/>
          <w:sz w:val="24"/>
          <w:szCs w:val="24"/>
        </w:rPr>
        <w:t xml:space="preserve"> you have pathways to take the associated actions (Snyder, 1994). </w:t>
      </w:r>
    </w:p>
    <w:p w14:paraId="283DB167" w14:textId="77777777"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Optimism, like hope, focuses on future expectations, and each is organized around goal-focused attention. Optimism, or optimistic thinking, is when one generally considers that good rather than negative events are likely to occur (Carver &amp; Scheier, 1985). However, optimism does not focus on one’s control over the desired future and the outcomes (Rand, 2018). For example, one could be optimistic primarily from external forces (e.g., luck, God, destiny). In contrast, hope directly assesses the individual's goal-seeking, including the perceived ability ("I </w:t>
      </w:r>
      <w:r w:rsidRPr="00442034">
        <w:rPr>
          <w:rFonts w:ascii="Times New Roman" w:hAnsi="Times New Roman" w:cs="Times New Roman"/>
          <w:sz w:val="24"/>
          <w:szCs w:val="24"/>
        </w:rPr>
        <w:lastRenderedPageBreak/>
        <w:t xml:space="preserve">can think of many ways to get out of a jam"). Hopeful thinking is active towards the goal, while optimism can be, at times, passive. </w:t>
      </w:r>
    </w:p>
    <w:p w14:paraId="61CB7BF5" w14:textId="77777777"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Finally, resiliency shares some characteristics with hope but lacks a strong empirically driven description and definition. Generally, scholars consider resiliency as one's ability to bounce back after encountering obstacles (Smith et al., 2008; Snyder, 2000; Southwick et al., 2014). In addition, the importance of one's ability to continue to pursue goals despite obstacles is often described as essential to coping with adversity, but studies have found hope and resilience to be distinct psychological states (Muñoz et al., 2019; Ong et al., 2018). At the same time, these concepts all positively affect adversity and share hope theory characteristics; hope theory has a greater practical value. Hope theory provides a succinct model of goals, pathways, and agency (Snyder, 2000, p. 30) that could be adapted into programs as a core value </w:t>
      </w:r>
      <w:proofErr w:type="gramStart"/>
      <w:r w:rsidRPr="00442034">
        <w:rPr>
          <w:rFonts w:ascii="Times New Roman" w:hAnsi="Times New Roman" w:cs="Times New Roman"/>
          <w:sz w:val="24"/>
          <w:szCs w:val="24"/>
        </w:rPr>
        <w:t>similar to</w:t>
      </w:r>
      <w:proofErr w:type="gramEnd"/>
      <w:r w:rsidRPr="00442034">
        <w:rPr>
          <w:rFonts w:ascii="Times New Roman" w:hAnsi="Times New Roman" w:cs="Times New Roman"/>
          <w:sz w:val="24"/>
          <w:szCs w:val="24"/>
        </w:rPr>
        <w:t xml:space="preserve"> the strengths perspective and enhance service delivery by adapting assessments and case planning strategies. And, more importantly, the communication strategies that adults who build connections to youth in foster care use when working with those youth.</w:t>
      </w:r>
    </w:p>
    <w:p w14:paraId="565F410A" w14:textId="77777777" w:rsidR="00D0519D" w:rsidRPr="00442034" w:rsidRDefault="00D0519D" w:rsidP="00D0519D">
      <w:pPr>
        <w:spacing w:line="480" w:lineRule="auto"/>
        <w:contextualSpacing/>
        <w:rPr>
          <w:rFonts w:ascii="Times New Roman" w:hAnsi="Times New Roman" w:cs="Times New Roman"/>
          <w:b/>
          <w:bCs/>
          <w:sz w:val="24"/>
          <w:szCs w:val="24"/>
        </w:rPr>
      </w:pPr>
      <w:r w:rsidRPr="00442034">
        <w:rPr>
          <w:rFonts w:ascii="Times New Roman" w:hAnsi="Times New Roman" w:cs="Times New Roman"/>
          <w:b/>
          <w:bCs/>
          <w:sz w:val="24"/>
          <w:szCs w:val="24"/>
        </w:rPr>
        <w:t xml:space="preserve">Hope and Youth </w:t>
      </w:r>
    </w:p>
    <w:p w14:paraId="1F4F1113" w14:textId="05124DA5" w:rsidR="00D0519D" w:rsidRPr="00442034" w:rsidRDefault="00D0519D" w:rsidP="00D0519D">
      <w:pPr>
        <w:spacing w:line="480" w:lineRule="auto"/>
        <w:ind w:firstLine="720"/>
        <w:contextualSpacing/>
        <w:rPr>
          <w:rFonts w:ascii="Times New Roman" w:hAnsi="Times New Roman" w:cs="Times New Roman"/>
          <w:b/>
          <w:bCs/>
          <w:sz w:val="24"/>
          <w:szCs w:val="24"/>
        </w:rPr>
      </w:pPr>
      <w:r w:rsidRPr="00442034">
        <w:rPr>
          <w:rFonts w:ascii="Times New Roman" w:hAnsi="Times New Roman" w:cs="Times New Roman"/>
          <w:sz w:val="24"/>
          <w:szCs w:val="24"/>
        </w:rPr>
        <w:t xml:space="preserve">Hope theory suggests individuals with higher hope who experience ACEs can use hope as a buffer, allowing them to bounce back faster and achieve their goals by developing pathways to their goals and personal agency or motivation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{"citationID":"6G1wOgMH","properties":{"formattedCitation":"(Snyder 2002)","plainCitation":"(Snyder 2002)","noteIndex":0},"citationItems":[{"id":154,"uris":["http://zotero.org/users/7501598/items/QSEP4FPI"],"itemData":{"id":154,"type":"article-journal","container-title":"Psychological Inquiry","DOI":"10.1207/S15327965PLI1304_01","ISSN":"1047-840X","issue":"4","journalAbbreviation":"null","note":"publisher: Routledge","page":"249-275","title":"TARGET ARTICLE: Hope Theory: Rainbows in the Mind","volume":"13","author":[{"family":"Snyder","given":"C. R."}],"issued":{"date-parts":[["2002",10,1]]}}}],"schema":"https://github.com/citation-style-language/schema/raw/master/csl-citation.json"}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(Snyder 2002)</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r w:rsidRPr="00442034">
        <w:rPr>
          <w:rFonts w:ascii="Times New Roman" w:hAnsi="Times New Roman" w:cs="Times New Roman"/>
          <w:color w:val="000000" w:themeColor="text1"/>
          <w:sz w:val="24"/>
          <w:szCs w:val="24"/>
        </w:rPr>
        <w:t xml:space="preserve"> One study </w:t>
      </w:r>
      <w:r w:rsidR="00E67867" w:rsidRPr="00442034">
        <w:rPr>
          <w:rFonts w:ascii="Times New Roman" w:hAnsi="Times New Roman" w:cs="Times New Roman"/>
          <w:color w:val="000000" w:themeColor="text1"/>
          <w:sz w:val="24"/>
          <w:szCs w:val="24"/>
        </w:rPr>
        <w:t xml:space="preserve">using </w:t>
      </w:r>
      <w:r w:rsidR="00DA6368">
        <w:rPr>
          <w:rFonts w:ascii="Times New Roman" w:hAnsi="Times New Roman" w:cs="Times New Roman"/>
          <w:color w:val="000000" w:themeColor="text1"/>
          <w:sz w:val="24"/>
          <w:szCs w:val="24"/>
        </w:rPr>
        <w:t xml:space="preserve">this theory </w:t>
      </w:r>
      <w:r w:rsidR="00844A2D">
        <w:rPr>
          <w:rFonts w:ascii="Times New Roman" w:hAnsi="Times New Roman" w:cs="Times New Roman"/>
          <w:color w:val="000000" w:themeColor="text1"/>
          <w:sz w:val="24"/>
          <w:szCs w:val="24"/>
        </w:rPr>
        <w:t>f</w:t>
      </w:r>
      <w:r w:rsidRPr="00442034">
        <w:rPr>
          <w:rFonts w:ascii="Times New Roman" w:hAnsi="Times New Roman" w:cs="Times New Roman"/>
          <w:color w:val="000000" w:themeColor="text1"/>
          <w:sz w:val="24"/>
          <w:szCs w:val="24"/>
        </w:rPr>
        <w:t xml:space="preserve">ound that hope has been associated with higher levels of self-control among childhood trauma survivors and may mediate the effects of ACEs (Muñoz et al., 2020). Additionally, a study of hope-focused program intervention among children exposed to domestic violence found that hopeful thinking increases in the child and strengthens their capacity to use other positive character strengths that can be useful for coping with adversity, such as zest, grit, self-control, </w:t>
      </w:r>
      <w:r w:rsidRPr="00442034">
        <w:rPr>
          <w:rFonts w:ascii="Times New Roman" w:hAnsi="Times New Roman" w:cs="Times New Roman"/>
          <w:color w:val="000000" w:themeColor="text1"/>
          <w:sz w:val="24"/>
          <w:szCs w:val="24"/>
        </w:rPr>
        <w:lastRenderedPageBreak/>
        <w:t xml:space="preserve">optimism, gratitude, social </w:t>
      </w:r>
      <w:proofErr w:type="gramStart"/>
      <w:r w:rsidRPr="00442034">
        <w:rPr>
          <w:rFonts w:ascii="Times New Roman" w:hAnsi="Times New Roman" w:cs="Times New Roman"/>
          <w:color w:val="000000" w:themeColor="text1"/>
          <w:sz w:val="24"/>
          <w:szCs w:val="24"/>
        </w:rPr>
        <w:t>intelligence</w:t>
      </w:r>
      <w:proofErr w:type="gramEnd"/>
      <w:r w:rsidRPr="00442034">
        <w:rPr>
          <w:rFonts w:ascii="Times New Roman" w:hAnsi="Times New Roman" w:cs="Times New Roman"/>
          <w:color w:val="000000" w:themeColor="text1"/>
          <w:sz w:val="24"/>
          <w:szCs w:val="24"/>
        </w:rPr>
        <w:t xml:space="preserve"> and curiosity (Hellman &amp; Gwinn, 2017). Within positive psychology, hope has been thought to be a </w:t>
      </w:r>
      <w:r w:rsidRPr="00442034">
        <w:rPr>
          <w:rFonts w:ascii="Times New Roman" w:hAnsi="Times New Roman" w:cs="Times New Roman"/>
          <w:i/>
          <w:iCs/>
          <w:color w:val="000000" w:themeColor="text1"/>
          <w:sz w:val="24"/>
          <w:szCs w:val="24"/>
        </w:rPr>
        <w:t>Velcro concept</w:t>
      </w:r>
      <w:r w:rsidRPr="00442034">
        <w:rPr>
          <w:rFonts w:ascii="Times New Roman" w:hAnsi="Times New Roman" w:cs="Times New Roman"/>
          <w:color w:val="000000" w:themeColor="text1"/>
          <w:sz w:val="24"/>
          <w:szCs w:val="24"/>
        </w:rPr>
        <w:t xml:space="preserve"> because it is positively correlated with many other variables of well-being (Peterson &amp; Seligman, 2004). Conversely, lower hope among youth leads to poorer self-concept, greater perceived barriers, and less effort to achieve their goals </w:t>
      </w:r>
      <w:r w:rsidRPr="00442034">
        <w:rPr>
          <w:rFonts w:ascii="Times New Roman" w:hAnsi="Times New Roman" w:cs="Times New Roman"/>
          <w:color w:val="000000" w:themeColor="text1"/>
          <w:sz w:val="24"/>
          <w:szCs w:val="24"/>
        </w:rPr>
        <w:fldChar w:fldCharType="begin"/>
      </w:r>
      <w:r w:rsidR="00B17A86">
        <w:rPr>
          <w:rFonts w:ascii="Times New Roman" w:hAnsi="Times New Roman" w:cs="Times New Roman"/>
          <w:color w:val="000000" w:themeColor="text1"/>
          <w:sz w:val="24"/>
          <w:szCs w:val="24"/>
        </w:rPr>
        <w:instrText xml:space="preserve"> ADDIN ZOTERO_ITEM CSL_CITATION {"citationID":"gGL9CVTH","properties":{"formattedCitation":"(Baxter et al. 2017)","plainCitation":"(Baxter et al. 2017)","noteIndex":0},"citationItems":[{"id":128,"uris":["http://zotero.org/users/7501598/items/GZNL2W5S",["http://zotero.org/users/7501598/items/GZNL2W5S"]],"itemData":{"id":128,"type":"article-journal","container-title":"Journal of Child Sexual Abuse","DOI":"10.1080/10538712.2017.1365319","ISSN":"1053-8712, 1547-0679","issue":"8","journalAbbreviation":"Journal of Child Sexual Abuse","language":"en","page":"948-956","source":"DOI.org (Crossref)","title":"Exploring the Relationship Between Adverse Childhood Experiences and Hope","volume":"26","author":[{"family":"Baxter","given":"Michael A."},{"family":"Hemming","given":"Eden J."},{"family":"McIntosh","given":"Heather C."},{"family":"Hellman","given":"Chan M."}],"issued":{"date-parts":[["2017",11,17]]}}}],"schema":"https://github.com/citation-style-language/schema/raw/master/csl-citation.json"} </w:instrText>
      </w:r>
      <w:r w:rsidRPr="00442034">
        <w:rPr>
          <w:rFonts w:ascii="Times New Roman" w:hAnsi="Times New Roman" w:cs="Times New Roman"/>
          <w:color w:val="000000" w:themeColor="text1"/>
          <w:sz w:val="24"/>
          <w:szCs w:val="24"/>
        </w:rPr>
        <w:fldChar w:fldCharType="separate"/>
      </w:r>
      <w:r w:rsidR="006F0E9B" w:rsidRPr="00442034">
        <w:rPr>
          <w:rFonts w:ascii="Times New Roman" w:hAnsi="Times New Roman" w:cs="Times New Roman"/>
          <w:noProof/>
          <w:color w:val="000000" w:themeColor="text1"/>
          <w:sz w:val="24"/>
          <w:szCs w:val="24"/>
        </w:rPr>
        <w:t>(Baxter et al. 2017)</w:t>
      </w:r>
      <w:r w:rsidRPr="00442034">
        <w:rPr>
          <w:rFonts w:ascii="Times New Roman" w:hAnsi="Times New Roman" w:cs="Times New Roman"/>
          <w:color w:val="000000" w:themeColor="text1"/>
          <w:sz w:val="24"/>
          <w:szCs w:val="24"/>
        </w:rPr>
        <w:fldChar w:fldCharType="end"/>
      </w:r>
      <w:r w:rsidRPr="00442034">
        <w:rPr>
          <w:rFonts w:ascii="Times New Roman" w:hAnsi="Times New Roman" w:cs="Times New Roman"/>
          <w:color w:val="000000" w:themeColor="text1"/>
          <w:sz w:val="24"/>
          <w:szCs w:val="24"/>
        </w:rPr>
        <w:t xml:space="preserve">. Distress from traumatic experiences, such as involvement in the foster care system, may also lead to intrusive thoughts that distract individuals from thinking about their goals, known as </w:t>
      </w:r>
      <w:r w:rsidRPr="00442034">
        <w:rPr>
          <w:rFonts w:ascii="Times New Roman" w:hAnsi="Times New Roman" w:cs="Times New Roman"/>
          <w:i/>
          <w:iCs/>
          <w:color w:val="000000" w:themeColor="text1"/>
          <w:sz w:val="24"/>
          <w:szCs w:val="24"/>
        </w:rPr>
        <w:t>attention robbing</w:t>
      </w:r>
      <w:r w:rsidRPr="00442034">
        <w:rPr>
          <w:rFonts w:ascii="Times New Roman" w:hAnsi="Times New Roman" w:cs="Times New Roman"/>
          <w:color w:val="000000" w:themeColor="text1"/>
          <w:sz w:val="24"/>
          <w:szCs w:val="24"/>
        </w:rPr>
        <w:t xml:space="preserve"> </w:t>
      </w:r>
      <w:r w:rsidRPr="00442034">
        <w:rPr>
          <w:rFonts w:ascii="Times New Roman" w:hAnsi="Times New Roman" w:cs="Times New Roman"/>
          <w:color w:val="000000" w:themeColor="text1"/>
          <w:sz w:val="24"/>
          <w:szCs w:val="24"/>
        </w:rPr>
        <w:fldChar w:fldCharType="begin"/>
      </w:r>
      <w:r w:rsidR="00B17A86">
        <w:rPr>
          <w:rFonts w:ascii="Times New Roman" w:hAnsi="Times New Roman" w:cs="Times New Roman"/>
          <w:color w:val="000000" w:themeColor="text1"/>
          <w:sz w:val="24"/>
          <w:szCs w:val="24"/>
        </w:rPr>
        <w:instrText xml:space="preserve"> ADDIN ZOTERO_ITEM CSL_CITATION {"citationID":"WrIM64kJ","properties":{"formattedCitation":"(Munoz et al., 2018)","plainCitation":"(Munoz et al., 2018)","dontUpdate":true,"noteIndex":0},"citationItems":[{"id":107,"uris":["http://zotero.org/users/7501598/items/NEEHKN7W"],"itemData":{"id":107,"type":"article-journal","container-title":"Traumatology","DOI":"10.1037/trm0000149","ISSN":"1085-9373","issue":"3","note":"publisher: US: Educational Publishing Foundation","page":"209","source":"psycnet.apa.org","title":"Adverse childhood experiences and posttraumatic stress as an antecedent of anxiety and lower hope.","volume":"24","author":[{"family":"Munoz","given":"Ricky T."},{"family":"Pearson","given":"Lydia C."},{"family":"Hellman","given":"Chan M."},{"family":"McIntosh","given":"Heather Chancellor"},{"family":"Khojasteh","given":"Jam"},{"family":"Fox","given":"Mark D."}],"issued":{"date-parts":[["2018"]]}}}],"schema":"https://github.com/citation-style-language/schema/raw/master/csl-citation.json"} </w:instrText>
      </w:r>
      <w:r w:rsidRPr="00442034">
        <w:rPr>
          <w:rFonts w:ascii="Times New Roman" w:hAnsi="Times New Roman" w:cs="Times New Roman"/>
          <w:color w:val="000000" w:themeColor="text1"/>
          <w:sz w:val="24"/>
          <w:szCs w:val="24"/>
        </w:rPr>
        <w:fldChar w:fldCharType="separate"/>
      </w:r>
      <w:r w:rsidRPr="00442034">
        <w:rPr>
          <w:rFonts w:ascii="Times New Roman" w:hAnsi="Times New Roman" w:cs="Times New Roman"/>
          <w:noProof/>
          <w:color w:val="000000" w:themeColor="text1"/>
          <w:sz w:val="24"/>
          <w:szCs w:val="24"/>
        </w:rPr>
        <w:t>(Muñoz et al., 2018)</w:t>
      </w:r>
      <w:r w:rsidRPr="00442034">
        <w:rPr>
          <w:rFonts w:ascii="Times New Roman" w:hAnsi="Times New Roman" w:cs="Times New Roman"/>
          <w:color w:val="000000" w:themeColor="text1"/>
          <w:sz w:val="24"/>
          <w:szCs w:val="24"/>
        </w:rPr>
        <w:fldChar w:fldCharType="end"/>
      </w:r>
      <w:r w:rsidRPr="00442034">
        <w:rPr>
          <w:rFonts w:ascii="Times New Roman" w:hAnsi="Times New Roman" w:cs="Times New Roman"/>
          <w:color w:val="000000" w:themeColor="text1"/>
          <w:sz w:val="24"/>
          <w:szCs w:val="24"/>
        </w:rPr>
        <w:t xml:space="preserve">. For </w:t>
      </w:r>
      <w:r w:rsidRPr="00442034">
        <w:rPr>
          <w:rFonts w:ascii="Times New Roman" w:hAnsi="Times New Roman" w:cs="Times New Roman"/>
          <w:sz w:val="24"/>
          <w:szCs w:val="24"/>
        </w:rPr>
        <w:t xml:space="preserve">LGB youth in foster care, with the likelihood of poly-victimization and the additional adversities they face due to their sexual identity, hope may be a critical coping strategy to nurture, develop, and model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{"citationID":"UDLzxp4B","properties":{"formattedCitation":"(Fish et al. 2019)","plainCitation":"(Fish et al. 2019)","noteIndex":0},"citationItems":[{"id":150,"uris":["http://zotero.org/users/7501598/items/LFVXHAYH"],"itemData":{"id":150,"type":"article-journal","abstract":"Background\nPreliminary evidence suggests that sexual minority (e.g. lesbian, gay, bisexual, and same-sex attracted) youth are overrepresented in child welfare services. Yet, no study to date has been able to test this hypothesis with national data.\nObjective\nUsing a two-study design, we test whether sexual minority youth are overrepresented in child welfare, foster care, and out-of-home placement using nationally representative data from the United States.\nParticipants and setting\nStudy 1 data are from the National Longitudinal Study of Adolescent to Adult Health (n = 14,154; Mean age = 15.4). Study 2 data are from wave three of the National Survey of Child and Adolescent Well-Being II (n = 1309; Mean age = 15.0).\nMethods\nFor Study 1, we use adjusted logistic regression models to test differences in lifetime foster care involvement between sexual minority and heterosexual youth. In Study 2, we calculate a Disproportionality Representation Index (DRI) – a ratio of sample prevalence relative to the general population – to estimate whether sexual minority youth were overrepresented in child welfare and out-of-home care.\nResults\nStudy 1 results indicate that sexual minority youth are nearly 2.5 times as likely as heterosexual youth to experience foster care placement (aOR = 2.43, 95% CI 1.40, 4.21, p = .002). Results from Study 2 show that sexual minority youth were largely overrepresented in child welfare services (DRI = 1.95–2.48) and out-of-home placement (DRI = 3.69–4.68).\nConclusions\nFindings are the first to demonstrate sexual minority youth’s overrepresentation in child welfare, foster care, and out-of-home placement using nationally representative data and emphasizes the need for focused research on sexual minority youth involved in the child welfare system.","container-title":"Child Abuse &amp; Neglect","DOI":"10.1016/j.chiabu.2019.01.005","ISSN":"0145-2134","journalAbbreviation":"Child Abuse &amp; Neglect","page":"203-211","title":"Are sexual minority youth overrepresented in foster care, child welfare, and out-of-home placement? Findings from nationally representative data","volume":"89","author":[{"family":"Fish","given":"Jessica N."},{"family":"Baams","given":"Laura"},{"family":"Wojciak","given":"Armeda Stevenson"},{"family":"Russell","given":"Stephen T."}],"issued":{"date-parts":[["2019",3,1]]}}}],"schema":"https://github.com/citation-style-language/schema/raw/master/csl-citation.json"}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(Fish et al.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Hope can be acquired through positive relationships with caring and supportive adults and mentoring style relationships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{"citationID":"JFuWBCNl","properties":{"formattedCitation":"(Sulimani-Aidan et al. 2018)","plainCitation":"(Sulimani-Aidan et al. 2018)","noteIndex":0},"citationItems":[{"id":106,"uris":["http://zotero.org/users/7501598/items/WGDS4564",["http://zotero.org/users/7501598/items/WGDS4564"]],"itemData":{"id":106,"type":"article-journal","container-title":"American Journal of Orthopsychiatry","DOI":"10.1037/ort0000320","ISSN":"1939-0025","issue":"2","note":"publisher: US: Educational Publishing Foundation","page":"134","source":"psycnet.apa.org","title":"Nurturing the hope of youth in care: The contribution of mentoring.","title-short":"Nurturing the hope of youth in care","volume":"89","author":[{"family":"Sulimani-Aidan","given":"Yafit"},{"family":"Melkman","given":"Eran"},{"family":"Hellman","given":"Chan M."}],"issued":{"date-parts":[["2018"]]}}}],"schema":"https://github.com/citation-style-language/schema/raw/master/csl-citation.json"}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(Sulimani-Aidan et al.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374EC3B8" w14:textId="77777777" w:rsidR="00D0519D" w:rsidRPr="00442034" w:rsidRDefault="00D0519D" w:rsidP="00D0519D">
      <w:pPr>
        <w:spacing w:line="480" w:lineRule="auto"/>
        <w:contextualSpacing/>
        <w:rPr>
          <w:rFonts w:ascii="Times New Roman" w:hAnsi="Times New Roman" w:cs="Times New Roman"/>
          <w:b/>
          <w:bCs/>
          <w:sz w:val="24"/>
          <w:szCs w:val="24"/>
        </w:rPr>
      </w:pPr>
      <w:r w:rsidRPr="00442034">
        <w:rPr>
          <w:rFonts w:ascii="Times New Roman" w:hAnsi="Times New Roman" w:cs="Times New Roman"/>
          <w:b/>
          <w:bCs/>
          <w:sz w:val="24"/>
          <w:szCs w:val="24"/>
        </w:rPr>
        <w:t>Caseworkers as External Locus of Hope</w:t>
      </w:r>
    </w:p>
    <w:p w14:paraId="63B73E10" w14:textId="77777777" w:rsidR="00D0519D" w:rsidRPr="00442034" w:rsidRDefault="00D0519D" w:rsidP="00D0519D">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The locus of Hope theory extends Snyder’s original theory that hope goal attainment is from an internal agency to acknowledge the presence of important external agents of goal attainment (Bernardo, 2010). The external locus of hope theory extends Snyder’s conceptualization to include possible external agents, such as parents, caregivers, and peers, who are essential for goal attainment when a person cannot independently identify and navigate viable pathways to their goals. External agents are necessary for children and youth who are still learning and developing goal-focused cognitions but may become particularly important for youth with child welfare system involvement. For example, LGB youth may have goals for college enrollment but may not be able to identify any actionable strategies to achieve their goals while in foster care settings. However, from the relationship with the caseworkers, youth may better understand their motivation for their goals or identity pathways for those goals in a way </w:t>
      </w:r>
      <w:r w:rsidRPr="00442034">
        <w:rPr>
          <w:rFonts w:ascii="Times New Roman" w:hAnsi="Times New Roman" w:cs="Times New Roman"/>
          <w:sz w:val="24"/>
          <w:szCs w:val="24"/>
        </w:rPr>
        <w:lastRenderedPageBreak/>
        <w:t>that makes goal attainment possible. Therefore, caseworkers may represent one source of external hope for LGB and non-LGB youth in foster care. In interviews conducted among youth aging out of foster care, researchers found that most participants cited professionals such as child welfare workers as key supportive adults during their transition to adulthood (Collins et al., 2010; Paul, 2020; Rosenberg, 2019). As LGB youth in foster care are more likely to experience placement instability (Baams et al., 2019), caseworkers are reported by youth as an individual in their stable support network for LGBTQ youth (Paul, 2020). According to Paul (2020), caseworkers knowledgeable about LGBTQ issues can provide specific forms of support surrounding romantic relationships and gender identity while providing positive experiences for youth (Paul, 2020). Relational approaches, or ways of communicating and interacting with youth, that prioritize relationships and social interactions with youth in foster care demonstrate pathways-thinking and positive development (Izzo et al., 2021).</w:t>
      </w:r>
    </w:p>
    <w:p w14:paraId="07D4CBF3" w14:textId="77777777"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For this current study, the external locus of hope theory principles has been adapted using the </w:t>
      </w:r>
      <w:r w:rsidRPr="00442034">
        <w:rPr>
          <w:rFonts w:ascii="Times New Roman" w:hAnsi="Times New Roman" w:cs="Times New Roman"/>
          <w:i/>
          <w:iCs/>
          <w:sz w:val="24"/>
          <w:szCs w:val="24"/>
        </w:rPr>
        <w:t>Hope for</w:t>
      </w:r>
      <w:r w:rsidRPr="00442034">
        <w:rPr>
          <w:rFonts w:ascii="Times New Roman" w:hAnsi="Times New Roman" w:cs="Times New Roman"/>
          <w:sz w:val="24"/>
          <w:szCs w:val="24"/>
        </w:rPr>
        <w:t xml:space="preserve"> </w:t>
      </w:r>
      <w:r w:rsidRPr="00442034">
        <w:rPr>
          <w:rFonts w:ascii="Times New Roman" w:hAnsi="Times New Roman" w:cs="Times New Roman"/>
          <w:i/>
          <w:iCs/>
          <w:sz w:val="24"/>
          <w:szCs w:val="24"/>
        </w:rPr>
        <w:t>Change Through Counseling Services Scale</w:t>
      </w:r>
      <w:r w:rsidRPr="00442034">
        <w:rPr>
          <w:rFonts w:ascii="Times New Roman" w:hAnsi="Times New Roman" w:cs="Times New Roman"/>
          <w:sz w:val="24"/>
          <w:szCs w:val="24"/>
        </w:rPr>
        <w:t xml:space="preserve"> (Bartholomew, 2015) to explore the caseworker as an external locus of hope for LGB youth in foster care. The </w:t>
      </w:r>
      <w:r w:rsidRPr="00442034">
        <w:rPr>
          <w:rFonts w:ascii="Times New Roman" w:hAnsi="Times New Roman" w:cs="Times New Roman"/>
          <w:i/>
          <w:iCs/>
          <w:sz w:val="24"/>
          <w:szCs w:val="24"/>
        </w:rPr>
        <w:t xml:space="preserve">Hope for Change Through Counseling Services Scale </w:t>
      </w:r>
      <w:r w:rsidRPr="00442034">
        <w:rPr>
          <w:rFonts w:ascii="Times New Roman" w:hAnsi="Times New Roman" w:cs="Times New Roman"/>
          <w:sz w:val="24"/>
          <w:szCs w:val="24"/>
        </w:rPr>
        <w:t xml:space="preserve">was developed for use in clinical settings because clients' hope in external agents, such as the counselor, is an essential predictor for successful therapeutic relationships. It is theorized that a vital aspect of treatment outcomes is the client's hope. The presence of hope in therapy and positive cognitions about the future contribute to a positive change environment. Therapy is a collaborative process with the client, where the therapist proposes an intervention or course of action that the client sees as viable. In this collaboration, the hope for change also increases (Bartholomew, 2015). The client's hope may increase when they feel comfortable and safe within the supportive working relationship (Bartholomew, 2015), </w:t>
      </w:r>
      <w:r w:rsidRPr="00442034">
        <w:rPr>
          <w:rFonts w:ascii="Times New Roman" w:hAnsi="Times New Roman" w:cs="Times New Roman"/>
          <w:sz w:val="24"/>
          <w:szCs w:val="24"/>
        </w:rPr>
        <w:lastRenderedPageBreak/>
        <w:t xml:space="preserve">and their hope will likely increase throughout services (Gallagher et al., 2020). Studies have demonstrated that increases in the therapeutic alliance or working relationship predicted increases in hopeful thinking and decreased distress (Bartholomew et al., 2021). </w:t>
      </w:r>
    </w:p>
    <w:p w14:paraId="09A0DE7B" w14:textId="6D6BC2EE" w:rsidR="00D0519D" w:rsidRPr="00442034" w:rsidRDefault="00D0519D" w:rsidP="00D0519D">
      <w:pPr>
        <w:spacing w:line="480" w:lineRule="auto"/>
        <w:ind w:firstLine="720"/>
        <w:contextualSpacing/>
        <w:rPr>
          <w:rFonts w:ascii="Times New Roman" w:hAnsi="Times New Roman" w:cs="Times New Roman"/>
          <w:color w:val="000000" w:themeColor="text1"/>
          <w:sz w:val="24"/>
          <w:szCs w:val="24"/>
        </w:rPr>
      </w:pPr>
      <w:r w:rsidRPr="00442034">
        <w:rPr>
          <w:rFonts w:ascii="Times New Roman" w:hAnsi="Times New Roman" w:cs="Times New Roman"/>
          <w:sz w:val="24"/>
          <w:szCs w:val="24"/>
        </w:rPr>
        <w:t xml:space="preserve">Child welfare caseworkers have a relationship with the youth that, while not necessarily therapeutic, is a relationship in which there is an expectation of a cooperative and supportive relationship between the client and the worker and is comprised of goals, bonds, and tasks with expectations about the future. Child welfare caseworkers also play a pivotal role for youth and influence the types of services and benefits youth can access as they maneuver youth through the complex child welfare and legal systems. In interviews conducted among youth aging out of foster care, researchers found that most participants cited professional support, such as child welfare workers, as critical support during their transition into adulthood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{"citationID":"IpxOqmuW","properties":{"formattedCitation":"(Collins et al. 2010)","plainCitation":"(Collins et al. 2010)","noteIndex":0},"citationItems":[{"id":434,"uris":["http://zotero.org/users/7501598/items/8FTLU6W7"],"itemData":{"id":434,"type":"article-journal","abstract":"Social support is needed by everyone, but particularly by vulnerable populations at times of transition. This study utilizes data collected from 96 former foster youth regarding supports they received during the transition from care. The report addresses three questions: (1) What types of supportive relationships did the sample report? (2) What are the characteristics of supportive relationships? (3) What is the relationship of social support to outcomes? Based on the analysis, the authors draw implications for intervention and research.","container-title":"Child welfare","journalAbbreviation":"Child welfare","page":"125-43","source":"ResearchGate","title":"Supporting Youth in the Transition from Foster Care: Formal and Informal Connections","title-short":"Supporting Youth in the Transition from Foster Care","volume":"89","author":[{"family":"Collins","given":"Mary"},{"family":"Spencer","given":"Renée"},{"family":"Ward","given":"Rolanda"}],"issued":{"date-parts":[["2010",1,1]]}}}],"schema":"https://github.com/citation-style-language/schema/raw/master/csl-citation.json"}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(Collins et al. 2010)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Among LGB youth preparing to transition from foster care into adulthood, 95% identified their caseworker among their support network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{"citationID":"K87IkXlX","properties":{"formattedCitation":"(Paul 2020b)","plainCitation":"(Paul 2020b)","noteIndex":0},"citationItems":[{"id":299,"uris":["http://zotero.org/users/7501598/items/TKMT5WAI",["http://zotero.org/users/7501598/items/TKMT5WAI"]],"itemData":{"id":299,"type":"article-journal","abstract":"Former foster youth are often uniquely disenfranchised, as many suffer from a lack of support (e.g., financial, informational, emotional) resulting from their involvement in foster care. Although all youth who exit foster care as adults may have difficulty accessing the support they need to become healthy-functioning adults, these issues may be exacerbated for LGBTQ (lesbian, gay, bisexual, transgender, queer and questioning) youth who face added health and wellbeing challenges associated with their sexual and/or gender minority statuses. This study used face-to-face, qualitative interviewing and eco-mapping techniques to explore the experiences and perspectives of 21 LGBTQ foster youth, ages 17–21, to identify and describe who provides them with support, the kinds of support they have received, and whether there were any specific support-related needs and challenges they may be experiencing during this critical time. Results revealed that although many LGBTQ foster youth included a variety of child welfare professionals (e.g., caseworkers, foster parents) and other service providers (e.g., teachers, therapists) within their support networks, the majority experienced several unmet needs and challenges—most of which were associated with their sexual and/or gender minority statuses. Multiple themes were identified, including a lack of attention to safety and protection from risks of harm and access to essential care and services (e.g., LGBTQ affirming health care, safe and supportive housing, LGBTQ community-based resources, guidance related to LGBTQ identity development). Results provide initial understanding and awareness of some of the support-related issues and challenges faced by these youth, and help to build a framework of knowledge from which to develop further hypotheses regarding how LGBTQ youth are faring in our nation’s child welfare system. Implications for child welfare policy, practice, and research are discussed.","container-title":"Children and Youth Services Review","DOI":"10.1016/j.childyouth.2020.105481","ISSN":"0190-7409","journalAbbreviation":"Children and Youth Services Review","language":"en","page":"105481","source":"ScienceDirect","title":"Exploring support for LGBTQ youth transitioning from foster care to emerging adulthood","volume":"119","author":[{"family":"Paul","given":"June C."}],"issued":{"date-parts":[["2020",12,1]]}}}],"schema":"https://github.com/citation-style-language/schema/raw/master/csl-citation.json"}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(Paul 2020b)</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t>
      </w:r>
    </w:p>
    <w:p w14:paraId="7B83C6CF" w14:textId="77777777" w:rsidR="00D0519D" w:rsidRPr="00442034" w:rsidRDefault="00D0519D" w:rsidP="00D0519D">
      <w:pPr>
        <w:spacing w:line="480" w:lineRule="auto"/>
        <w:contextualSpacing/>
        <w:rPr>
          <w:rFonts w:ascii="Times New Roman" w:hAnsi="Times New Roman" w:cs="Times New Roman"/>
          <w:b/>
          <w:bCs/>
          <w:sz w:val="24"/>
          <w:szCs w:val="24"/>
        </w:rPr>
      </w:pPr>
      <w:r w:rsidRPr="00442034">
        <w:rPr>
          <w:rFonts w:ascii="Times New Roman" w:hAnsi="Times New Roman" w:cs="Times New Roman"/>
          <w:b/>
          <w:bCs/>
          <w:sz w:val="24"/>
          <w:szCs w:val="24"/>
        </w:rPr>
        <w:t>The Current Study</w:t>
      </w:r>
    </w:p>
    <w:p w14:paraId="096EE0E6" w14:textId="77777777" w:rsidR="00D0519D" w:rsidRPr="00442034" w:rsidRDefault="00D0519D" w:rsidP="00D0519D">
      <w:pPr>
        <w:spacing w:line="480" w:lineRule="auto"/>
        <w:contextualSpacing/>
        <w:rPr>
          <w:rFonts w:ascii="Times New Roman" w:hAnsi="Times New Roman" w:cs="Times New Roman"/>
          <w:sz w:val="24"/>
          <w:szCs w:val="24"/>
        </w:rPr>
      </w:pPr>
      <w:r w:rsidRPr="00442034">
        <w:rPr>
          <w:rFonts w:ascii="Times New Roman" w:hAnsi="Times New Roman" w:cs="Times New Roman"/>
          <w:b/>
          <w:bCs/>
          <w:sz w:val="24"/>
          <w:szCs w:val="24"/>
        </w:rPr>
        <w:tab/>
      </w:r>
      <w:r w:rsidRPr="00442034">
        <w:rPr>
          <w:rFonts w:ascii="Times New Roman" w:hAnsi="Times New Roman" w:cs="Times New Roman"/>
          <w:sz w:val="24"/>
          <w:szCs w:val="24"/>
        </w:rPr>
        <w:t xml:space="preserve">Our study examines the relationship between LGB status, ACEs, and the caseworker as an external locus of hope among youth in foster care. Our research addresses three research questions: (1) For youth in foster care, how do LGB youth compare to their non-LGB counterparts on ACEs and the relationship of the caseworker as an external locus of hope? (2) For youth in foster care, how is LGB identity associated with caseworkers as an external locus of hope controlling other factors, including ACEs? (3) Finally, for youth in foster care, how do high ACEs and LGB status interact to influence hope in the caseworker? </w:t>
      </w:r>
    </w:p>
    <w:p w14:paraId="7DB68808" w14:textId="4EF5010F" w:rsidR="00D0519D" w:rsidRPr="00442034" w:rsidRDefault="00D0519D" w:rsidP="00D0519D">
      <w:pPr>
        <w:spacing w:line="480" w:lineRule="auto"/>
        <w:contextualSpacing/>
        <w:jc w:val="center"/>
        <w:rPr>
          <w:rFonts w:ascii="Times New Roman" w:hAnsi="Times New Roman" w:cs="Times New Roman"/>
          <w:b/>
          <w:bCs/>
          <w:sz w:val="24"/>
          <w:szCs w:val="24"/>
        </w:rPr>
      </w:pPr>
      <w:r w:rsidRPr="00442034">
        <w:rPr>
          <w:rFonts w:ascii="Times New Roman" w:hAnsi="Times New Roman" w:cs="Times New Roman"/>
          <w:b/>
          <w:bCs/>
          <w:sz w:val="24"/>
          <w:szCs w:val="24"/>
        </w:rPr>
        <w:t>Method</w:t>
      </w:r>
      <w:r w:rsidR="00880A6D">
        <w:rPr>
          <w:rFonts w:ascii="Times New Roman" w:hAnsi="Times New Roman" w:cs="Times New Roman"/>
          <w:b/>
          <w:bCs/>
          <w:sz w:val="24"/>
          <w:szCs w:val="24"/>
        </w:rPr>
        <w:t>s</w:t>
      </w:r>
    </w:p>
    <w:p w14:paraId="5E8D88C0" w14:textId="77777777" w:rsidR="00D0519D" w:rsidRPr="00442034" w:rsidRDefault="00D0519D" w:rsidP="00D0519D">
      <w:pPr>
        <w:spacing w:line="480" w:lineRule="auto"/>
        <w:contextualSpacing/>
        <w:rPr>
          <w:rFonts w:ascii="Times New Roman" w:hAnsi="Times New Roman" w:cs="Times New Roman"/>
          <w:b/>
          <w:bCs/>
          <w:sz w:val="24"/>
          <w:szCs w:val="24"/>
        </w:rPr>
      </w:pPr>
      <w:r w:rsidRPr="00442034">
        <w:rPr>
          <w:rFonts w:ascii="Times New Roman" w:hAnsi="Times New Roman" w:cs="Times New Roman"/>
          <w:b/>
          <w:bCs/>
          <w:sz w:val="24"/>
          <w:szCs w:val="24"/>
        </w:rPr>
        <w:t>Procedure</w:t>
      </w:r>
    </w:p>
    <w:p w14:paraId="76C412AD" w14:textId="77777777" w:rsidR="00D0519D" w:rsidRPr="00442034" w:rsidRDefault="00D0519D" w:rsidP="00D0519D">
      <w:pPr>
        <w:spacing w:line="480" w:lineRule="auto"/>
        <w:contextualSpacing/>
        <w:rPr>
          <w:rFonts w:ascii="Times New Roman" w:hAnsi="Times New Roman" w:cs="Times New Roman"/>
          <w:sz w:val="24"/>
          <w:szCs w:val="24"/>
        </w:rPr>
      </w:pPr>
      <w:r w:rsidRPr="00442034">
        <w:rPr>
          <w:rFonts w:ascii="Times New Roman" w:hAnsi="Times New Roman" w:cs="Times New Roman"/>
          <w:b/>
          <w:bCs/>
          <w:sz w:val="24"/>
          <w:szCs w:val="24"/>
        </w:rPr>
        <w:lastRenderedPageBreak/>
        <w:tab/>
      </w:r>
      <w:r w:rsidRPr="00442034">
        <w:rPr>
          <w:rFonts w:ascii="Times New Roman" w:hAnsi="Times New Roman" w:cs="Times New Roman"/>
          <w:sz w:val="24"/>
          <w:szCs w:val="24"/>
        </w:rPr>
        <w:t xml:space="preserve">This study was one component of a more extensive study examining well-being by examining hopeful thinking of older youth in foster care in a south-central state in the United States. Data reported in this study are from surveys collected from young people aged 14 – 19 who were in state-managed foster care services at data collection, which could be kinship care, foster care, or residential or congregate settings. Young people over 18 who had aged out of the foster care system and into adult services were no longer considered to be in foster care and excluded from the sample. </w:t>
      </w:r>
    </w:p>
    <w:p w14:paraId="5B0D6A63" w14:textId="795C9FF8" w:rsidR="00D0519D" w:rsidRPr="00442034" w:rsidRDefault="00D0519D" w:rsidP="00D0519D">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The state child welfare agency conducted all participant recruitment. Two initial mailings were sent to youth by child welfare agency staff outlining the aim of the study and requesting participation. Each flyer listed a contact number for the child welfare agency and contact information from the author's university. After the mailings, an assigned state agency employee attempted to reach any eligible youth by email or telephone. Additionally, agency staff sent flyers to any residential or group home for foster youth. Youth who completed the study were offered a small incentive by the state agency. Participation and </w:t>
      </w:r>
      <w:r w:rsidR="0032275E" w:rsidRPr="00442034">
        <w:rPr>
          <w:rFonts w:ascii="Times New Roman" w:hAnsi="Times New Roman" w:cs="Times New Roman"/>
          <w:sz w:val="24"/>
          <w:szCs w:val="24"/>
        </w:rPr>
        <w:t>recruitment restricted</w:t>
      </w:r>
      <w:r w:rsidRPr="00442034">
        <w:rPr>
          <w:rFonts w:ascii="Times New Roman" w:hAnsi="Times New Roman" w:cs="Times New Roman"/>
          <w:sz w:val="24"/>
          <w:szCs w:val="24"/>
        </w:rPr>
        <w:t xml:space="preserve"> inpatient care settings, juvenile detention, or youth listed as a runaway. In all the youth recruited for the study accounted for almost 30% of the population of youth in out-of-home placement at the time of data collection. All data were collected from November 2019 – February 2020. Agency staff provided de-identified data to the authors. The university and the state child welfare agency jointly approved all study recruitment materials, consent, and survey items. </w:t>
      </w:r>
    </w:p>
    <w:p w14:paraId="2CB73567" w14:textId="77777777" w:rsidR="00D0519D" w:rsidRPr="00442034" w:rsidRDefault="00D0519D" w:rsidP="00D0519D">
      <w:pPr>
        <w:spacing w:line="480" w:lineRule="auto"/>
        <w:contextualSpacing/>
        <w:rPr>
          <w:rFonts w:ascii="Times New Roman" w:hAnsi="Times New Roman" w:cs="Times New Roman"/>
          <w:sz w:val="24"/>
          <w:szCs w:val="24"/>
        </w:rPr>
      </w:pPr>
      <w:r w:rsidRPr="00442034">
        <w:rPr>
          <w:rFonts w:ascii="Times New Roman" w:hAnsi="Times New Roman" w:cs="Times New Roman"/>
          <w:sz w:val="24"/>
          <w:szCs w:val="24"/>
        </w:rPr>
        <w:tab/>
        <w:t xml:space="preserve">After adjusting </w:t>
      </w:r>
      <w:r w:rsidRPr="00442034">
        <w:rPr>
          <w:rFonts w:ascii="Times New Roman" w:hAnsi="Times New Roman" w:cs="Times New Roman"/>
          <w:color w:val="000000" w:themeColor="text1"/>
          <w:sz w:val="24"/>
          <w:szCs w:val="24"/>
        </w:rPr>
        <w:t xml:space="preserve">for missing data on variables of interest by removing 10 cases through listwise deletion, </w:t>
      </w:r>
      <w:r w:rsidRPr="00442034">
        <w:rPr>
          <w:rFonts w:ascii="Times New Roman" w:hAnsi="Times New Roman" w:cs="Times New Roman"/>
          <w:sz w:val="24"/>
          <w:szCs w:val="24"/>
        </w:rPr>
        <w:t xml:space="preserve">our sample contains responses from 145 youths. For our analysis, we focus on the significant differences up to the .10 level to compensate for the small sample size and to </w:t>
      </w:r>
      <w:r w:rsidRPr="00442034">
        <w:rPr>
          <w:rFonts w:ascii="Times New Roman" w:hAnsi="Times New Roman" w:cs="Times New Roman"/>
          <w:sz w:val="24"/>
          <w:szCs w:val="24"/>
        </w:rPr>
        <w:lastRenderedPageBreak/>
        <w:t xml:space="preserve">avoid issues with underestimation and overlooking meaningful differences (Cheng &amp; Powell, 2005), especially since this is a particularly vulnerable population. </w:t>
      </w:r>
    </w:p>
    <w:p w14:paraId="0B88774E" w14:textId="77777777" w:rsidR="00D0519D" w:rsidRPr="00442034" w:rsidRDefault="00D0519D" w:rsidP="00D0519D">
      <w:pPr>
        <w:spacing w:line="480" w:lineRule="auto"/>
        <w:contextualSpacing/>
        <w:rPr>
          <w:rFonts w:ascii="Times New Roman" w:hAnsi="Times New Roman" w:cs="Times New Roman"/>
          <w:b/>
          <w:bCs/>
          <w:sz w:val="24"/>
          <w:szCs w:val="24"/>
        </w:rPr>
      </w:pPr>
      <w:r w:rsidRPr="00442034">
        <w:rPr>
          <w:rFonts w:ascii="Times New Roman" w:hAnsi="Times New Roman" w:cs="Times New Roman"/>
          <w:b/>
          <w:bCs/>
          <w:sz w:val="24"/>
          <w:szCs w:val="24"/>
        </w:rPr>
        <w:t>Measures</w:t>
      </w:r>
    </w:p>
    <w:p w14:paraId="0D55985F" w14:textId="77777777" w:rsidR="00D0519D" w:rsidRPr="00442034" w:rsidRDefault="00D0519D" w:rsidP="00D0519D">
      <w:pPr>
        <w:spacing w:line="480" w:lineRule="auto"/>
        <w:contextualSpacing/>
        <w:rPr>
          <w:rFonts w:ascii="Times New Roman" w:hAnsi="Times New Roman" w:cs="Times New Roman"/>
          <w:b/>
          <w:bCs/>
          <w:i/>
          <w:iCs/>
          <w:sz w:val="24"/>
          <w:szCs w:val="24"/>
        </w:rPr>
      </w:pPr>
      <w:proofErr w:type="gramStart"/>
      <w:r w:rsidRPr="00442034">
        <w:rPr>
          <w:rFonts w:ascii="Times New Roman" w:hAnsi="Times New Roman" w:cs="Times New Roman"/>
          <w:b/>
          <w:bCs/>
          <w:i/>
          <w:iCs/>
          <w:sz w:val="24"/>
          <w:szCs w:val="24"/>
        </w:rPr>
        <w:t>External  Hope</w:t>
      </w:r>
      <w:proofErr w:type="gramEnd"/>
      <w:r w:rsidRPr="00442034">
        <w:rPr>
          <w:rFonts w:ascii="Times New Roman" w:hAnsi="Times New Roman" w:cs="Times New Roman"/>
          <w:b/>
          <w:bCs/>
          <w:i/>
          <w:iCs/>
          <w:sz w:val="24"/>
          <w:szCs w:val="24"/>
        </w:rPr>
        <w:t xml:space="preserve"> for Change through Case Workers Scale</w:t>
      </w:r>
    </w:p>
    <w:p w14:paraId="27C32E5C" w14:textId="0CA2E8D2"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i/>
          <w:iCs/>
          <w:sz w:val="24"/>
          <w:szCs w:val="24"/>
        </w:rPr>
        <w:t xml:space="preserve"> </w:t>
      </w:r>
      <w:r w:rsidRPr="00442034">
        <w:rPr>
          <w:rFonts w:ascii="Times New Roman" w:hAnsi="Times New Roman" w:cs="Times New Roman"/>
          <w:sz w:val="24"/>
          <w:szCs w:val="24"/>
        </w:rPr>
        <w:t xml:space="preserve">To measure youths’ perceptions of external hope in their caseworkers, the Hope for Change from Counseling Services Scale was used as a foundation (Bartholemew, 2015). The caseworker domain of hope measures the youth’s perception of the caseworker as an external locus of hope. The original Hope for Change through Counseling Scale has demonstrated good internal consistency and validity (Bartholomew et al., 2015). The modified scale uses 10 of the original 19 items, altering the word </w:t>
      </w:r>
      <w:r w:rsidRPr="00442034">
        <w:rPr>
          <w:rFonts w:ascii="Times New Roman" w:hAnsi="Times New Roman" w:cs="Times New Roman"/>
          <w:i/>
          <w:iCs/>
          <w:sz w:val="24"/>
          <w:szCs w:val="24"/>
        </w:rPr>
        <w:t xml:space="preserve">caseworker </w:t>
      </w:r>
      <w:r w:rsidRPr="00442034">
        <w:rPr>
          <w:rFonts w:ascii="Times New Roman" w:hAnsi="Times New Roman" w:cs="Times New Roman"/>
          <w:sz w:val="24"/>
          <w:szCs w:val="24"/>
        </w:rPr>
        <w:t>for the term counselor. For example, the original item question of "my counselor helps me identify ways to improve my</w:t>
      </w:r>
      <w:r w:rsidR="00DA6B5F">
        <w:rPr>
          <w:rFonts w:ascii="Times New Roman" w:hAnsi="Times New Roman" w:cs="Times New Roman"/>
          <w:sz w:val="24"/>
          <w:szCs w:val="24"/>
        </w:rPr>
        <w:t xml:space="preserve"> well-bein</w:t>
      </w:r>
      <w:r w:rsidRPr="00442034">
        <w:rPr>
          <w:rFonts w:ascii="Times New Roman" w:hAnsi="Times New Roman" w:cs="Times New Roman"/>
          <w:sz w:val="24"/>
          <w:szCs w:val="24"/>
        </w:rPr>
        <w:t xml:space="preserve">g" to "my caseworker helps me identify ways to improve my well-being.” The items measure agency (i.e., my visit with my caseworker lifts my spirits or helps me feel good about myself), pathways (i.e., my caseworker can help me see there are a lot of ways to solve problems), and the goal components of hope (i.e., my goals for my case plan are easy for me to understand). Scores range from 10-60 (M= 44.70 SD = 14.34 </w:t>
      </w:r>
      <w:r w:rsidRPr="00442034">
        <w:rPr>
          <w:rFonts w:ascii="Times New Roman" w:hAnsi="Times New Roman" w:cs="Times New Roman"/>
          <w:sz w:val="24"/>
          <w:szCs w:val="24"/>
        </w:rPr>
        <w:sym w:font="Symbol" w:char="F061"/>
      </w:r>
      <w:r w:rsidRPr="00442034">
        <w:rPr>
          <w:rFonts w:ascii="Times New Roman" w:hAnsi="Times New Roman" w:cs="Times New Roman"/>
          <w:sz w:val="24"/>
          <w:szCs w:val="24"/>
        </w:rPr>
        <w:t xml:space="preserve"> = 0.97). See Appendix 1 for the full scale. </w:t>
      </w:r>
    </w:p>
    <w:p w14:paraId="05D63B98" w14:textId="77777777" w:rsidR="00D0519D" w:rsidRPr="00442034" w:rsidRDefault="00D0519D" w:rsidP="00D0519D">
      <w:pPr>
        <w:spacing w:line="480" w:lineRule="auto"/>
        <w:rPr>
          <w:rFonts w:ascii="Times New Roman" w:hAnsi="Times New Roman" w:cs="Times New Roman"/>
          <w:b/>
          <w:bCs/>
          <w:i/>
          <w:iCs/>
          <w:sz w:val="24"/>
          <w:szCs w:val="24"/>
        </w:rPr>
      </w:pPr>
      <w:r w:rsidRPr="00442034">
        <w:rPr>
          <w:rFonts w:ascii="Times New Roman" w:hAnsi="Times New Roman" w:cs="Times New Roman"/>
          <w:b/>
          <w:bCs/>
          <w:i/>
          <w:iCs/>
          <w:sz w:val="24"/>
          <w:szCs w:val="24"/>
        </w:rPr>
        <w:t>Adverse Childhood Experiences</w:t>
      </w:r>
    </w:p>
    <w:p w14:paraId="06B8E43B" w14:textId="58538C5D" w:rsidR="00D0519D" w:rsidRPr="00442034" w:rsidRDefault="00D0519D" w:rsidP="00D0519D">
      <w:pPr>
        <w:spacing w:line="480" w:lineRule="auto"/>
        <w:ind w:firstLine="720"/>
        <w:rPr>
          <w:rFonts w:ascii="Times New Roman" w:hAnsi="Times New Roman" w:cs="Times New Roman"/>
          <w:sz w:val="24"/>
          <w:szCs w:val="24"/>
        </w:rPr>
      </w:pPr>
      <w:r w:rsidRPr="00442034">
        <w:rPr>
          <w:rFonts w:ascii="Times New Roman" w:hAnsi="Times New Roman" w:cs="Times New Roman"/>
          <w:sz w:val="24"/>
          <w:szCs w:val="24"/>
        </w:rPr>
        <w:t xml:space="preserve"> Felitti et al.'s (1998) ACEs scale is a 10-item checklist that measures the occurrence of various adverse childhood experiences before a respondent's 18</w:t>
      </w:r>
      <w:r w:rsidRPr="00442034">
        <w:rPr>
          <w:rFonts w:ascii="Times New Roman" w:hAnsi="Times New Roman" w:cs="Times New Roman"/>
          <w:sz w:val="24"/>
          <w:szCs w:val="24"/>
          <w:vertAlign w:val="superscript"/>
        </w:rPr>
        <w:t>th</w:t>
      </w:r>
      <w:r w:rsidRPr="00442034">
        <w:rPr>
          <w:rFonts w:ascii="Times New Roman" w:hAnsi="Times New Roman" w:cs="Times New Roman"/>
          <w:sz w:val="24"/>
          <w:szCs w:val="24"/>
        </w:rPr>
        <w:t xml:space="preserve"> birthday. Respondents answered </w:t>
      </w:r>
      <w:r w:rsidRPr="00442034">
        <w:rPr>
          <w:rFonts w:ascii="Times New Roman" w:hAnsi="Times New Roman" w:cs="Times New Roman"/>
          <w:i/>
          <w:iCs/>
          <w:sz w:val="24"/>
          <w:szCs w:val="24"/>
        </w:rPr>
        <w:t>Yes</w:t>
      </w:r>
      <w:r w:rsidRPr="00442034">
        <w:rPr>
          <w:rFonts w:ascii="Times New Roman" w:hAnsi="Times New Roman" w:cs="Times New Roman"/>
          <w:sz w:val="24"/>
          <w:szCs w:val="24"/>
        </w:rPr>
        <w:t xml:space="preserve"> or </w:t>
      </w:r>
      <w:r w:rsidRPr="00442034">
        <w:rPr>
          <w:rFonts w:ascii="Times New Roman" w:hAnsi="Times New Roman" w:cs="Times New Roman"/>
          <w:i/>
          <w:iCs/>
          <w:sz w:val="24"/>
          <w:szCs w:val="24"/>
        </w:rPr>
        <w:t xml:space="preserve">No </w:t>
      </w:r>
      <w:r w:rsidRPr="00442034">
        <w:rPr>
          <w:rFonts w:ascii="Times New Roman" w:hAnsi="Times New Roman" w:cs="Times New Roman"/>
          <w:sz w:val="24"/>
          <w:szCs w:val="24"/>
        </w:rPr>
        <w:t xml:space="preserve">to whether they experienced one or more of the following ACEs: emotional abuse, physical abuse, sexual assault, emotional neglect, physical neglect, parent divorce or separation, witnessing their mother being treated violently, family drug or alcohol problems, family mental illness, and having a parent ever go to prison. Given the high prevalence of ACEs </w:t>
      </w:r>
      <w:r w:rsidRPr="00442034">
        <w:rPr>
          <w:rFonts w:ascii="Times New Roman" w:hAnsi="Times New Roman" w:cs="Times New Roman"/>
          <w:sz w:val="24"/>
          <w:szCs w:val="24"/>
        </w:rPr>
        <w:lastRenderedPageBreak/>
        <w:t xml:space="preserve">in the population of youth in foster care, we created a dichotomous variable for respondents who reported eight or more ACE items, representing scores at or above the 75% percentile. Within our sample, 30% of youth had eight or more ACEs. As a comparison, only 10% of youth in the United States report three to eight ACEs, with the state of Oklahoma slightly higher at 13%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{"citationID":"mbV9R9xW","properties":{"formattedCitation":"(Sacks and Murphey 2018)","plainCitation":"(Sacks and Murphey 2018)","noteIndex":0},"citationItems":[{"id":306,"uris":["http://zotero.org/users/7501598/items/9PNBR7DE",["http://zotero.org/users/7501598/items/9PNBR7DE"]],"itemData":{"id":306,"type":"book","abstract":"A growing body of research has made it increasingly apparent that adverse childhood experiences (ACEs) are a critical public health issue. ACEs are potentially traumatic experiences and events, ranging from abuse and neglect to living with an adult with a mental illness. They can have negative, lasting effects on health and well-being in childhood or later in life. \n\nThis brief uses data from the 2016 National Survey of Children’s Health (NSCH) to describe the prevalence of one or more ACEs among children from birth through age 17, as reported by a parent or guardian. The data are representative at national and state levels. The study team estimated the national prevalence of eight specific ACEs and compared the prevalence of these ACEs across states. To examine prevalence differences by race/ethnicity and geography, we used the nine geographic divisions used by the U.S. Census Bureau.\n\nEconomic hardship and divorce or separation of a parent or guardian are the most common ACEs reported nationally, and in all states.\n\nJust under half (45 percent) of children in the United States have experienced at least one ACE, which is similar to the rate of exposure found in a 2011/2012 survey.* In Arkansas, the state with the highest prevalence, 56 percent of children have experienced at least one ACE.\n\nOne in ten children nationally has experienced three or more ACEs, placing them in a category of especially high risk. In five states—Arizona, Arkansas, Montana, New Mexico, and Ohio—as many as one in seven children had experienced three or more ACEs.\n\nChildren of different races and ethnicities do not experience ACEs equally. Nationally, 61 percent of black non-Hispanic children and 51 percent of Hispanic children have experienced at least one ACE, compared with 40 percent of white non-Hispanic children and only 23 percent of Asian non-Hispanic children.\n\nIn every region, the prevalence of ACEs is lowest among Asian non-Hispanic children and, in most regions, is highest among black non-Hispanic children.","source":"ResearchGate","title":"The prevalence of adverse childhood experiences, nationally, by state, and by race/ethnicity","author":[{"family":"Sacks","given":"Vanessa"},{"family":"Murphey","given":"David"}],"issued":{"date-parts":[["2018",2,20]]}}}],"schema":"https://github.com/citation-style-language/schema/raw/master/csl-citation.json"}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(Sacks and Murphey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7E184CC6" w14:textId="77777777" w:rsidR="00D0519D" w:rsidRPr="00442034" w:rsidRDefault="00D0519D" w:rsidP="00D0519D">
      <w:pPr>
        <w:spacing w:line="480" w:lineRule="auto"/>
        <w:contextualSpacing/>
        <w:rPr>
          <w:rFonts w:ascii="Times New Roman" w:hAnsi="Times New Roman" w:cs="Times New Roman"/>
          <w:b/>
          <w:bCs/>
          <w:sz w:val="24"/>
          <w:szCs w:val="24"/>
        </w:rPr>
      </w:pPr>
      <w:r w:rsidRPr="00442034">
        <w:rPr>
          <w:rFonts w:ascii="Times New Roman" w:hAnsi="Times New Roman" w:cs="Times New Roman"/>
          <w:b/>
          <w:bCs/>
          <w:i/>
          <w:iCs/>
          <w:sz w:val="24"/>
          <w:szCs w:val="24"/>
        </w:rPr>
        <w:t>Sexual Orientation</w:t>
      </w:r>
      <w:r w:rsidRPr="00442034">
        <w:rPr>
          <w:rFonts w:ascii="Times New Roman" w:hAnsi="Times New Roman" w:cs="Times New Roman"/>
          <w:b/>
          <w:bCs/>
          <w:sz w:val="24"/>
          <w:szCs w:val="24"/>
        </w:rPr>
        <w:t xml:space="preserve"> </w:t>
      </w:r>
    </w:p>
    <w:p w14:paraId="0546419E" w14:textId="77777777"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Our primary independent variable is the self-reported measure of youth's sexual orientation. Coded as a dichotomous variable from participants’ answers to the question: “How do you consider yourself?” (0 = </w:t>
      </w:r>
      <w:r w:rsidRPr="00442034">
        <w:rPr>
          <w:rFonts w:ascii="Times New Roman" w:hAnsi="Times New Roman" w:cs="Times New Roman"/>
          <w:i/>
          <w:iCs/>
          <w:sz w:val="24"/>
          <w:szCs w:val="24"/>
        </w:rPr>
        <w:t>Heterosexual (straight),</w:t>
      </w:r>
      <w:r w:rsidRPr="00442034">
        <w:rPr>
          <w:rFonts w:ascii="Times New Roman" w:hAnsi="Times New Roman" w:cs="Times New Roman"/>
          <w:sz w:val="24"/>
          <w:szCs w:val="24"/>
        </w:rPr>
        <w:t xml:space="preserve"> 1 = </w:t>
      </w:r>
      <w:r w:rsidRPr="00442034">
        <w:rPr>
          <w:rFonts w:ascii="Times New Roman" w:hAnsi="Times New Roman" w:cs="Times New Roman"/>
          <w:i/>
          <w:iCs/>
          <w:sz w:val="24"/>
          <w:szCs w:val="24"/>
        </w:rPr>
        <w:t>Gay or Lesbian,</w:t>
      </w:r>
      <w:r w:rsidRPr="00442034">
        <w:rPr>
          <w:rFonts w:ascii="Times New Roman" w:hAnsi="Times New Roman" w:cs="Times New Roman"/>
          <w:sz w:val="24"/>
          <w:szCs w:val="24"/>
        </w:rPr>
        <w:t xml:space="preserve"> 2 = </w:t>
      </w:r>
      <w:r w:rsidRPr="00442034">
        <w:rPr>
          <w:rFonts w:ascii="Times New Roman" w:hAnsi="Times New Roman" w:cs="Times New Roman"/>
          <w:i/>
          <w:iCs/>
          <w:sz w:val="24"/>
          <w:szCs w:val="24"/>
        </w:rPr>
        <w:t>Bisexual,</w:t>
      </w:r>
      <w:r w:rsidRPr="00442034">
        <w:rPr>
          <w:rFonts w:ascii="Times New Roman" w:hAnsi="Times New Roman" w:cs="Times New Roman"/>
          <w:sz w:val="24"/>
          <w:szCs w:val="24"/>
        </w:rPr>
        <w:t xml:space="preserve"> 3 =</w:t>
      </w:r>
      <w:r w:rsidRPr="00442034">
        <w:rPr>
          <w:rFonts w:ascii="Times New Roman" w:hAnsi="Times New Roman" w:cs="Times New Roman"/>
          <w:i/>
          <w:iCs/>
          <w:sz w:val="24"/>
          <w:szCs w:val="24"/>
        </w:rPr>
        <w:t xml:space="preserve"> I am not sure yet</w:t>
      </w:r>
      <w:r w:rsidRPr="00442034">
        <w:rPr>
          <w:rFonts w:ascii="Times New Roman" w:hAnsi="Times New Roman" w:cs="Times New Roman"/>
          <w:sz w:val="24"/>
          <w:szCs w:val="24"/>
        </w:rPr>
        <w:t xml:space="preserve">, and 4 = </w:t>
      </w:r>
      <w:r w:rsidRPr="00442034">
        <w:rPr>
          <w:rFonts w:ascii="Times New Roman" w:hAnsi="Times New Roman" w:cs="Times New Roman"/>
          <w:i/>
          <w:iCs/>
          <w:sz w:val="24"/>
          <w:szCs w:val="24"/>
        </w:rPr>
        <w:t>I don’t know what this means</w:t>
      </w:r>
      <w:r w:rsidRPr="00442034">
        <w:rPr>
          <w:rFonts w:ascii="Times New Roman" w:hAnsi="Times New Roman" w:cs="Times New Roman"/>
          <w:sz w:val="24"/>
          <w:szCs w:val="24"/>
        </w:rPr>
        <w:t xml:space="preserve">). We recoded respondents who answered as gay or lesbian, bisexual, or not sure yet as </w:t>
      </w:r>
      <w:r w:rsidRPr="00442034">
        <w:rPr>
          <w:rFonts w:ascii="Times New Roman" w:hAnsi="Times New Roman" w:cs="Times New Roman"/>
          <w:i/>
          <w:iCs/>
          <w:sz w:val="24"/>
          <w:szCs w:val="24"/>
        </w:rPr>
        <w:t>LGB youth</w:t>
      </w:r>
      <w:r w:rsidRPr="00442034">
        <w:rPr>
          <w:rFonts w:ascii="Times New Roman" w:hAnsi="Times New Roman" w:cs="Times New Roman"/>
          <w:sz w:val="24"/>
          <w:szCs w:val="24"/>
        </w:rPr>
        <w:t xml:space="preserve">. We </w:t>
      </w:r>
      <w:proofErr w:type="gramStart"/>
      <w:r w:rsidRPr="00442034">
        <w:rPr>
          <w:rFonts w:ascii="Times New Roman" w:hAnsi="Times New Roman" w:cs="Times New Roman"/>
          <w:sz w:val="24"/>
          <w:szCs w:val="24"/>
        </w:rPr>
        <w:t>recoded</w:t>
      </w:r>
      <w:proofErr w:type="gramEnd"/>
      <w:r w:rsidRPr="00442034">
        <w:rPr>
          <w:rFonts w:ascii="Times New Roman" w:hAnsi="Times New Roman" w:cs="Times New Roman"/>
          <w:sz w:val="24"/>
          <w:szCs w:val="24"/>
        </w:rPr>
        <w:t xml:space="preserve"> those who responded as heterosexual as </w:t>
      </w:r>
      <w:r w:rsidRPr="00442034">
        <w:rPr>
          <w:rFonts w:ascii="Times New Roman" w:hAnsi="Times New Roman" w:cs="Times New Roman"/>
          <w:i/>
          <w:iCs/>
          <w:sz w:val="24"/>
          <w:szCs w:val="24"/>
        </w:rPr>
        <w:t>non-LGB youth</w:t>
      </w:r>
      <w:r w:rsidRPr="00442034">
        <w:rPr>
          <w:rFonts w:ascii="Times New Roman" w:hAnsi="Times New Roman" w:cs="Times New Roman"/>
          <w:sz w:val="24"/>
          <w:szCs w:val="24"/>
        </w:rPr>
        <w:t xml:space="preserve">. The final sample included 28 LGB Youth (19%) and 117 non-LGB youth (81%). </w:t>
      </w:r>
    </w:p>
    <w:p w14:paraId="734FFD46" w14:textId="77777777" w:rsidR="00D0519D" w:rsidRPr="00442034" w:rsidRDefault="00D0519D" w:rsidP="00D0519D">
      <w:pPr>
        <w:spacing w:line="480" w:lineRule="auto"/>
        <w:contextualSpacing/>
        <w:rPr>
          <w:rFonts w:ascii="Times New Roman" w:hAnsi="Times New Roman" w:cs="Times New Roman"/>
          <w:b/>
          <w:bCs/>
          <w:i/>
          <w:iCs/>
          <w:sz w:val="24"/>
          <w:szCs w:val="24"/>
        </w:rPr>
      </w:pPr>
      <w:r w:rsidRPr="00442034">
        <w:rPr>
          <w:rFonts w:ascii="Times New Roman" w:hAnsi="Times New Roman" w:cs="Times New Roman"/>
          <w:b/>
          <w:bCs/>
          <w:i/>
          <w:iCs/>
          <w:sz w:val="24"/>
          <w:szCs w:val="24"/>
        </w:rPr>
        <w:t>Controls</w:t>
      </w:r>
    </w:p>
    <w:p w14:paraId="5EB44D14" w14:textId="77777777" w:rsidR="00D0519D" w:rsidRPr="00442034" w:rsidRDefault="00D0519D" w:rsidP="00D0519D">
      <w:pPr>
        <w:spacing w:line="480" w:lineRule="auto"/>
        <w:contextualSpacing/>
        <w:rPr>
          <w:rFonts w:ascii="Times New Roman" w:hAnsi="Times New Roman" w:cs="Times New Roman"/>
          <w:sz w:val="24"/>
          <w:szCs w:val="24"/>
        </w:rPr>
      </w:pPr>
      <w:r w:rsidRPr="00442034">
        <w:rPr>
          <w:rFonts w:ascii="Times New Roman" w:hAnsi="Times New Roman" w:cs="Times New Roman"/>
          <w:i/>
          <w:iCs/>
          <w:sz w:val="24"/>
          <w:szCs w:val="24"/>
        </w:rPr>
        <w:t xml:space="preserve"> </w:t>
      </w:r>
      <w:r w:rsidRPr="00442034">
        <w:rPr>
          <w:rFonts w:ascii="Times New Roman" w:hAnsi="Times New Roman" w:cs="Times New Roman"/>
          <w:i/>
          <w:iCs/>
          <w:sz w:val="24"/>
          <w:szCs w:val="24"/>
        </w:rPr>
        <w:tab/>
      </w:r>
      <w:r w:rsidRPr="00442034">
        <w:rPr>
          <w:rFonts w:ascii="Times New Roman" w:hAnsi="Times New Roman" w:cs="Times New Roman"/>
          <w:sz w:val="24"/>
          <w:szCs w:val="24"/>
        </w:rPr>
        <w:t>Our control variables are self-reported measures of sex and race. We coded sex as a dichotomous variable (</w:t>
      </w:r>
      <w:r w:rsidRPr="00442034">
        <w:rPr>
          <w:rFonts w:ascii="Times New Roman" w:hAnsi="Times New Roman" w:cs="Times New Roman"/>
          <w:i/>
          <w:iCs/>
          <w:sz w:val="24"/>
          <w:szCs w:val="24"/>
        </w:rPr>
        <w:t xml:space="preserve">Female </w:t>
      </w:r>
      <w:r w:rsidRPr="00442034">
        <w:rPr>
          <w:rFonts w:ascii="Times New Roman" w:hAnsi="Times New Roman" w:cs="Times New Roman"/>
          <w:sz w:val="24"/>
          <w:szCs w:val="24"/>
        </w:rPr>
        <w:t xml:space="preserve">= 1 </w:t>
      </w:r>
      <w:r w:rsidRPr="00442034">
        <w:rPr>
          <w:rFonts w:ascii="Times New Roman" w:hAnsi="Times New Roman" w:cs="Times New Roman"/>
          <w:i/>
          <w:iCs/>
          <w:sz w:val="24"/>
          <w:szCs w:val="24"/>
        </w:rPr>
        <w:t>Male</w:t>
      </w:r>
      <w:r w:rsidRPr="00442034">
        <w:rPr>
          <w:rFonts w:ascii="Times New Roman" w:hAnsi="Times New Roman" w:cs="Times New Roman"/>
          <w:sz w:val="24"/>
          <w:szCs w:val="24"/>
        </w:rPr>
        <w:t xml:space="preserve"> = 0) from the question: “What sex were you assigned at birth, or what sex did the doctor put on your birth certificate?” In this sample, we had 90 females (62%) and 55 males (38%). Additionally, race demographics were measured using the following question: “How would you describe yourself?” Respondents were selected from the following categories: 0 = </w:t>
      </w:r>
      <w:r w:rsidRPr="00442034">
        <w:rPr>
          <w:rFonts w:ascii="Times New Roman" w:hAnsi="Times New Roman" w:cs="Times New Roman"/>
          <w:i/>
          <w:iCs/>
          <w:sz w:val="24"/>
          <w:szCs w:val="24"/>
        </w:rPr>
        <w:t>Black or African American</w:t>
      </w:r>
      <w:r w:rsidRPr="00442034">
        <w:rPr>
          <w:rFonts w:ascii="Times New Roman" w:hAnsi="Times New Roman" w:cs="Times New Roman"/>
          <w:sz w:val="24"/>
          <w:szCs w:val="24"/>
        </w:rPr>
        <w:t xml:space="preserve">, 1 = </w:t>
      </w:r>
      <w:r w:rsidRPr="00442034">
        <w:rPr>
          <w:rFonts w:ascii="Times New Roman" w:hAnsi="Times New Roman" w:cs="Times New Roman"/>
          <w:i/>
          <w:iCs/>
          <w:sz w:val="24"/>
          <w:szCs w:val="24"/>
        </w:rPr>
        <w:t>American Indian or Alaskan Native</w:t>
      </w:r>
      <w:r w:rsidRPr="00442034">
        <w:rPr>
          <w:rFonts w:ascii="Times New Roman" w:hAnsi="Times New Roman" w:cs="Times New Roman"/>
          <w:sz w:val="24"/>
          <w:szCs w:val="24"/>
        </w:rPr>
        <w:t xml:space="preserve">, 2 = </w:t>
      </w:r>
      <w:r w:rsidRPr="00442034">
        <w:rPr>
          <w:rFonts w:ascii="Times New Roman" w:hAnsi="Times New Roman" w:cs="Times New Roman"/>
          <w:i/>
          <w:iCs/>
          <w:sz w:val="24"/>
          <w:szCs w:val="24"/>
        </w:rPr>
        <w:t>White or</w:t>
      </w:r>
      <w:r w:rsidRPr="00442034">
        <w:rPr>
          <w:rFonts w:ascii="Times New Roman" w:hAnsi="Times New Roman" w:cs="Times New Roman"/>
          <w:sz w:val="24"/>
          <w:szCs w:val="24"/>
        </w:rPr>
        <w:t xml:space="preserve"> </w:t>
      </w:r>
      <w:r w:rsidRPr="00442034">
        <w:rPr>
          <w:rFonts w:ascii="Times New Roman" w:hAnsi="Times New Roman" w:cs="Times New Roman"/>
          <w:i/>
          <w:iCs/>
          <w:sz w:val="24"/>
          <w:szCs w:val="24"/>
        </w:rPr>
        <w:t>Caucasian,</w:t>
      </w:r>
      <w:r w:rsidRPr="00442034">
        <w:rPr>
          <w:rFonts w:ascii="Times New Roman" w:hAnsi="Times New Roman" w:cs="Times New Roman"/>
          <w:sz w:val="24"/>
          <w:szCs w:val="24"/>
        </w:rPr>
        <w:t xml:space="preserve"> 3 = </w:t>
      </w:r>
      <w:r w:rsidRPr="00442034">
        <w:rPr>
          <w:rFonts w:ascii="Times New Roman" w:hAnsi="Times New Roman" w:cs="Times New Roman"/>
          <w:i/>
          <w:iCs/>
          <w:sz w:val="24"/>
          <w:szCs w:val="24"/>
        </w:rPr>
        <w:t>Hispanic or Latino/Latina</w:t>
      </w:r>
      <w:r w:rsidRPr="00442034">
        <w:rPr>
          <w:rFonts w:ascii="Times New Roman" w:hAnsi="Times New Roman" w:cs="Times New Roman"/>
          <w:sz w:val="24"/>
          <w:szCs w:val="24"/>
        </w:rPr>
        <w:t xml:space="preserve">, 4 = </w:t>
      </w:r>
      <w:r w:rsidRPr="00442034">
        <w:rPr>
          <w:rFonts w:ascii="Times New Roman" w:hAnsi="Times New Roman" w:cs="Times New Roman"/>
          <w:i/>
          <w:iCs/>
          <w:sz w:val="24"/>
          <w:szCs w:val="24"/>
        </w:rPr>
        <w:t>Asian or Asian American</w:t>
      </w:r>
      <w:r w:rsidRPr="00442034">
        <w:rPr>
          <w:rFonts w:ascii="Times New Roman" w:hAnsi="Times New Roman" w:cs="Times New Roman"/>
          <w:sz w:val="24"/>
          <w:szCs w:val="24"/>
        </w:rPr>
        <w:t xml:space="preserve">, 5 = </w:t>
      </w:r>
      <w:r w:rsidRPr="00442034">
        <w:rPr>
          <w:rFonts w:ascii="Times New Roman" w:hAnsi="Times New Roman" w:cs="Times New Roman"/>
          <w:i/>
          <w:iCs/>
          <w:sz w:val="24"/>
          <w:szCs w:val="24"/>
        </w:rPr>
        <w:t>Native Hawaiian</w:t>
      </w:r>
      <w:r w:rsidRPr="00442034">
        <w:rPr>
          <w:rFonts w:ascii="Times New Roman" w:hAnsi="Times New Roman" w:cs="Times New Roman"/>
          <w:sz w:val="24"/>
          <w:szCs w:val="24"/>
        </w:rPr>
        <w:t xml:space="preserve"> or </w:t>
      </w:r>
      <w:proofErr w:type="gramStart"/>
      <w:r w:rsidRPr="00442034">
        <w:rPr>
          <w:rFonts w:ascii="Times New Roman" w:hAnsi="Times New Roman" w:cs="Times New Roman"/>
          <w:i/>
          <w:iCs/>
          <w:sz w:val="24"/>
          <w:szCs w:val="24"/>
        </w:rPr>
        <w:t>other</w:t>
      </w:r>
      <w:proofErr w:type="gramEnd"/>
      <w:r w:rsidRPr="00442034">
        <w:rPr>
          <w:rFonts w:ascii="Times New Roman" w:hAnsi="Times New Roman" w:cs="Times New Roman"/>
          <w:i/>
          <w:iCs/>
          <w:sz w:val="24"/>
          <w:szCs w:val="24"/>
        </w:rPr>
        <w:t xml:space="preserve"> Pacific Islander</w:t>
      </w:r>
      <w:r w:rsidRPr="00442034">
        <w:rPr>
          <w:rFonts w:ascii="Times New Roman" w:hAnsi="Times New Roman" w:cs="Times New Roman"/>
          <w:sz w:val="24"/>
          <w:szCs w:val="24"/>
        </w:rPr>
        <w:t xml:space="preserve">, and six = </w:t>
      </w:r>
      <w:r w:rsidRPr="00442034">
        <w:rPr>
          <w:rFonts w:ascii="Times New Roman" w:hAnsi="Times New Roman" w:cs="Times New Roman"/>
          <w:i/>
          <w:iCs/>
          <w:sz w:val="24"/>
          <w:szCs w:val="24"/>
        </w:rPr>
        <w:t>Other/Mixed Race</w:t>
      </w:r>
      <w:r w:rsidRPr="00442034">
        <w:rPr>
          <w:rFonts w:ascii="Times New Roman" w:hAnsi="Times New Roman" w:cs="Times New Roman"/>
          <w:sz w:val="24"/>
          <w:szCs w:val="24"/>
        </w:rPr>
        <w:t xml:space="preserve">. Given our small sample size, we recorded </w:t>
      </w:r>
      <w:r w:rsidRPr="00442034">
        <w:rPr>
          <w:rFonts w:ascii="Times New Roman" w:hAnsi="Times New Roman" w:cs="Times New Roman"/>
          <w:sz w:val="24"/>
          <w:szCs w:val="24"/>
        </w:rPr>
        <w:lastRenderedPageBreak/>
        <w:t xml:space="preserve">race as a dichotomous variable (1 = </w:t>
      </w:r>
      <w:r w:rsidRPr="00442034">
        <w:rPr>
          <w:rFonts w:ascii="Times New Roman" w:hAnsi="Times New Roman" w:cs="Times New Roman"/>
          <w:i/>
          <w:iCs/>
          <w:sz w:val="24"/>
          <w:szCs w:val="24"/>
        </w:rPr>
        <w:t xml:space="preserve">Non-white </w:t>
      </w:r>
      <w:r w:rsidRPr="00442034">
        <w:rPr>
          <w:rFonts w:ascii="Times New Roman" w:hAnsi="Times New Roman" w:cs="Times New Roman"/>
          <w:sz w:val="24"/>
          <w:szCs w:val="24"/>
        </w:rPr>
        <w:t xml:space="preserve">0 = </w:t>
      </w:r>
      <w:r w:rsidRPr="00442034">
        <w:rPr>
          <w:rFonts w:ascii="Times New Roman" w:hAnsi="Times New Roman" w:cs="Times New Roman"/>
          <w:i/>
          <w:iCs/>
          <w:sz w:val="24"/>
          <w:szCs w:val="24"/>
        </w:rPr>
        <w:t>White</w:t>
      </w:r>
      <w:r w:rsidRPr="00442034">
        <w:rPr>
          <w:rFonts w:ascii="Times New Roman" w:hAnsi="Times New Roman" w:cs="Times New Roman"/>
          <w:sz w:val="24"/>
          <w:szCs w:val="24"/>
        </w:rPr>
        <w:t>) with 94 non-white respondents (65%) and 51 white respondents (35%).</w:t>
      </w:r>
    </w:p>
    <w:p w14:paraId="45FDF2C6" w14:textId="77777777" w:rsidR="00D0519D" w:rsidRPr="00442034" w:rsidRDefault="00D0519D" w:rsidP="00D0519D">
      <w:pPr>
        <w:spacing w:line="480" w:lineRule="auto"/>
        <w:contextualSpacing/>
        <w:rPr>
          <w:rFonts w:ascii="Times New Roman" w:hAnsi="Times New Roman" w:cs="Times New Roman"/>
          <w:b/>
          <w:bCs/>
          <w:sz w:val="24"/>
          <w:szCs w:val="24"/>
        </w:rPr>
      </w:pPr>
      <w:r w:rsidRPr="00442034">
        <w:rPr>
          <w:rFonts w:ascii="Times New Roman" w:hAnsi="Times New Roman" w:cs="Times New Roman"/>
          <w:b/>
          <w:bCs/>
          <w:sz w:val="24"/>
          <w:szCs w:val="24"/>
        </w:rPr>
        <w:t>Analytical Approach</w:t>
      </w:r>
    </w:p>
    <w:p w14:paraId="3A576F18" w14:textId="77777777" w:rsidR="00D0519D" w:rsidRPr="0012727E" w:rsidRDefault="00D0519D" w:rsidP="00D0519D">
      <w:pPr>
        <w:spacing w:line="480" w:lineRule="auto"/>
        <w:ind w:firstLine="720"/>
        <w:rPr>
          <w:rFonts w:ascii="Times New Roman" w:hAnsi="Times New Roman" w:cs="Times New Roman"/>
          <w:sz w:val="24"/>
          <w:szCs w:val="24"/>
        </w:rPr>
      </w:pPr>
      <w:r w:rsidRPr="00442034">
        <w:rPr>
          <w:rFonts w:ascii="Times New Roman" w:hAnsi="Times New Roman" w:cs="Times New Roman"/>
          <w:b/>
          <w:bCs/>
          <w:i/>
          <w:iCs/>
          <w:sz w:val="24"/>
          <w:szCs w:val="24"/>
        </w:rPr>
        <w:t xml:space="preserve"> </w:t>
      </w:r>
      <w:r w:rsidRPr="00442034">
        <w:rPr>
          <w:rFonts w:ascii="Times New Roman" w:hAnsi="Times New Roman" w:cs="Times New Roman"/>
          <w:sz w:val="24"/>
          <w:szCs w:val="24"/>
        </w:rPr>
        <w:t xml:space="preserve">We first examined </w:t>
      </w:r>
      <w:r w:rsidRPr="00442034">
        <w:rPr>
          <w:rFonts w:ascii="Times New Roman" w:hAnsi="Times New Roman" w:cs="Times New Roman"/>
          <w:color w:val="000000" w:themeColor="text1"/>
          <w:sz w:val="24"/>
          <w:szCs w:val="24"/>
        </w:rPr>
        <w:t>bivariate comparisons of both ACEs and hope in their caseworker between LGB youth and non-LGB youth. We used a two-sample test for significant differences in means between the two groups. Next, we conducted three stepwise OLS regression analyses. Our first model examines the association of youth’s sexual orientation with the caseworker as a source of hope, controlling for sex and race. We then examined the effect of having eight or more ACEs on youth caseworkers as a source of hope by including it in our second model. Finally, we analyzed the interaction effect of LGB status and having eight or more ACEs on the caseworker as a source of hope scores in our third model.</w:t>
      </w:r>
      <w:r w:rsidRPr="00442034">
        <w:rPr>
          <w:rFonts w:ascii="Times New Roman" w:hAnsi="Times New Roman" w:cs="Times New Roman"/>
          <w:color w:val="FF0000"/>
          <w:sz w:val="24"/>
          <w:szCs w:val="24"/>
        </w:rPr>
        <w:t xml:space="preserve"> </w:t>
      </w:r>
    </w:p>
    <w:p w14:paraId="474DCB67" w14:textId="77777777" w:rsidR="00D0519D" w:rsidRPr="00442034" w:rsidRDefault="00D0519D" w:rsidP="00D0519D">
      <w:pPr>
        <w:spacing w:line="480" w:lineRule="auto"/>
        <w:contextualSpacing/>
        <w:jc w:val="center"/>
        <w:rPr>
          <w:rFonts w:ascii="Times New Roman" w:hAnsi="Times New Roman" w:cs="Times New Roman"/>
          <w:b/>
          <w:bCs/>
          <w:sz w:val="24"/>
          <w:szCs w:val="24"/>
        </w:rPr>
      </w:pPr>
      <w:r w:rsidRPr="00442034">
        <w:rPr>
          <w:rFonts w:ascii="Times New Roman" w:hAnsi="Times New Roman" w:cs="Times New Roman"/>
          <w:b/>
          <w:bCs/>
          <w:sz w:val="24"/>
          <w:szCs w:val="24"/>
        </w:rPr>
        <w:t>Results</w:t>
      </w:r>
    </w:p>
    <w:p w14:paraId="6A8D0F41" w14:textId="7B2C0B4E" w:rsidR="00D0519D"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Table 1 displays our sample's descriptive statistics and sample characteristics by youth's sexual orientation. Lesbian, gay, and bisexual youth represent 19% of our sample compared to 8% of America's youth in grades 9-12 (Dettlaff et al., 2018), which we would expect given that LGB youth are overrepresented in the child welfare system as compared to the general population (Fish et al., 2019). Females represent 62% of the sample, though they represent nearly 93% of the youth who identify as LGB in this sample. Respondents who self-report a "non-White" race represent 64% of the sample. ACE scores are displayed as the proportion of youth with eight or more ACEs (75</w:t>
      </w:r>
      <w:r w:rsidRPr="00442034">
        <w:rPr>
          <w:rFonts w:ascii="Times New Roman" w:hAnsi="Times New Roman" w:cs="Times New Roman"/>
          <w:sz w:val="24"/>
          <w:szCs w:val="24"/>
          <w:vertAlign w:val="superscript"/>
        </w:rPr>
        <w:t>th</w:t>
      </w:r>
      <w:r w:rsidRPr="00442034">
        <w:rPr>
          <w:rFonts w:ascii="Times New Roman" w:hAnsi="Times New Roman" w:cs="Times New Roman"/>
          <w:sz w:val="24"/>
          <w:szCs w:val="24"/>
        </w:rPr>
        <w:t xml:space="preserve"> percentile).</w:t>
      </w:r>
    </w:p>
    <w:p w14:paraId="7625A6E9" w14:textId="77777777" w:rsidR="00880A6D" w:rsidRDefault="00880A6D" w:rsidP="00D0519D">
      <w:pPr>
        <w:spacing w:line="480" w:lineRule="auto"/>
        <w:ind w:firstLine="720"/>
        <w:contextualSpacing/>
        <w:rPr>
          <w:rFonts w:ascii="Times New Roman" w:hAnsi="Times New Roman" w:cs="Times New Roman"/>
          <w:sz w:val="24"/>
          <w:szCs w:val="24"/>
        </w:rPr>
      </w:pPr>
    </w:p>
    <w:p w14:paraId="7F9743C9" w14:textId="77777777" w:rsidR="00880A6D" w:rsidRDefault="00880A6D" w:rsidP="00D0519D">
      <w:pPr>
        <w:spacing w:line="480" w:lineRule="auto"/>
        <w:ind w:firstLine="720"/>
        <w:contextualSpacing/>
        <w:rPr>
          <w:rFonts w:ascii="Times New Roman" w:hAnsi="Times New Roman" w:cs="Times New Roman"/>
          <w:sz w:val="24"/>
          <w:szCs w:val="24"/>
        </w:rPr>
      </w:pPr>
    </w:p>
    <w:p w14:paraId="365AE87A" w14:textId="77777777" w:rsidR="00880A6D" w:rsidRPr="00442034" w:rsidRDefault="00880A6D" w:rsidP="00D0519D">
      <w:pPr>
        <w:spacing w:line="480" w:lineRule="auto"/>
        <w:ind w:firstLine="720"/>
        <w:contextualSpacing/>
        <w:rPr>
          <w:rFonts w:ascii="Times New Roman" w:hAnsi="Times New Roman" w:cs="Times New Roman"/>
          <w:sz w:val="24"/>
          <w:szCs w:val="24"/>
        </w:rPr>
      </w:pPr>
    </w:p>
    <w:tbl>
      <w:tblPr>
        <w:tblStyle w:val="TableGrid"/>
        <w:tblpPr w:leftFromText="180" w:rightFromText="180" w:vertAnchor="text" w:horzAnchor="margin" w:tblpY="6"/>
        <w:tblW w:w="9360" w:type="dxa"/>
        <w:tblLayout w:type="fixed"/>
        <w:tblLook w:val="04A0" w:firstRow="1" w:lastRow="0" w:firstColumn="1" w:lastColumn="0" w:noHBand="0" w:noVBand="1"/>
      </w:tblPr>
      <w:tblGrid>
        <w:gridCol w:w="3510"/>
        <w:gridCol w:w="990"/>
        <w:gridCol w:w="1440"/>
        <w:gridCol w:w="1530"/>
        <w:gridCol w:w="1890"/>
      </w:tblGrid>
      <w:tr w:rsidR="00D0519D" w:rsidRPr="00442034" w14:paraId="50A9AF96" w14:textId="77777777" w:rsidTr="004B756E">
        <w:tc>
          <w:tcPr>
            <w:tcW w:w="9360" w:type="dxa"/>
            <w:gridSpan w:val="5"/>
            <w:tcBorders>
              <w:top w:val="nil"/>
              <w:left w:val="nil"/>
              <w:bottom w:val="single" w:sz="4" w:space="0" w:color="auto"/>
              <w:right w:val="nil"/>
            </w:tcBorders>
          </w:tcPr>
          <w:p w14:paraId="408F3323" w14:textId="77777777" w:rsidR="00D0519D" w:rsidRPr="00442034" w:rsidRDefault="00D0519D" w:rsidP="004B756E">
            <w:pPr>
              <w:rPr>
                <w:rFonts w:ascii="Times New Roman" w:hAnsi="Times New Roman" w:cs="Times New Roman"/>
              </w:rPr>
            </w:pPr>
            <w:r w:rsidRPr="00442034">
              <w:rPr>
                <w:rFonts w:ascii="Times New Roman" w:hAnsi="Times New Roman" w:cs="Times New Roman"/>
                <w:b/>
                <w:bCs/>
              </w:rPr>
              <w:lastRenderedPageBreak/>
              <w:t>Table 1. Descriptive Statistics of Sample Variables</w:t>
            </w:r>
          </w:p>
        </w:tc>
      </w:tr>
      <w:tr w:rsidR="00D0519D" w:rsidRPr="00442034" w14:paraId="65047ABF" w14:textId="77777777" w:rsidTr="004B756E">
        <w:tc>
          <w:tcPr>
            <w:tcW w:w="3510" w:type="dxa"/>
            <w:tcBorders>
              <w:left w:val="nil"/>
              <w:bottom w:val="single" w:sz="4" w:space="0" w:color="auto"/>
              <w:right w:val="nil"/>
            </w:tcBorders>
          </w:tcPr>
          <w:p w14:paraId="18C20096" w14:textId="77777777" w:rsidR="00D0519D" w:rsidRPr="00442034" w:rsidRDefault="00D0519D" w:rsidP="004B756E">
            <w:pPr>
              <w:jc w:val="center"/>
              <w:rPr>
                <w:rFonts w:ascii="Times New Roman" w:hAnsi="Times New Roman" w:cs="Times New Roman"/>
              </w:rPr>
            </w:pPr>
          </w:p>
        </w:tc>
        <w:tc>
          <w:tcPr>
            <w:tcW w:w="990" w:type="dxa"/>
            <w:tcBorders>
              <w:left w:val="nil"/>
              <w:bottom w:val="single" w:sz="4" w:space="0" w:color="auto"/>
              <w:right w:val="nil"/>
            </w:tcBorders>
          </w:tcPr>
          <w:p w14:paraId="659D2DF7" w14:textId="77777777" w:rsidR="00D0519D" w:rsidRPr="00442034" w:rsidRDefault="00D0519D" w:rsidP="004B756E">
            <w:pPr>
              <w:jc w:val="center"/>
              <w:rPr>
                <w:rFonts w:ascii="Times New Roman" w:hAnsi="Times New Roman" w:cs="Times New Roman"/>
              </w:rPr>
            </w:pPr>
          </w:p>
        </w:tc>
        <w:tc>
          <w:tcPr>
            <w:tcW w:w="1440" w:type="dxa"/>
            <w:tcBorders>
              <w:left w:val="nil"/>
              <w:bottom w:val="single" w:sz="4" w:space="0" w:color="auto"/>
              <w:right w:val="nil"/>
            </w:tcBorders>
          </w:tcPr>
          <w:p w14:paraId="59F954C4"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Full Sample</w:t>
            </w:r>
          </w:p>
          <w:p w14:paraId="4D35BC98"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w:t>
            </w:r>
            <w:r w:rsidRPr="00442034">
              <w:rPr>
                <w:rFonts w:ascii="Times New Roman" w:hAnsi="Times New Roman" w:cs="Times New Roman"/>
                <w:i/>
                <w:iCs/>
              </w:rPr>
              <w:t>N</w:t>
            </w:r>
            <w:r w:rsidRPr="00442034">
              <w:rPr>
                <w:rFonts w:ascii="Times New Roman" w:hAnsi="Times New Roman" w:cs="Times New Roman"/>
              </w:rPr>
              <w:t>=145)</w:t>
            </w:r>
          </w:p>
        </w:tc>
        <w:tc>
          <w:tcPr>
            <w:tcW w:w="1530" w:type="dxa"/>
            <w:tcBorders>
              <w:left w:val="nil"/>
              <w:bottom w:val="single" w:sz="4" w:space="0" w:color="auto"/>
              <w:right w:val="nil"/>
            </w:tcBorders>
          </w:tcPr>
          <w:p w14:paraId="2190E172"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LGB Youth</w:t>
            </w:r>
          </w:p>
          <w:p w14:paraId="4E259E2B"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w:t>
            </w:r>
            <w:r w:rsidRPr="00442034">
              <w:rPr>
                <w:rFonts w:ascii="Times New Roman" w:hAnsi="Times New Roman" w:cs="Times New Roman"/>
                <w:i/>
                <w:iCs/>
              </w:rPr>
              <w:t xml:space="preserve">N </w:t>
            </w:r>
            <w:r w:rsidRPr="00442034">
              <w:rPr>
                <w:rFonts w:ascii="Times New Roman" w:hAnsi="Times New Roman" w:cs="Times New Roman"/>
              </w:rPr>
              <w:t>= 28)</w:t>
            </w:r>
          </w:p>
        </w:tc>
        <w:tc>
          <w:tcPr>
            <w:tcW w:w="1890" w:type="dxa"/>
            <w:tcBorders>
              <w:left w:val="nil"/>
              <w:bottom w:val="single" w:sz="4" w:space="0" w:color="auto"/>
              <w:right w:val="nil"/>
            </w:tcBorders>
          </w:tcPr>
          <w:p w14:paraId="1431A39A"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Non-LGB Youth</w:t>
            </w:r>
          </w:p>
          <w:p w14:paraId="4F5E0577"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w:t>
            </w:r>
            <w:r w:rsidRPr="00442034">
              <w:rPr>
                <w:rFonts w:ascii="Times New Roman" w:hAnsi="Times New Roman" w:cs="Times New Roman"/>
                <w:i/>
                <w:iCs/>
              </w:rPr>
              <w:t>N</w:t>
            </w:r>
            <w:r w:rsidRPr="00442034">
              <w:rPr>
                <w:rFonts w:ascii="Times New Roman" w:hAnsi="Times New Roman" w:cs="Times New Roman"/>
              </w:rPr>
              <w:t xml:space="preserve"> = 117)</w:t>
            </w:r>
          </w:p>
        </w:tc>
      </w:tr>
      <w:tr w:rsidR="00D0519D" w:rsidRPr="00442034" w14:paraId="41D837E4" w14:textId="77777777" w:rsidTr="004B756E">
        <w:tc>
          <w:tcPr>
            <w:tcW w:w="3510" w:type="dxa"/>
            <w:tcBorders>
              <w:left w:val="nil"/>
              <w:bottom w:val="single" w:sz="4" w:space="0" w:color="auto"/>
              <w:right w:val="nil"/>
            </w:tcBorders>
          </w:tcPr>
          <w:p w14:paraId="77E5ED64"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Variable</w:t>
            </w:r>
          </w:p>
        </w:tc>
        <w:tc>
          <w:tcPr>
            <w:tcW w:w="990" w:type="dxa"/>
            <w:tcBorders>
              <w:left w:val="nil"/>
              <w:bottom w:val="single" w:sz="4" w:space="0" w:color="auto"/>
              <w:right w:val="nil"/>
            </w:tcBorders>
          </w:tcPr>
          <w:p w14:paraId="4AD106C5"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Range</w:t>
            </w:r>
          </w:p>
        </w:tc>
        <w:tc>
          <w:tcPr>
            <w:tcW w:w="1440" w:type="dxa"/>
            <w:tcBorders>
              <w:left w:val="nil"/>
              <w:bottom w:val="single" w:sz="4" w:space="0" w:color="auto"/>
              <w:right w:val="nil"/>
            </w:tcBorders>
          </w:tcPr>
          <w:p w14:paraId="4FFD8DB4" w14:textId="77777777" w:rsidR="00D0519D" w:rsidRPr="00442034" w:rsidRDefault="00D0519D" w:rsidP="004B756E">
            <w:pPr>
              <w:jc w:val="center"/>
              <w:rPr>
                <w:rFonts w:ascii="Times New Roman" w:hAnsi="Times New Roman" w:cs="Times New Roman"/>
                <w:i/>
                <w:iCs/>
              </w:rPr>
            </w:pPr>
            <w:r w:rsidRPr="00442034">
              <w:rPr>
                <w:rFonts w:ascii="Times New Roman" w:hAnsi="Times New Roman" w:cs="Times New Roman"/>
                <w:i/>
                <w:iCs/>
              </w:rPr>
              <w:t>M</w:t>
            </w:r>
          </w:p>
          <w:p w14:paraId="4D321FEF" w14:textId="77777777" w:rsidR="00D0519D" w:rsidRPr="00442034" w:rsidRDefault="00D0519D" w:rsidP="004B756E">
            <w:pPr>
              <w:jc w:val="center"/>
              <w:rPr>
                <w:rFonts w:ascii="Times New Roman" w:hAnsi="Times New Roman" w:cs="Times New Roman"/>
                <w:i/>
                <w:iCs/>
              </w:rPr>
            </w:pPr>
            <w:r w:rsidRPr="00442034">
              <w:rPr>
                <w:rFonts w:ascii="Times New Roman" w:hAnsi="Times New Roman" w:cs="Times New Roman"/>
                <w:i/>
                <w:iCs/>
              </w:rPr>
              <w:t>(SD)</w:t>
            </w:r>
          </w:p>
        </w:tc>
        <w:tc>
          <w:tcPr>
            <w:tcW w:w="1530" w:type="dxa"/>
            <w:tcBorders>
              <w:left w:val="nil"/>
              <w:bottom w:val="single" w:sz="4" w:space="0" w:color="auto"/>
              <w:right w:val="nil"/>
            </w:tcBorders>
          </w:tcPr>
          <w:p w14:paraId="17000318" w14:textId="77777777" w:rsidR="00D0519D" w:rsidRPr="00442034" w:rsidRDefault="00D0519D" w:rsidP="004B756E">
            <w:pPr>
              <w:jc w:val="center"/>
              <w:rPr>
                <w:rFonts w:ascii="Times New Roman" w:hAnsi="Times New Roman" w:cs="Times New Roman"/>
                <w:i/>
                <w:iCs/>
              </w:rPr>
            </w:pPr>
            <w:r w:rsidRPr="00442034">
              <w:rPr>
                <w:rFonts w:ascii="Times New Roman" w:hAnsi="Times New Roman" w:cs="Times New Roman"/>
                <w:i/>
                <w:iCs/>
              </w:rPr>
              <w:t>M</w:t>
            </w:r>
          </w:p>
          <w:p w14:paraId="76837F70" w14:textId="77777777" w:rsidR="00D0519D" w:rsidRPr="00442034" w:rsidRDefault="00D0519D" w:rsidP="004B756E">
            <w:pPr>
              <w:jc w:val="center"/>
              <w:rPr>
                <w:rFonts w:ascii="Times New Roman" w:hAnsi="Times New Roman" w:cs="Times New Roman"/>
                <w:i/>
                <w:iCs/>
              </w:rPr>
            </w:pPr>
            <w:r w:rsidRPr="00442034">
              <w:rPr>
                <w:rFonts w:ascii="Times New Roman" w:hAnsi="Times New Roman" w:cs="Times New Roman"/>
                <w:i/>
                <w:iCs/>
              </w:rPr>
              <w:t>(SD)</w:t>
            </w:r>
          </w:p>
        </w:tc>
        <w:tc>
          <w:tcPr>
            <w:tcW w:w="1890" w:type="dxa"/>
            <w:tcBorders>
              <w:left w:val="nil"/>
              <w:bottom w:val="single" w:sz="4" w:space="0" w:color="auto"/>
              <w:right w:val="nil"/>
            </w:tcBorders>
          </w:tcPr>
          <w:p w14:paraId="2DBCF615" w14:textId="77777777" w:rsidR="00D0519D" w:rsidRPr="00442034" w:rsidRDefault="00D0519D" w:rsidP="004B756E">
            <w:pPr>
              <w:jc w:val="center"/>
              <w:rPr>
                <w:rFonts w:ascii="Times New Roman" w:hAnsi="Times New Roman" w:cs="Times New Roman"/>
                <w:i/>
                <w:iCs/>
              </w:rPr>
            </w:pPr>
            <w:r w:rsidRPr="00442034">
              <w:rPr>
                <w:rFonts w:ascii="Times New Roman" w:hAnsi="Times New Roman" w:cs="Times New Roman"/>
                <w:i/>
                <w:iCs/>
              </w:rPr>
              <w:t>M</w:t>
            </w:r>
          </w:p>
          <w:p w14:paraId="453949FD" w14:textId="77777777" w:rsidR="00D0519D" w:rsidRPr="00442034" w:rsidRDefault="00D0519D" w:rsidP="004B756E">
            <w:pPr>
              <w:jc w:val="center"/>
              <w:rPr>
                <w:rFonts w:ascii="Times New Roman" w:hAnsi="Times New Roman" w:cs="Times New Roman"/>
                <w:i/>
                <w:iCs/>
              </w:rPr>
            </w:pPr>
            <w:r w:rsidRPr="00442034">
              <w:rPr>
                <w:rFonts w:ascii="Times New Roman" w:hAnsi="Times New Roman" w:cs="Times New Roman"/>
                <w:i/>
                <w:iCs/>
              </w:rPr>
              <w:t>(SD)</w:t>
            </w:r>
          </w:p>
        </w:tc>
      </w:tr>
      <w:tr w:rsidR="00D0519D" w:rsidRPr="00442034" w14:paraId="7391403D" w14:textId="77777777" w:rsidTr="004B756E">
        <w:tc>
          <w:tcPr>
            <w:tcW w:w="3510" w:type="dxa"/>
            <w:tcBorders>
              <w:left w:val="nil"/>
              <w:bottom w:val="nil"/>
              <w:right w:val="nil"/>
            </w:tcBorders>
          </w:tcPr>
          <w:p w14:paraId="1EE4FC86" w14:textId="77777777" w:rsidR="00D0519D" w:rsidRPr="00442034" w:rsidRDefault="00D0519D" w:rsidP="004B756E">
            <w:pPr>
              <w:ind w:left="-30"/>
              <w:rPr>
                <w:rFonts w:ascii="Times New Roman" w:hAnsi="Times New Roman" w:cs="Times New Roman"/>
                <w:i/>
                <w:iCs/>
                <w:u w:val="single"/>
              </w:rPr>
            </w:pPr>
            <w:r w:rsidRPr="00442034">
              <w:rPr>
                <w:rFonts w:ascii="Times New Roman" w:hAnsi="Times New Roman" w:cs="Times New Roman"/>
                <w:i/>
                <w:iCs/>
                <w:u w:val="single"/>
              </w:rPr>
              <w:t>Outcome Variable</w:t>
            </w:r>
          </w:p>
        </w:tc>
        <w:tc>
          <w:tcPr>
            <w:tcW w:w="990" w:type="dxa"/>
            <w:tcBorders>
              <w:left w:val="nil"/>
              <w:bottom w:val="nil"/>
              <w:right w:val="nil"/>
            </w:tcBorders>
          </w:tcPr>
          <w:p w14:paraId="51B85A39" w14:textId="77777777" w:rsidR="00D0519D" w:rsidRPr="00442034" w:rsidRDefault="00D0519D" w:rsidP="004B756E">
            <w:pPr>
              <w:jc w:val="center"/>
              <w:rPr>
                <w:rFonts w:ascii="Times New Roman" w:hAnsi="Times New Roman" w:cs="Times New Roman"/>
              </w:rPr>
            </w:pPr>
          </w:p>
        </w:tc>
        <w:tc>
          <w:tcPr>
            <w:tcW w:w="1440" w:type="dxa"/>
            <w:tcBorders>
              <w:left w:val="nil"/>
              <w:bottom w:val="nil"/>
              <w:right w:val="nil"/>
            </w:tcBorders>
          </w:tcPr>
          <w:p w14:paraId="286A29BB" w14:textId="77777777" w:rsidR="00D0519D" w:rsidRPr="00442034" w:rsidRDefault="00D0519D" w:rsidP="004B756E">
            <w:pPr>
              <w:tabs>
                <w:tab w:val="decimal" w:pos="620"/>
              </w:tabs>
              <w:rPr>
                <w:rFonts w:ascii="Times New Roman" w:hAnsi="Times New Roman" w:cs="Times New Roman"/>
              </w:rPr>
            </w:pPr>
          </w:p>
        </w:tc>
        <w:tc>
          <w:tcPr>
            <w:tcW w:w="1530" w:type="dxa"/>
            <w:tcBorders>
              <w:left w:val="nil"/>
              <w:bottom w:val="nil"/>
              <w:right w:val="nil"/>
            </w:tcBorders>
          </w:tcPr>
          <w:p w14:paraId="0BCFA96D" w14:textId="77777777" w:rsidR="00D0519D" w:rsidRPr="00442034" w:rsidRDefault="00D0519D" w:rsidP="004B756E">
            <w:pPr>
              <w:tabs>
                <w:tab w:val="decimal" w:pos="530"/>
              </w:tabs>
              <w:rPr>
                <w:rFonts w:ascii="Times New Roman" w:hAnsi="Times New Roman" w:cs="Times New Roman"/>
              </w:rPr>
            </w:pPr>
          </w:p>
        </w:tc>
        <w:tc>
          <w:tcPr>
            <w:tcW w:w="1890" w:type="dxa"/>
            <w:tcBorders>
              <w:left w:val="nil"/>
              <w:bottom w:val="nil"/>
              <w:right w:val="nil"/>
            </w:tcBorders>
          </w:tcPr>
          <w:p w14:paraId="38A380CE" w14:textId="77777777" w:rsidR="00D0519D" w:rsidRPr="00442034" w:rsidRDefault="00D0519D" w:rsidP="004B756E">
            <w:pPr>
              <w:jc w:val="center"/>
              <w:rPr>
                <w:rFonts w:ascii="Times New Roman" w:hAnsi="Times New Roman" w:cs="Times New Roman"/>
              </w:rPr>
            </w:pPr>
          </w:p>
        </w:tc>
      </w:tr>
      <w:tr w:rsidR="00D0519D" w:rsidRPr="00442034" w14:paraId="334C9BE4" w14:textId="77777777" w:rsidTr="004B756E">
        <w:tc>
          <w:tcPr>
            <w:tcW w:w="3510" w:type="dxa"/>
            <w:tcBorders>
              <w:top w:val="nil"/>
              <w:left w:val="nil"/>
              <w:bottom w:val="nil"/>
              <w:right w:val="nil"/>
            </w:tcBorders>
          </w:tcPr>
          <w:p w14:paraId="265A6976" w14:textId="77777777" w:rsidR="00D0519D" w:rsidRPr="00442034" w:rsidRDefault="00D0519D" w:rsidP="004B756E">
            <w:pPr>
              <w:ind w:firstLine="80"/>
              <w:rPr>
                <w:rFonts w:ascii="Times New Roman" w:hAnsi="Times New Roman" w:cs="Times New Roman"/>
              </w:rPr>
            </w:pPr>
          </w:p>
        </w:tc>
        <w:tc>
          <w:tcPr>
            <w:tcW w:w="990" w:type="dxa"/>
            <w:tcBorders>
              <w:top w:val="nil"/>
              <w:left w:val="nil"/>
              <w:bottom w:val="nil"/>
              <w:right w:val="nil"/>
            </w:tcBorders>
          </w:tcPr>
          <w:p w14:paraId="758C8CBC" w14:textId="77777777" w:rsidR="00D0519D" w:rsidRPr="00442034" w:rsidRDefault="00D0519D" w:rsidP="004B756E">
            <w:pPr>
              <w:jc w:val="center"/>
              <w:rPr>
                <w:rFonts w:ascii="Times New Roman" w:hAnsi="Times New Roman" w:cs="Times New Roman"/>
              </w:rPr>
            </w:pPr>
          </w:p>
        </w:tc>
        <w:tc>
          <w:tcPr>
            <w:tcW w:w="1440" w:type="dxa"/>
            <w:tcBorders>
              <w:top w:val="nil"/>
              <w:left w:val="nil"/>
              <w:bottom w:val="nil"/>
              <w:right w:val="nil"/>
            </w:tcBorders>
          </w:tcPr>
          <w:p w14:paraId="2C000355" w14:textId="77777777" w:rsidR="00D0519D" w:rsidRPr="00442034" w:rsidRDefault="00D0519D" w:rsidP="004B756E">
            <w:pPr>
              <w:tabs>
                <w:tab w:val="decimal" w:pos="530"/>
              </w:tabs>
              <w:rPr>
                <w:rFonts w:ascii="Times New Roman" w:hAnsi="Times New Roman" w:cs="Times New Roman"/>
              </w:rPr>
            </w:pPr>
          </w:p>
        </w:tc>
        <w:tc>
          <w:tcPr>
            <w:tcW w:w="1530" w:type="dxa"/>
            <w:tcBorders>
              <w:top w:val="nil"/>
              <w:left w:val="nil"/>
              <w:bottom w:val="nil"/>
              <w:right w:val="nil"/>
            </w:tcBorders>
          </w:tcPr>
          <w:p w14:paraId="178C913F" w14:textId="77777777" w:rsidR="00D0519D" w:rsidRPr="00442034" w:rsidRDefault="00D0519D" w:rsidP="004B756E">
            <w:pPr>
              <w:tabs>
                <w:tab w:val="decimal" w:pos="530"/>
              </w:tabs>
              <w:rPr>
                <w:rFonts w:ascii="Times New Roman" w:hAnsi="Times New Roman" w:cs="Times New Roman"/>
              </w:rPr>
            </w:pPr>
          </w:p>
        </w:tc>
        <w:tc>
          <w:tcPr>
            <w:tcW w:w="1890" w:type="dxa"/>
            <w:tcBorders>
              <w:top w:val="nil"/>
              <w:left w:val="nil"/>
              <w:bottom w:val="nil"/>
              <w:right w:val="nil"/>
            </w:tcBorders>
          </w:tcPr>
          <w:p w14:paraId="06ACEEAA" w14:textId="77777777" w:rsidR="00D0519D" w:rsidRPr="00442034" w:rsidRDefault="00D0519D" w:rsidP="004B756E">
            <w:pPr>
              <w:tabs>
                <w:tab w:val="decimal" w:pos="800"/>
              </w:tabs>
              <w:rPr>
                <w:rFonts w:ascii="Times New Roman" w:hAnsi="Times New Roman" w:cs="Times New Roman"/>
              </w:rPr>
            </w:pPr>
          </w:p>
        </w:tc>
      </w:tr>
      <w:tr w:rsidR="00D0519D" w:rsidRPr="00442034" w14:paraId="654A8899" w14:textId="77777777" w:rsidTr="004B756E">
        <w:tc>
          <w:tcPr>
            <w:tcW w:w="3510" w:type="dxa"/>
            <w:tcBorders>
              <w:top w:val="nil"/>
              <w:left w:val="nil"/>
              <w:bottom w:val="nil"/>
              <w:right w:val="nil"/>
            </w:tcBorders>
          </w:tcPr>
          <w:p w14:paraId="1D055325" w14:textId="77777777" w:rsidR="00D0519D" w:rsidRPr="00442034" w:rsidRDefault="00D0519D" w:rsidP="004B756E">
            <w:pPr>
              <w:ind w:firstLine="80"/>
              <w:rPr>
                <w:rFonts w:ascii="Times New Roman" w:hAnsi="Times New Roman" w:cs="Times New Roman"/>
                <w:i/>
                <w:iCs/>
              </w:rPr>
            </w:pPr>
            <w:r w:rsidRPr="00442034">
              <w:rPr>
                <w:rFonts w:ascii="Times New Roman" w:hAnsi="Times New Roman" w:cs="Times New Roman"/>
              </w:rPr>
              <w:t>Hope in Caseworker</w:t>
            </w:r>
          </w:p>
        </w:tc>
        <w:tc>
          <w:tcPr>
            <w:tcW w:w="990" w:type="dxa"/>
            <w:tcBorders>
              <w:top w:val="nil"/>
              <w:left w:val="nil"/>
              <w:bottom w:val="nil"/>
              <w:right w:val="nil"/>
            </w:tcBorders>
          </w:tcPr>
          <w:p w14:paraId="705379B2"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10-60</w:t>
            </w:r>
          </w:p>
        </w:tc>
        <w:tc>
          <w:tcPr>
            <w:tcW w:w="1440" w:type="dxa"/>
            <w:tcBorders>
              <w:top w:val="nil"/>
              <w:left w:val="nil"/>
              <w:bottom w:val="nil"/>
              <w:right w:val="nil"/>
            </w:tcBorders>
          </w:tcPr>
          <w:p w14:paraId="4D7097E7"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44.70</w:t>
            </w:r>
          </w:p>
          <w:p w14:paraId="738044AB"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(14.34)</w:t>
            </w:r>
          </w:p>
        </w:tc>
        <w:tc>
          <w:tcPr>
            <w:tcW w:w="1530" w:type="dxa"/>
            <w:tcBorders>
              <w:top w:val="nil"/>
              <w:left w:val="nil"/>
              <w:bottom w:val="nil"/>
              <w:right w:val="nil"/>
            </w:tcBorders>
          </w:tcPr>
          <w:p w14:paraId="1AD74677"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42.43</w:t>
            </w:r>
          </w:p>
          <w:p w14:paraId="4FB6FDE6"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(15.91)</w:t>
            </w:r>
          </w:p>
        </w:tc>
        <w:tc>
          <w:tcPr>
            <w:tcW w:w="1890" w:type="dxa"/>
            <w:tcBorders>
              <w:top w:val="nil"/>
              <w:left w:val="nil"/>
              <w:bottom w:val="nil"/>
              <w:right w:val="nil"/>
            </w:tcBorders>
          </w:tcPr>
          <w:p w14:paraId="3A374303" w14:textId="77777777" w:rsidR="00D0519D" w:rsidRPr="00442034" w:rsidRDefault="00D0519D" w:rsidP="004B756E">
            <w:pPr>
              <w:tabs>
                <w:tab w:val="decimal" w:pos="800"/>
              </w:tabs>
              <w:rPr>
                <w:rFonts w:ascii="Times New Roman" w:hAnsi="Times New Roman" w:cs="Times New Roman"/>
              </w:rPr>
            </w:pPr>
            <w:r w:rsidRPr="00442034">
              <w:rPr>
                <w:rFonts w:ascii="Times New Roman" w:hAnsi="Times New Roman" w:cs="Times New Roman"/>
              </w:rPr>
              <w:t>45.24</w:t>
            </w:r>
          </w:p>
          <w:p w14:paraId="7512977D" w14:textId="77777777" w:rsidR="00D0519D" w:rsidRPr="00442034" w:rsidRDefault="00D0519D" w:rsidP="004B756E">
            <w:pPr>
              <w:tabs>
                <w:tab w:val="decimal" w:pos="800"/>
              </w:tabs>
              <w:rPr>
                <w:rFonts w:ascii="Times New Roman" w:hAnsi="Times New Roman" w:cs="Times New Roman"/>
              </w:rPr>
            </w:pPr>
            <w:r w:rsidRPr="00442034">
              <w:rPr>
                <w:rFonts w:ascii="Times New Roman" w:hAnsi="Times New Roman" w:cs="Times New Roman"/>
              </w:rPr>
              <w:t>(13.96)</w:t>
            </w:r>
          </w:p>
        </w:tc>
      </w:tr>
      <w:tr w:rsidR="00D0519D" w:rsidRPr="00442034" w14:paraId="247C911A" w14:textId="77777777" w:rsidTr="004B756E">
        <w:tc>
          <w:tcPr>
            <w:tcW w:w="3510" w:type="dxa"/>
            <w:tcBorders>
              <w:top w:val="nil"/>
              <w:left w:val="nil"/>
              <w:bottom w:val="nil"/>
              <w:right w:val="nil"/>
            </w:tcBorders>
          </w:tcPr>
          <w:p w14:paraId="77674EE3" w14:textId="77777777" w:rsidR="00D0519D" w:rsidRPr="00442034" w:rsidRDefault="00D0519D" w:rsidP="004B756E">
            <w:pPr>
              <w:ind w:left="-30"/>
              <w:rPr>
                <w:rFonts w:ascii="Times New Roman" w:hAnsi="Times New Roman" w:cs="Times New Roman"/>
                <w:i/>
                <w:iCs/>
                <w:u w:val="single"/>
              </w:rPr>
            </w:pPr>
            <w:r w:rsidRPr="00442034">
              <w:rPr>
                <w:rFonts w:ascii="Times New Roman" w:hAnsi="Times New Roman" w:cs="Times New Roman"/>
                <w:i/>
                <w:iCs/>
                <w:u w:val="single"/>
              </w:rPr>
              <w:t>Predictor Variable</w:t>
            </w:r>
          </w:p>
        </w:tc>
        <w:tc>
          <w:tcPr>
            <w:tcW w:w="990" w:type="dxa"/>
            <w:tcBorders>
              <w:top w:val="nil"/>
              <w:left w:val="nil"/>
              <w:bottom w:val="nil"/>
              <w:right w:val="nil"/>
            </w:tcBorders>
          </w:tcPr>
          <w:p w14:paraId="514A5D97" w14:textId="77777777" w:rsidR="00D0519D" w:rsidRPr="00442034" w:rsidRDefault="00D0519D" w:rsidP="004B756E">
            <w:pPr>
              <w:jc w:val="center"/>
              <w:rPr>
                <w:rFonts w:ascii="Times New Roman" w:hAnsi="Times New Roman" w:cs="Times New Roman"/>
              </w:rPr>
            </w:pPr>
          </w:p>
        </w:tc>
        <w:tc>
          <w:tcPr>
            <w:tcW w:w="1440" w:type="dxa"/>
            <w:tcBorders>
              <w:top w:val="nil"/>
              <w:left w:val="nil"/>
              <w:bottom w:val="nil"/>
              <w:right w:val="nil"/>
            </w:tcBorders>
          </w:tcPr>
          <w:p w14:paraId="2CF53EE7" w14:textId="77777777" w:rsidR="00D0519D" w:rsidRPr="00442034" w:rsidRDefault="00D0519D" w:rsidP="004B756E">
            <w:pPr>
              <w:tabs>
                <w:tab w:val="decimal" w:pos="530"/>
              </w:tabs>
              <w:rPr>
                <w:rFonts w:ascii="Times New Roman" w:hAnsi="Times New Roman" w:cs="Times New Roman"/>
              </w:rPr>
            </w:pPr>
          </w:p>
        </w:tc>
        <w:tc>
          <w:tcPr>
            <w:tcW w:w="1530" w:type="dxa"/>
            <w:tcBorders>
              <w:top w:val="nil"/>
              <w:left w:val="nil"/>
              <w:bottom w:val="nil"/>
              <w:right w:val="nil"/>
            </w:tcBorders>
          </w:tcPr>
          <w:p w14:paraId="577ADD9D" w14:textId="77777777" w:rsidR="00D0519D" w:rsidRPr="00442034" w:rsidRDefault="00D0519D" w:rsidP="004B756E">
            <w:pPr>
              <w:tabs>
                <w:tab w:val="decimal" w:pos="530"/>
              </w:tabs>
              <w:rPr>
                <w:rFonts w:ascii="Times New Roman" w:hAnsi="Times New Roman" w:cs="Times New Roman"/>
              </w:rPr>
            </w:pPr>
          </w:p>
        </w:tc>
        <w:tc>
          <w:tcPr>
            <w:tcW w:w="1890" w:type="dxa"/>
            <w:tcBorders>
              <w:top w:val="nil"/>
              <w:left w:val="nil"/>
              <w:bottom w:val="nil"/>
              <w:right w:val="nil"/>
            </w:tcBorders>
          </w:tcPr>
          <w:p w14:paraId="1F94A4A2" w14:textId="77777777" w:rsidR="00D0519D" w:rsidRPr="00442034" w:rsidRDefault="00D0519D" w:rsidP="004B756E">
            <w:pPr>
              <w:tabs>
                <w:tab w:val="decimal" w:pos="800"/>
              </w:tabs>
              <w:rPr>
                <w:rFonts w:ascii="Times New Roman" w:hAnsi="Times New Roman" w:cs="Times New Roman"/>
              </w:rPr>
            </w:pPr>
          </w:p>
        </w:tc>
      </w:tr>
      <w:tr w:rsidR="00D0519D" w:rsidRPr="00442034" w14:paraId="3F57C474" w14:textId="77777777" w:rsidTr="004B756E">
        <w:trPr>
          <w:trHeight w:val="627"/>
        </w:trPr>
        <w:tc>
          <w:tcPr>
            <w:tcW w:w="3510" w:type="dxa"/>
            <w:tcBorders>
              <w:top w:val="nil"/>
              <w:left w:val="nil"/>
              <w:bottom w:val="nil"/>
              <w:right w:val="nil"/>
            </w:tcBorders>
          </w:tcPr>
          <w:p w14:paraId="59D75967" w14:textId="77777777" w:rsidR="00D0519D" w:rsidRPr="00442034" w:rsidRDefault="00D0519D" w:rsidP="004B756E">
            <w:pPr>
              <w:ind w:left="-30" w:firstLine="110"/>
              <w:rPr>
                <w:rFonts w:ascii="Times New Roman" w:hAnsi="Times New Roman" w:cs="Times New Roman"/>
              </w:rPr>
            </w:pPr>
            <w:r w:rsidRPr="00442034">
              <w:rPr>
                <w:rFonts w:ascii="Times New Roman" w:hAnsi="Times New Roman" w:cs="Times New Roman"/>
              </w:rPr>
              <w:t>LGB Youth</w:t>
            </w:r>
          </w:p>
        </w:tc>
        <w:tc>
          <w:tcPr>
            <w:tcW w:w="990" w:type="dxa"/>
            <w:tcBorders>
              <w:top w:val="nil"/>
              <w:left w:val="nil"/>
              <w:bottom w:val="nil"/>
              <w:right w:val="nil"/>
            </w:tcBorders>
          </w:tcPr>
          <w:p w14:paraId="358D9EC8"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0-100%</w:t>
            </w:r>
          </w:p>
        </w:tc>
        <w:tc>
          <w:tcPr>
            <w:tcW w:w="1440" w:type="dxa"/>
            <w:tcBorders>
              <w:top w:val="nil"/>
              <w:left w:val="nil"/>
              <w:bottom w:val="nil"/>
              <w:right w:val="nil"/>
            </w:tcBorders>
          </w:tcPr>
          <w:p w14:paraId="15113ABF"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19.31%</w:t>
            </w:r>
          </w:p>
          <w:p w14:paraId="51076DEE"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(.40)</w:t>
            </w:r>
          </w:p>
        </w:tc>
        <w:tc>
          <w:tcPr>
            <w:tcW w:w="1530" w:type="dxa"/>
            <w:tcBorders>
              <w:top w:val="nil"/>
              <w:left w:val="nil"/>
              <w:bottom w:val="nil"/>
              <w:right w:val="nil"/>
            </w:tcBorders>
          </w:tcPr>
          <w:p w14:paraId="2511144F" w14:textId="77777777" w:rsidR="00D0519D" w:rsidRPr="00442034" w:rsidRDefault="00D0519D" w:rsidP="004B756E">
            <w:pPr>
              <w:tabs>
                <w:tab w:val="decimal" w:pos="530"/>
              </w:tabs>
              <w:rPr>
                <w:rFonts w:ascii="Times New Roman" w:hAnsi="Times New Roman" w:cs="Times New Roman"/>
              </w:rPr>
            </w:pPr>
          </w:p>
        </w:tc>
        <w:tc>
          <w:tcPr>
            <w:tcW w:w="1890" w:type="dxa"/>
            <w:tcBorders>
              <w:top w:val="nil"/>
              <w:left w:val="nil"/>
              <w:bottom w:val="nil"/>
              <w:right w:val="nil"/>
            </w:tcBorders>
          </w:tcPr>
          <w:p w14:paraId="1B44F42B" w14:textId="77777777" w:rsidR="00D0519D" w:rsidRPr="00442034" w:rsidRDefault="00D0519D" w:rsidP="004B756E">
            <w:pPr>
              <w:tabs>
                <w:tab w:val="decimal" w:pos="800"/>
              </w:tabs>
              <w:rPr>
                <w:rFonts w:ascii="Times New Roman" w:hAnsi="Times New Roman" w:cs="Times New Roman"/>
              </w:rPr>
            </w:pPr>
          </w:p>
        </w:tc>
      </w:tr>
      <w:tr w:rsidR="00D0519D" w:rsidRPr="00442034" w14:paraId="0240424E" w14:textId="77777777" w:rsidTr="004B756E">
        <w:tc>
          <w:tcPr>
            <w:tcW w:w="3510" w:type="dxa"/>
            <w:tcBorders>
              <w:top w:val="nil"/>
              <w:left w:val="nil"/>
              <w:bottom w:val="nil"/>
              <w:right w:val="nil"/>
            </w:tcBorders>
          </w:tcPr>
          <w:p w14:paraId="25185DC6" w14:textId="77777777" w:rsidR="00D0519D" w:rsidRPr="00442034" w:rsidRDefault="00D0519D" w:rsidP="004B756E">
            <w:pPr>
              <w:ind w:left="-30" w:firstLine="110"/>
              <w:rPr>
                <w:rFonts w:ascii="Times New Roman" w:hAnsi="Times New Roman" w:cs="Times New Roman"/>
              </w:rPr>
            </w:pPr>
            <w:r w:rsidRPr="00442034">
              <w:rPr>
                <w:rFonts w:ascii="Times New Roman" w:hAnsi="Times New Roman" w:cs="Times New Roman"/>
              </w:rPr>
              <w:t>Eight or more ACEs</w:t>
            </w:r>
          </w:p>
        </w:tc>
        <w:tc>
          <w:tcPr>
            <w:tcW w:w="990" w:type="dxa"/>
            <w:tcBorders>
              <w:top w:val="nil"/>
              <w:left w:val="nil"/>
              <w:bottom w:val="nil"/>
              <w:right w:val="nil"/>
            </w:tcBorders>
          </w:tcPr>
          <w:p w14:paraId="32D24148"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0-100%</w:t>
            </w:r>
          </w:p>
        </w:tc>
        <w:tc>
          <w:tcPr>
            <w:tcW w:w="1440" w:type="dxa"/>
            <w:tcBorders>
              <w:top w:val="nil"/>
              <w:left w:val="nil"/>
              <w:bottom w:val="nil"/>
              <w:right w:val="nil"/>
            </w:tcBorders>
          </w:tcPr>
          <w:p w14:paraId="471F4484"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29.66%</w:t>
            </w:r>
          </w:p>
          <w:p w14:paraId="1594623C"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(.46)</w:t>
            </w:r>
          </w:p>
        </w:tc>
        <w:tc>
          <w:tcPr>
            <w:tcW w:w="1530" w:type="dxa"/>
            <w:tcBorders>
              <w:top w:val="nil"/>
              <w:left w:val="nil"/>
              <w:bottom w:val="nil"/>
              <w:right w:val="nil"/>
            </w:tcBorders>
          </w:tcPr>
          <w:p w14:paraId="788948F2"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39.29%</w:t>
            </w:r>
          </w:p>
          <w:p w14:paraId="45C0721C"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(.50)</w:t>
            </w:r>
          </w:p>
        </w:tc>
        <w:tc>
          <w:tcPr>
            <w:tcW w:w="1890" w:type="dxa"/>
            <w:tcBorders>
              <w:top w:val="nil"/>
              <w:left w:val="nil"/>
              <w:bottom w:val="nil"/>
              <w:right w:val="nil"/>
            </w:tcBorders>
          </w:tcPr>
          <w:p w14:paraId="02E6824E" w14:textId="77777777" w:rsidR="00D0519D" w:rsidRPr="00442034" w:rsidRDefault="00D0519D" w:rsidP="004B756E">
            <w:pPr>
              <w:tabs>
                <w:tab w:val="decimal" w:pos="800"/>
              </w:tabs>
              <w:rPr>
                <w:rFonts w:ascii="Times New Roman" w:hAnsi="Times New Roman" w:cs="Times New Roman"/>
              </w:rPr>
            </w:pPr>
            <w:r w:rsidRPr="00442034">
              <w:rPr>
                <w:rFonts w:ascii="Times New Roman" w:hAnsi="Times New Roman" w:cs="Times New Roman"/>
              </w:rPr>
              <w:t>27.35%</w:t>
            </w:r>
          </w:p>
          <w:p w14:paraId="60218D8D" w14:textId="77777777" w:rsidR="00D0519D" w:rsidRPr="00442034" w:rsidRDefault="00D0519D" w:rsidP="004B756E">
            <w:pPr>
              <w:tabs>
                <w:tab w:val="decimal" w:pos="800"/>
              </w:tabs>
              <w:rPr>
                <w:rFonts w:ascii="Times New Roman" w:hAnsi="Times New Roman" w:cs="Times New Roman"/>
              </w:rPr>
            </w:pPr>
            <w:r w:rsidRPr="00442034">
              <w:rPr>
                <w:rFonts w:ascii="Times New Roman" w:hAnsi="Times New Roman" w:cs="Times New Roman"/>
              </w:rPr>
              <w:t>(.45)</w:t>
            </w:r>
          </w:p>
        </w:tc>
      </w:tr>
      <w:tr w:rsidR="00D0519D" w:rsidRPr="00442034" w14:paraId="7E8E75E1" w14:textId="77777777" w:rsidTr="004B756E">
        <w:tc>
          <w:tcPr>
            <w:tcW w:w="3510" w:type="dxa"/>
            <w:tcBorders>
              <w:top w:val="nil"/>
              <w:left w:val="nil"/>
              <w:bottom w:val="nil"/>
              <w:right w:val="nil"/>
            </w:tcBorders>
          </w:tcPr>
          <w:p w14:paraId="763C59EA" w14:textId="77777777" w:rsidR="00D0519D" w:rsidRPr="00442034" w:rsidRDefault="00D0519D" w:rsidP="004B756E">
            <w:pPr>
              <w:ind w:left="-30" w:firstLine="20"/>
              <w:rPr>
                <w:rFonts w:ascii="Times New Roman" w:hAnsi="Times New Roman" w:cs="Times New Roman"/>
                <w:i/>
                <w:iCs/>
                <w:u w:val="single"/>
              </w:rPr>
            </w:pPr>
            <w:r w:rsidRPr="00442034">
              <w:rPr>
                <w:rFonts w:ascii="Times New Roman" w:hAnsi="Times New Roman" w:cs="Times New Roman"/>
                <w:i/>
                <w:iCs/>
                <w:u w:val="single"/>
              </w:rPr>
              <w:t>Demographics</w:t>
            </w:r>
          </w:p>
        </w:tc>
        <w:tc>
          <w:tcPr>
            <w:tcW w:w="990" w:type="dxa"/>
            <w:tcBorders>
              <w:top w:val="nil"/>
              <w:left w:val="nil"/>
              <w:bottom w:val="nil"/>
              <w:right w:val="nil"/>
            </w:tcBorders>
          </w:tcPr>
          <w:p w14:paraId="04524CF7" w14:textId="77777777" w:rsidR="00D0519D" w:rsidRPr="00442034" w:rsidRDefault="00D0519D" w:rsidP="004B756E">
            <w:pPr>
              <w:jc w:val="center"/>
              <w:rPr>
                <w:rFonts w:ascii="Times New Roman" w:hAnsi="Times New Roman" w:cs="Times New Roman"/>
              </w:rPr>
            </w:pPr>
          </w:p>
        </w:tc>
        <w:tc>
          <w:tcPr>
            <w:tcW w:w="1440" w:type="dxa"/>
            <w:tcBorders>
              <w:top w:val="nil"/>
              <w:left w:val="nil"/>
              <w:bottom w:val="nil"/>
              <w:right w:val="nil"/>
            </w:tcBorders>
          </w:tcPr>
          <w:p w14:paraId="645F59F3" w14:textId="77777777" w:rsidR="00D0519D" w:rsidRPr="00442034" w:rsidRDefault="00D0519D" w:rsidP="004B756E">
            <w:pPr>
              <w:tabs>
                <w:tab w:val="decimal" w:pos="530"/>
              </w:tabs>
              <w:rPr>
                <w:rFonts w:ascii="Times New Roman" w:hAnsi="Times New Roman" w:cs="Times New Roman"/>
              </w:rPr>
            </w:pPr>
          </w:p>
        </w:tc>
        <w:tc>
          <w:tcPr>
            <w:tcW w:w="1530" w:type="dxa"/>
            <w:tcBorders>
              <w:top w:val="nil"/>
              <w:left w:val="nil"/>
              <w:bottom w:val="nil"/>
              <w:right w:val="nil"/>
            </w:tcBorders>
          </w:tcPr>
          <w:p w14:paraId="390A9E4A" w14:textId="77777777" w:rsidR="00D0519D" w:rsidRPr="00442034" w:rsidRDefault="00D0519D" w:rsidP="004B756E">
            <w:pPr>
              <w:tabs>
                <w:tab w:val="decimal" w:pos="530"/>
              </w:tabs>
              <w:rPr>
                <w:rFonts w:ascii="Times New Roman" w:hAnsi="Times New Roman" w:cs="Times New Roman"/>
              </w:rPr>
            </w:pPr>
          </w:p>
        </w:tc>
        <w:tc>
          <w:tcPr>
            <w:tcW w:w="1890" w:type="dxa"/>
            <w:tcBorders>
              <w:top w:val="nil"/>
              <w:left w:val="nil"/>
              <w:bottom w:val="nil"/>
              <w:right w:val="nil"/>
            </w:tcBorders>
          </w:tcPr>
          <w:p w14:paraId="67673CA5" w14:textId="77777777" w:rsidR="00D0519D" w:rsidRPr="00442034" w:rsidRDefault="00D0519D" w:rsidP="004B756E">
            <w:pPr>
              <w:tabs>
                <w:tab w:val="decimal" w:pos="800"/>
              </w:tabs>
              <w:rPr>
                <w:rFonts w:ascii="Times New Roman" w:hAnsi="Times New Roman" w:cs="Times New Roman"/>
              </w:rPr>
            </w:pPr>
          </w:p>
        </w:tc>
      </w:tr>
      <w:tr w:rsidR="00D0519D" w:rsidRPr="00442034" w14:paraId="1B722681" w14:textId="77777777" w:rsidTr="004B756E">
        <w:trPr>
          <w:trHeight w:val="627"/>
        </w:trPr>
        <w:tc>
          <w:tcPr>
            <w:tcW w:w="3510" w:type="dxa"/>
            <w:tcBorders>
              <w:top w:val="nil"/>
              <w:left w:val="nil"/>
              <w:bottom w:val="nil"/>
              <w:right w:val="nil"/>
            </w:tcBorders>
          </w:tcPr>
          <w:p w14:paraId="3A4D472D" w14:textId="77777777" w:rsidR="00D0519D" w:rsidRPr="00442034" w:rsidRDefault="00D0519D" w:rsidP="004B756E">
            <w:pPr>
              <w:ind w:left="-30" w:firstLine="110"/>
              <w:rPr>
                <w:rFonts w:ascii="Times New Roman" w:hAnsi="Times New Roman" w:cs="Times New Roman"/>
              </w:rPr>
            </w:pPr>
            <w:r w:rsidRPr="00442034">
              <w:rPr>
                <w:rFonts w:ascii="Times New Roman" w:hAnsi="Times New Roman" w:cs="Times New Roman"/>
              </w:rPr>
              <w:t>Female</w:t>
            </w:r>
          </w:p>
        </w:tc>
        <w:tc>
          <w:tcPr>
            <w:tcW w:w="990" w:type="dxa"/>
            <w:tcBorders>
              <w:top w:val="nil"/>
              <w:left w:val="nil"/>
              <w:bottom w:val="nil"/>
              <w:right w:val="nil"/>
            </w:tcBorders>
          </w:tcPr>
          <w:p w14:paraId="41B06EBA"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0-100%</w:t>
            </w:r>
          </w:p>
        </w:tc>
        <w:tc>
          <w:tcPr>
            <w:tcW w:w="1440" w:type="dxa"/>
            <w:tcBorders>
              <w:top w:val="nil"/>
              <w:left w:val="nil"/>
              <w:bottom w:val="nil"/>
              <w:right w:val="nil"/>
            </w:tcBorders>
          </w:tcPr>
          <w:p w14:paraId="2894A632"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62.07%</w:t>
            </w:r>
          </w:p>
          <w:p w14:paraId="69B890B9"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(.49)</w:t>
            </w:r>
          </w:p>
        </w:tc>
        <w:tc>
          <w:tcPr>
            <w:tcW w:w="1530" w:type="dxa"/>
            <w:tcBorders>
              <w:top w:val="nil"/>
              <w:left w:val="nil"/>
              <w:bottom w:val="nil"/>
              <w:right w:val="nil"/>
            </w:tcBorders>
          </w:tcPr>
          <w:p w14:paraId="6894EAC3"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92.86%</w:t>
            </w:r>
          </w:p>
          <w:p w14:paraId="33FF27B6"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(.26)</w:t>
            </w:r>
          </w:p>
        </w:tc>
        <w:tc>
          <w:tcPr>
            <w:tcW w:w="1890" w:type="dxa"/>
            <w:tcBorders>
              <w:top w:val="nil"/>
              <w:left w:val="nil"/>
              <w:bottom w:val="nil"/>
              <w:right w:val="nil"/>
            </w:tcBorders>
          </w:tcPr>
          <w:p w14:paraId="5EA34808" w14:textId="77777777" w:rsidR="00D0519D" w:rsidRPr="00442034" w:rsidRDefault="00D0519D" w:rsidP="004B756E">
            <w:pPr>
              <w:tabs>
                <w:tab w:val="decimal" w:pos="800"/>
              </w:tabs>
              <w:rPr>
                <w:rFonts w:ascii="Times New Roman" w:hAnsi="Times New Roman" w:cs="Times New Roman"/>
              </w:rPr>
            </w:pPr>
            <w:r w:rsidRPr="00442034">
              <w:rPr>
                <w:rFonts w:ascii="Times New Roman" w:hAnsi="Times New Roman" w:cs="Times New Roman"/>
              </w:rPr>
              <w:t>54.70%</w:t>
            </w:r>
          </w:p>
          <w:p w14:paraId="390F4FB8" w14:textId="77777777" w:rsidR="00D0519D" w:rsidRPr="00442034" w:rsidRDefault="00D0519D" w:rsidP="004B756E">
            <w:pPr>
              <w:tabs>
                <w:tab w:val="decimal" w:pos="800"/>
              </w:tabs>
              <w:rPr>
                <w:rFonts w:ascii="Times New Roman" w:hAnsi="Times New Roman" w:cs="Times New Roman"/>
              </w:rPr>
            </w:pPr>
            <w:r w:rsidRPr="00442034">
              <w:rPr>
                <w:rFonts w:ascii="Times New Roman" w:hAnsi="Times New Roman" w:cs="Times New Roman"/>
              </w:rPr>
              <w:t>(.50)</w:t>
            </w:r>
          </w:p>
        </w:tc>
      </w:tr>
      <w:tr w:rsidR="00D0519D" w:rsidRPr="00442034" w14:paraId="2D8E6464" w14:textId="77777777" w:rsidTr="004B756E">
        <w:tc>
          <w:tcPr>
            <w:tcW w:w="3510" w:type="dxa"/>
            <w:tcBorders>
              <w:top w:val="nil"/>
              <w:left w:val="nil"/>
              <w:bottom w:val="single" w:sz="4" w:space="0" w:color="auto"/>
              <w:right w:val="nil"/>
            </w:tcBorders>
          </w:tcPr>
          <w:p w14:paraId="053BE27B" w14:textId="77777777" w:rsidR="00D0519D" w:rsidRPr="00442034" w:rsidRDefault="00D0519D" w:rsidP="004B756E">
            <w:pPr>
              <w:ind w:left="-30" w:firstLine="110"/>
              <w:rPr>
                <w:rFonts w:ascii="Times New Roman" w:hAnsi="Times New Roman" w:cs="Times New Roman"/>
              </w:rPr>
            </w:pPr>
            <w:r w:rsidRPr="00442034">
              <w:rPr>
                <w:rFonts w:ascii="Times New Roman" w:hAnsi="Times New Roman" w:cs="Times New Roman"/>
              </w:rPr>
              <w:t>Non-White</w:t>
            </w:r>
          </w:p>
        </w:tc>
        <w:tc>
          <w:tcPr>
            <w:tcW w:w="990" w:type="dxa"/>
            <w:tcBorders>
              <w:top w:val="nil"/>
              <w:left w:val="nil"/>
              <w:bottom w:val="single" w:sz="4" w:space="0" w:color="auto"/>
              <w:right w:val="nil"/>
            </w:tcBorders>
          </w:tcPr>
          <w:p w14:paraId="656C4453" w14:textId="77777777" w:rsidR="00D0519D" w:rsidRPr="00442034" w:rsidRDefault="00D0519D" w:rsidP="004B756E">
            <w:pPr>
              <w:jc w:val="center"/>
              <w:rPr>
                <w:rFonts w:ascii="Times New Roman" w:hAnsi="Times New Roman" w:cs="Times New Roman"/>
              </w:rPr>
            </w:pPr>
            <w:r w:rsidRPr="00442034">
              <w:rPr>
                <w:rFonts w:ascii="Times New Roman" w:hAnsi="Times New Roman" w:cs="Times New Roman"/>
              </w:rPr>
              <w:t>0-100%</w:t>
            </w:r>
          </w:p>
        </w:tc>
        <w:tc>
          <w:tcPr>
            <w:tcW w:w="1440" w:type="dxa"/>
            <w:tcBorders>
              <w:top w:val="nil"/>
              <w:left w:val="nil"/>
              <w:bottom w:val="single" w:sz="4" w:space="0" w:color="auto"/>
              <w:right w:val="nil"/>
            </w:tcBorders>
          </w:tcPr>
          <w:p w14:paraId="05861479"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64.83%</w:t>
            </w:r>
          </w:p>
          <w:p w14:paraId="03CC2427"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(.48)</w:t>
            </w:r>
          </w:p>
        </w:tc>
        <w:tc>
          <w:tcPr>
            <w:tcW w:w="1530" w:type="dxa"/>
            <w:tcBorders>
              <w:top w:val="nil"/>
              <w:left w:val="nil"/>
              <w:bottom w:val="single" w:sz="4" w:space="0" w:color="auto"/>
              <w:right w:val="nil"/>
            </w:tcBorders>
          </w:tcPr>
          <w:p w14:paraId="49939681"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67.86%</w:t>
            </w:r>
          </w:p>
          <w:p w14:paraId="3E019E64" w14:textId="77777777" w:rsidR="00D0519D" w:rsidRPr="00442034" w:rsidRDefault="00D0519D" w:rsidP="004B756E">
            <w:pPr>
              <w:tabs>
                <w:tab w:val="decimal" w:pos="530"/>
              </w:tabs>
              <w:rPr>
                <w:rFonts w:ascii="Times New Roman" w:hAnsi="Times New Roman" w:cs="Times New Roman"/>
              </w:rPr>
            </w:pPr>
            <w:r w:rsidRPr="00442034">
              <w:rPr>
                <w:rFonts w:ascii="Times New Roman" w:hAnsi="Times New Roman" w:cs="Times New Roman"/>
              </w:rPr>
              <w:t>(.48)</w:t>
            </w:r>
          </w:p>
        </w:tc>
        <w:tc>
          <w:tcPr>
            <w:tcW w:w="1890" w:type="dxa"/>
            <w:tcBorders>
              <w:top w:val="nil"/>
              <w:left w:val="nil"/>
              <w:bottom w:val="single" w:sz="4" w:space="0" w:color="auto"/>
              <w:right w:val="nil"/>
            </w:tcBorders>
          </w:tcPr>
          <w:p w14:paraId="5F263FC3" w14:textId="77777777" w:rsidR="00D0519D" w:rsidRPr="00442034" w:rsidRDefault="00D0519D" w:rsidP="004B756E">
            <w:pPr>
              <w:tabs>
                <w:tab w:val="decimal" w:pos="800"/>
              </w:tabs>
              <w:rPr>
                <w:rFonts w:ascii="Times New Roman" w:hAnsi="Times New Roman" w:cs="Times New Roman"/>
              </w:rPr>
            </w:pPr>
            <w:r w:rsidRPr="00442034">
              <w:rPr>
                <w:rFonts w:ascii="Times New Roman" w:hAnsi="Times New Roman" w:cs="Times New Roman"/>
              </w:rPr>
              <w:t>64.10%</w:t>
            </w:r>
          </w:p>
          <w:p w14:paraId="59690916" w14:textId="77777777" w:rsidR="00D0519D" w:rsidRPr="00442034" w:rsidRDefault="00D0519D" w:rsidP="004B756E">
            <w:pPr>
              <w:tabs>
                <w:tab w:val="decimal" w:pos="800"/>
              </w:tabs>
              <w:rPr>
                <w:rFonts w:ascii="Times New Roman" w:hAnsi="Times New Roman" w:cs="Times New Roman"/>
              </w:rPr>
            </w:pPr>
            <w:r w:rsidRPr="00442034">
              <w:rPr>
                <w:rFonts w:ascii="Times New Roman" w:hAnsi="Times New Roman" w:cs="Times New Roman"/>
              </w:rPr>
              <w:t>(.48)</w:t>
            </w:r>
          </w:p>
        </w:tc>
      </w:tr>
      <w:tr w:rsidR="00D0519D" w:rsidRPr="00442034" w14:paraId="11C91C85" w14:textId="77777777" w:rsidTr="004B756E">
        <w:trPr>
          <w:trHeight w:val="63"/>
        </w:trPr>
        <w:tc>
          <w:tcPr>
            <w:tcW w:w="9360" w:type="dxa"/>
            <w:gridSpan w:val="5"/>
            <w:tcBorders>
              <w:top w:val="single" w:sz="4" w:space="0" w:color="auto"/>
              <w:left w:val="nil"/>
              <w:bottom w:val="nil"/>
            </w:tcBorders>
          </w:tcPr>
          <w:p w14:paraId="4AAE0A2C" w14:textId="77777777" w:rsidR="00D0519D" w:rsidRPr="00442034" w:rsidRDefault="00D0519D" w:rsidP="004B756E">
            <w:pPr>
              <w:tabs>
                <w:tab w:val="decimal" w:pos="800"/>
              </w:tabs>
              <w:rPr>
                <w:rFonts w:ascii="Times New Roman" w:hAnsi="Times New Roman" w:cs="Times New Roman"/>
              </w:rPr>
            </w:pPr>
            <w:r w:rsidRPr="00442034">
              <w:rPr>
                <w:rFonts w:ascii="Times New Roman" w:hAnsi="Times New Roman" w:cs="Times New Roman"/>
                <w:sz w:val="20"/>
                <w:szCs w:val="20"/>
              </w:rPr>
              <w:t>Source: Oklahoma Successful Adulthood (OKSA) (2020)</w:t>
            </w:r>
          </w:p>
        </w:tc>
      </w:tr>
    </w:tbl>
    <w:p w14:paraId="0C06F1A5" w14:textId="77777777" w:rsidR="00D0519D" w:rsidRPr="00442034" w:rsidRDefault="00D0519D" w:rsidP="00D0519D">
      <w:pPr>
        <w:spacing w:line="480" w:lineRule="auto"/>
        <w:contextualSpacing/>
        <w:rPr>
          <w:rFonts w:ascii="Times New Roman" w:hAnsi="Times New Roman" w:cs="Times New Roman"/>
        </w:rPr>
      </w:pPr>
    </w:p>
    <w:p w14:paraId="21ACDFDC" w14:textId="77777777" w:rsidR="00D0519D" w:rsidRDefault="00D0519D" w:rsidP="00D0519D">
      <w:pPr>
        <w:spacing w:line="480" w:lineRule="auto"/>
        <w:contextualSpacing/>
        <w:rPr>
          <w:rFonts w:ascii="Times New Roman" w:hAnsi="Times New Roman" w:cs="Times New Roman"/>
          <w:sz w:val="24"/>
          <w:szCs w:val="24"/>
        </w:rPr>
      </w:pPr>
      <w:r w:rsidRPr="00442034">
        <w:rPr>
          <w:rFonts w:ascii="Times New Roman" w:hAnsi="Times New Roman" w:cs="Times New Roman"/>
          <w:b/>
          <w:bCs/>
          <w:sz w:val="24"/>
          <w:szCs w:val="24"/>
        </w:rPr>
        <w:t>Bivariate Comparison</w:t>
      </w:r>
      <w:r w:rsidRPr="00442034">
        <w:rPr>
          <w:rFonts w:ascii="Times New Roman" w:hAnsi="Times New Roman" w:cs="Times New Roman"/>
          <w:b/>
          <w:bCs/>
          <w:sz w:val="24"/>
          <w:szCs w:val="24"/>
        </w:rPr>
        <w:br/>
      </w:r>
      <w:r w:rsidRPr="00442034">
        <w:rPr>
          <w:rFonts w:ascii="Times New Roman" w:hAnsi="Times New Roman" w:cs="Times New Roman"/>
          <w:i/>
          <w:iCs/>
          <w:sz w:val="24"/>
          <w:szCs w:val="24"/>
        </w:rPr>
        <w:t>How do LGB youth in foster care compare to their non-LGB counterparts on ACEs and the relationship of the caseworker as an external locus of hope?</w:t>
      </w:r>
      <w:r w:rsidRPr="00442034">
        <w:rPr>
          <w:rFonts w:ascii="Times New Roman" w:hAnsi="Times New Roman" w:cs="Times New Roman"/>
          <w:sz w:val="24"/>
          <w:szCs w:val="24"/>
        </w:rPr>
        <w:t xml:space="preserve"> To answer this question, we used two-tailed </w:t>
      </w:r>
      <w:r w:rsidRPr="00442034">
        <w:rPr>
          <w:rFonts w:ascii="Times New Roman" w:hAnsi="Times New Roman" w:cs="Times New Roman"/>
          <w:i/>
          <w:iCs/>
          <w:sz w:val="24"/>
          <w:szCs w:val="24"/>
        </w:rPr>
        <w:t>t</w:t>
      </w:r>
      <w:r w:rsidRPr="00442034">
        <w:rPr>
          <w:rFonts w:ascii="Times New Roman" w:hAnsi="Times New Roman" w:cs="Times New Roman"/>
          <w:sz w:val="24"/>
          <w:szCs w:val="24"/>
        </w:rPr>
        <w:t>-tests to conduct a bivariate comparison of ACE scores and the caseworker as an external locus of hope for LGB and non-LGB youth. Table 1 represents the percentage of youth with high ACE scores (eight or more ACEs) by sexual orientation. Among our sample, 39</w:t>
      </w:r>
      <w:proofErr w:type="gramStart"/>
      <w:r w:rsidRPr="00442034">
        <w:rPr>
          <w:rFonts w:ascii="Times New Roman" w:hAnsi="Times New Roman" w:cs="Times New Roman"/>
          <w:sz w:val="24"/>
          <w:szCs w:val="24"/>
        </w:rPr>
        <w:t>%  of</w:t>
      </w:r>
      <w:proofErr w:type="gramEnd"/>
      <w:r w:rsidRPr="00442034">
        <w:rPr>
          <w:rFonts w:ascii="Times New Roman" w:hAnsi="Times New Roman" w:cs="Times New Roman"/>
          <w:sz w:val="24"/>
          <w:szCs w:val="24"/>
        </w:rPr>
        <w:t xml:space="preserve"> LGB youth reported having experienced eight or more ACEs, compared to 27% of non-LGB youth, though this finding was not significant at the </w:t>
      </w:r>
      <w:r w:rsidRPr="00442034">
        <w:rPr>
          <w:rFonts w:ascii="Times New Roman" w:hAnsi="Times New Roman" w:cs="Times New Roman"/>
          <w:i/>
          <w:iCs/>
          <w:sz w:val="24"/>
          <w:szCs w:val="24"/>
        </w:rPr>
        <w:t>p</w:t>
      </w:r>
      <w:r w:rsidRPr="00442034">
        <w:rPr>
          <w:rFonts w:ascii="Times New Roman" w:hAnsi="Times New Roman" w:cs="Times New Roman"/>
          <w:sz w:val="24"/>
          <w:szCs w:val="24"/>
        </w:rPr>
        <w:t xml:space="preserve"> &lt; .10 level (</w:t>
      </w:r>
      <w:r w:rsidRPr="00442034">
        <w:rPr>
          <w:rFonts w:ascii="Times New Roman" w:hAnsi="Times New Roman" w:cs="Times New Roman"/>
          <w:i/>
          <w:iCs/>
          <w:sz w:val="24"/>
          <w:szCs w:val="24"/>
        </w:rPr>
        <w:t>p</w:t>
      </w:r>
      <w:r w:rsidRPr="00442034">
        <w:rPr>
          <w:rFonts w:ascii="Times New Roman" w:hAnsi="Times New Roman" w:cs="Times New Roman"/>
          <w:sz w:val="24"/>
          <w:szCs w:val="24"/>
        </w:rPr>
        <w:t xml:space="preserve"> = .108). A bivariate comparison for the caseworkers as external locus of hope scores showed that LGB youth perceive their caseworker as a lower source of hope than non-LGB youth. However, this finding was not statistically significant. </w:t>
      </w:r>
    </w:p>
    <w:p w14:paraId="389EC6F9" w14:textId="77777777" w:rsidR="00880A6D" w:rsidRPr="00442034" w:rsidRDefault="00880A6D" w:rsidP="00D0519D">
      <w:pPr>
        <w:spacing w:line="480" w:lineRule="auto"/>
        <w:contextualSpacing/>
        <w:rPr>
          <w:rFonts w:ascii="Times New Roman" w:hAnsi="Times New Roman" w:cs="Times New Roman"/>
          <w:sz w:val="24"/>
          <w:szCs w:val="24"/>
        </w:rPr>
      </w:pPr>
    </w:p>
    <w:p w14:paraId="0014CE52" w14:textId="77777777" w:rsidR="00D0519D" w:rsidRPr="00442034" w:rsidRDefault="00D0519D" w:rsidP="00D0519D">
      <w:pPr>
        <w:spacing w:line="480" w:lineRule="auto"/>
        <w:contextualSpacing/>
        <w:rPr>
          <w:rFonts w:ascii="Times New Roman" w:hAnsi="Times New Roman" w:cs="Times New Roman"/>
          <w:b/>
          <w:bCs/>
          <w:sz w:val="24"/>
          <w:szCs w:val="24"/>
        </w:rPr>
      </w:pPr>
      <w:r w:rsidRPr="00442034">
        <w:rPr>
          <w:rFonts w:ascii="Times New Roman" w:hAnsi="Times New Roman" w:cs="Times New Roman"/>
          <w:b/>
          <w:bCs/>
          <w:sz w:val="24"/>
          <w:szCs w:val="24"/>
        </w:rPr>
        <w:lastRenderedPageBreak/>
        <w:t>Multivariate Analyses</w:t>
      </w:r>
    </w:p>
    <w:p w14:paraId="393BD9A2" w14:textId="77777777"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i/>
          <w:iCs/>
          <w:sz w:val="24"/>
          <w:szCs w:val="24"/>
        </w:rPr>
        <w:t>For youth in foster care, how is LGB identity associated with caseworkers as an external locus of hope controlling other factors, including ACEs?</w:t>
      </w:r>
      <w:r w:rsidRPr="00442034">
        <w:rPr>
          <w:rFonts w:ascii="Times New Roman" w:hAnsi="Times New Roman" w:cs="Times New Roman"/>
          <w:sz w:val="24"/>
          <w:szCs w:val="24"/>
        </w:rPr>
        <w:t xml:space="preserve"> To address this question, we examine results from Models 1 and 2 of our three stepwise OLS regression models presented in Table 2. In both models, we do not find a significant difference in the association between LGB youth and perceptions of their caseworker as an external locus of hope, controlling for sex and race, and subsequently a high ACE score. However, the direction of this association is negative in both models. We did find that in both Model 1 and Model 2, females had significantly higher hope from their caseworkers than males, regardless of other factors. No other variables were significant.  </w:t>
      </w:r>
    </w:p>
    <w:p w14:paraId="7022EFAE" w14:textId="1C825287" w:rsidR="00D0519D"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i/>
          <w:iCs/>
          <w:sz w:val="24"/>
          <w:szCs w:val="24"/>
        </w:rPr>
        <w:t>For youth in foster care, how do high ACEs and LGB stats interact to influence hope in their caseworker?</w:t>
      </w:r>
      <w:r w:rsidRPr="00442034">
        <w:rPr>
          <w:rFonts w:ascii="Times New Roman" w:hAnsi="Times New Roman" w:cs="Times New Roman"/>
          <w:sz w:val="24"/>
          <w:szCs w:val="24"/>
        </w:rPr>
        <w:t xml:space="preserve"> In Model 3, LGB youth with eight or more ACEs approach significance (</w:t>
      </w:r>
      <w:r w:rsidRPr="00442034">
        <w:rPr>
          <w:rFonts w:ascii="Times New Roman" w:hAnsi="Times New Roman" w:cs="Times New Roman"/>
          <w:i/>
          <w:iCs/>
          <w:sz w:val="24"/>
          <w:szCs w:val="24"/>
        </w:rPr>
        <w:t>p</w:t>
      </w:r>
      <w:r w:rsidRPr="00442034">
        <w:rPr>
          <w:rFonts w:ascii="Times New Roman" w:hAnsi="Times New Roman" w:cs="Times New Roman"/>
          <w:sz w:val="24"/>
          <w:szCs w:val="24"/>
        </w:rPr>
        <w:t xml:space="preserve">.&lt;.10) in their association with their caseworker as a source of hope as compared to non-LGB youth and youth with fewer than eight ACES, suggesting those two statuses interact to increase the perception of their caseworker as an external locus of hope (see Table 2). Females have a significant and positive association with their caseworker as an external locus of hope in this model, consistent with previous models. In summary, LGB youth with high ACES trend toward being significantly more likely to perceive their caseworker as an external locus of hope than other youth, controlling for other factors. </w:t>
      </w:r>
    </w:p>
    <w:p w14:paraId="549BB655" w14:textId="77777777" w:rsidR="00880A6D" w:rsidRDefault="00880A6D" w:rsidP="00D0519D">
      <w:pPr>
        <w:spacing w:line="480" w:lineRule="auto"/>
        <w:ind w:firstLine="720"/>
        <w:contextualSpacing/>
        <w:rPr>
          <w:rFonts w:ascii="Times New Roman" w:hAnsi="Times New Roman" w:cs="Times New Roman"/>
          <w:sz w:val="24"/>
          <w:szCs w:val="24"/>
        </w:rPr>
      </w:pPr>
    </w:p>
    <w:p w14:paraId="704326E3" w14:textId="77777777" w:rsidR="00880A6D" w:rsidRDefault="00880A6D" w:rsidP="00D0519D">
      <w:pPr>
        <w:spacing w:line="480" w:lineRule="auto"/>
        <w:ind w:firstLine="720"/>
        <w:contextualSpacing/>
        <w:rPr>
          <w:rFonts w:ascii="Times New Roman" w:hAnsi="Times New Roman" w:cs="Times New Roman"/>
          <w:sz w:val="24"/>
          <w:szCs w:val="24"/>
        </w:rPr>
      </w:pPr>
    </w:p>
    <w:p w14:paraId="07EFF7FE" w14:textId="77777777" w:rsidR="00880A6D" w:rsidRDefault="00880A6D" w:rsidP="00D0519D">
      <w:pPr>
        <w:spacing w:line="480" w:lineRule="auto"/>
        <w:ind w:firstLine="720"/>
        <w:contextualSpacing/>
        <w:rPr>
          <w:rFonts w:ascii="Times New Roman" w:hAnsi="Times New Roman" w:cs="Times New Roman"/>
          <w:sz w:val="24"/>
          <w:szCs w:val="24"/>
        </w:rPr>
      </w:pPr>
    </w:p>
    <w:p w14:paraId="3302C0EA" w14:textId="77777777" w:rsidR="00880A6D" w:rsidRPr="00442034" w:rsidRDefault="00880A6D" w:rsidP="00D0519D">
      <w:pPr>
        <w:spacing w:line="480" w:lineRule="auto"/>
        <w:ind w:firstLine="720"/>
        <w:contextualSpacing/>
        <w:rPr>
          <w:rFonts w:ascii="Times New Roman" w:hAnsi="Times New Roman" w:cs="Times New Roman"/>
          <w:sz w:val="24"/>
          <w:szCs w:val="24"/>
        </w:rPr>
      </w:pPr>
    </w:p>
    <w:tbl>
      <w:tblPr>
        <w:tblW w:w="9411" w:type="dxa"/>
        <w:tblLayout w:type="fixed"/>
        <w:tblLook w:val="0000" w:firstRow="0" w:lastRow="0" w:firstColumn="0" w:lastColumn="0" w:noHBand="0" w:noVBand="0"/>
      </w:tblPr>
      <w:tblGrid>
        <w:gridCol w:w="3258"/>
        <w:gridCol w:w="1350"/>
        <w:gridCol w:w="810"/>
        <w:gridCol w:w="1080"/>
        <w:gridCol w:w="810"/>
        <w:gridCol w:w="1170"/>
        <w:gridCol w:w="933"/>
      </w:tblGrid>
      <w:tr w:rsidR="00D0519D" w:rsidRPr="00442034" w14:paraId="68554C78" w14:textId="77777777" w:rsidTr="004B756E">
        <w:trPr>
          <w:trHeight w:val="253"/>
        </w:trPr>
        <w:tc>
          <w:tcPr>
            <w:tcW w:w="9411" w:type="dxa"/>
            <w:gridSpan w:val="7"/>
            <w:tcBorders>
              <w:left w:val="nil"/>
              <w:right w:val="nil"/>
            </w:tcBorders>
          </w:tcPr>
          <w:p w14:paraId="0751CDEA" w14:textId="77777777" w:rsidR="00D0519D" w:rsidRPr="00442034" w:rsidRDefault="00D0519D" w:rsidP="004B756E">
            <w:pPr>
              <w:widowControl w:val="0"/>
              <w:autoSpaceDE w:val="0"/>
              <w:autoSpaceDN w:val="0"/>
              <w:adjustRightInd w:val="0"/>
              <w:rPr>
                <w:rFonts w:ascii="Times New Roman" w:hAnsi="Times New Roman" w:cs="Times New Roman"/>
              </w:rPr>
            </w:pPr>
            <w:r w:rsidRPr="00442034">
              <w:rPr>
                <w:rFonts w:ascii="Times New Roman" w:hAnsi="Times New Roman" w:cs="Times New Roman"/>
                <w:b/>
                <w:bCs/>
              </w:rPr>
              <w:lastRenderedPageBreak/>
              <w:t>Table 2. Multiple Regression of Caseworker Hope Scores on Sexual Orientation, ACE scores, Sex, and Race</w:t>
            </w:r>
          </w:p>
        </w:tc>
      </w:tr>
      <w:tr w:rsidR="00D0519D" w:rsidRPr="00442034" w14:paraId="63993616" w14:textId="77777777" w:rsidTr="004B756E">
        <w:trPr>
          <w:trHeight w:val="253"/>
        </w:trPr>
        <w:tc>
          <w:tcPr>
            <w:tcW w:w="3258" w:type="dxa"/>
            <w:tcBorders>
              <w:top w:val="single" w:sz="4" w:space="0" w:color="auto"/>
              <w:left w:val="nil"/>
              <w:right w:val="nil"/>
            </w:tcBorders>
          </w:tcPr>
          <w:p w14:paraId="2B6375DB" w14:textId="77777777" w:rsidR="00D0519D" w:rsidRPr="00442034" w:rsidRDefault="00D0519D" w:rsidP="004B756E">
            <w:pPr>
              <w:widowControl w:val="0"/>
              <w:autoSpaceDE w:val="0"/>
              <w:autoSpaceDN w:val="0"/>
              <w:adjustRightInd w:val="0"/>
              <w:rPr>
                <w:rFonts w:ascii="Times New Roman" w:hAnsi="Times New Roman" w:cs="Times New Roman"/>
              </w:rPr>
            </w:pPr>
          </w:p>
        </w:tc>
        <w:tc>
          <w:tcPr>
            <w:tcW w:w="2160" w:type="dxa"/>
            <w:gridSpan w:val="2"/>
            <w:tcBorders>
              <w:top w:val="single" w:sz="4" w:space="0" w:color="auto"/>
              <w:left w:val="nil"/>
              <w:bottom w:val="nil"/>
              <w:right w:val="nil"/>
            </w:tcBorders>
          </w:tcPr>
          <w:p w14:paraId="21AD195E"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Model 1</w:t>
            </w:r>
          </w:p>
        </w:tc>
        <w:tc>
          <w:tcPr>
            <w:tcW w:w="1890" w:type="dxa"/>
            <w:gridSpan w:val="2"/>
            <w:tcBorders>
              <w:top w:val="single" w:sz="4" w:space="0" w:color="auto"/>
              <w:left w:val="nil"/>
              <w:bottom w:val="nil"/>
              <w:right w:val="nil"/>
            </w:tcBorders>
          </w:tcPr>
          <w:p w14:paraId="08B2F794"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Model 2</w:t>
            </w:r>
          </w:p>
        </w:tc>
        <w:tc>
          <w:tcPr>
            <w:tcW w:w="2103" w:type="dxa"/>
            <w:gridSpan w:val="2"/>
            <w:tcBorders>
              <w:top w:val="single" w:sz="4" w:space="0" w:color="auto"/>
              <w:left w:val="nil"/>
              <w:bottom w:val="nil"/>
              <w:right w:val="nil"/>
            </w:tcBorders>
          </w:tcPr>
          <w:p w14:paraId="54D0A6BB"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Model 3</w:t>
            </w:r>
          </w:p>
        </w:tc>
      </w:tr>
      <w:tr w:rsidR="00D0519D" w:rsidRPr="00442034" w14:paraId="4ABE18E0" w14:textId="77777777" w:rsidTr="004B756E">
        <w:trPr>
          <w:trHeight w:val="272"/>
        </w:trPr>
        <w:tc>
          <w:tcPr>
            <w:tcW w:w="3258" w:type="dxa"/>
            <w:tcBorders>
              <w:left w:val="nil"/>
              <w:right w:val="nil"/>
            </w:tcBorders>
          </w:tcPr>
          <w:p w14:paraId="07BCE840" w14:textId="77777777" w:rsidR="00D0519D" w:rsidRPr="00442034" w:rsidRDefault="00D0519D" w:rsidP="004B756E">
            <w:pPr>
              <w:widowControl w:val="0"/>
              <w:autoSpaceDE w:val="0"/>
              <w:autoSpaceDN w:val="0"/>
              <w:adjustRightInd w:val="0"/>
              <w:rPr>
                <w:rFonts w:ascii="Times New Roman" w:hAnsi="Times New Roman" w:cs="Times New Roman"/>
                <w:i/>
                <w:iCs/>
                <w:u w:val="single"/>
              </w:rPr>
            </w:pPr>
            <w:r w:rsidRPr="00442034">
              <w:rPr>
                <w:rFonts w:ascii="Times New Roman" w:hAnsi="Times New Roman" w:cs="Times New Roman"/>
                <w:i/>
                <w:iCs/>
                <w:u w:val="single"/>
              </w:rPr>
              <w:t>Main Effects</w:t>
            </w:r>
          </w:p>
        </w:tc>
        <w:tc>
          <w:tcPr>
            <w:tcW w:w="1350" w:type="dxa"/>
            <w:tcBorders>
              <w:top w:val="single" w:sz="4" w:space="0" w:color="auto"/>
              <w:left w:val="nil"/>
              <w:bottom w:val="nil"/>
              <w:right w:val="nil"/>
            </w:tcBorders>
          </w:tcPr>
          <w:p w14:paraId="75269532"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sym w:font="Symbol" w:char="F062"/>
            </w:r>
          </w:p>
        </w:tc>
        <w:tc>
          <w:tcPr>
            <w:tcW w:w="810" w:type="dxa"/>
            <w:tcBorders>
              <w:top w:val="single" w:sz="4" w:space="0" w:color="auto"/>
              <w:left w:val="nil"/>
              <w:bottom w:val="nil"/>
              <w:right w:val="nil"/>
            </w:tcBorders>
          </w:tcPr>
          <w:p w14:paraId="643696F9" w14:textId="77777777" w:rsidR="00D0519D" w:rsidRPr="00442034" w:rsidRDefault="00D0519D" w:rsidP="004B756E">
            <w:pPr>
              <w:widowControl w:val="0"/>
              <w:autoSpaceDE w:val="0"/>
              <w:autoSpaceDN w:val="0"/>
              <w:adjustRightInd w:val="0"/>
              <w:jc w:val="center"/>
              <w:rPr>
                <w:rFonts w:ascii="Times New Roman" w:hAnsi="Times New Roman" w:cs="Times New Roman"/>
                <w:i/>
                <w:iCs/>
              </w:rPr>
            </w:pPr>
            <w:r w:rsidRPr="00442034">
              <w:rPr>
                <w:rFonts w:ascii="Times New Roman" w:hAnsi="Times New Roman" w:cs="Times New Roman"/>
                <w:i/>
                <w:iCs/>
              </w:rPr>
              <w:t>(SE)</w:t>
            </w:r>
          </w:p>
        </w:tc>
        <w:tc>
          <w:tcPr>
            <w:tcW w:w="1080" w:type="dxa"/>
            <w:tcBorders>
              <w:top w:val="single" w:sz="4" w:space="0" w:color="auto"/>
              <w:left w:val="nil"/>
              <w:bottom w:val="nil"/>
              <w:right w:val="nil"/>
            </w:tcBorders>
          </w:tcPr>
          <w:p w14:paraId="1D4AB962"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sym w:font="Symbol" w:char="F062"/>
            </w:r>
          </w:p>
        </w:tc>
        <w:tc>
          <w:tcPr>
            <w:tcW w:w="810" w:type="dxa"/>
            <w:tcBorders>
              <w:top w:val="single" w:sz="4" w:space="0" w:color="auto"/>
              <w:left w:val="nil"/>
              <w:bottom w:val="nil"/>
              <w:right w:val="nil"/>
            </w:tcBorders>
          </w:tcPr>
          <w:p w14:paraId="56B69FCB" w14:textId="77777777" w:rsidR="00D0519D" w:rsidRPr="00442034" w:rsidRDefault="00D0519D" w:rsidP="004B756E">
            <w:pPr>
              <w:widowControl w:val="0"/>
              <w:autoSpaceDE w:val="0"/>
              <w:autoSpaceDN w:val="0"/>
              <w:adjustRightInd w:val="0"/>
              <w:jc w:val="center"/>
              <w:rPr>
                <w:rFonts w:ascii="Times New Roman" w:hAnsi="Times New Roman" w:cs="Times New Roman"/>
                <w:i/>
                <w:iCs/>
              </w:rPr>
            </w:pPr>
            <w:r w:rsidRPr="00442034">
              <w:rPr>
                <w:rFonts w:ascii="Times New Roman" w:hAnsi="Times New Roman" w:cs="Times New Roman"/>
                <w:i/>
                <w:iCs/>
              </w:rPr>
              <w:t>(SE)</w:t>
            </w:r>
          </w:p>
        </w:tc>
        <w:tc>
          <w:tcPr>
            <w:tcW w:w="1170" w:type="dxa"/>
            <w:tcBorders>
              <w:top w:val="single" w:sz="4" w:space="0" w:color="auto"/>
              <w:left w:val="nil"/>
              <w:bottom w:val="nil"/>
              <w:right w:val="nil"/>
            </w:tcBorders>
          </w:tcPr>
          <w:p w14:paraId="371D1B9E"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sym w:font="Symbol" w:char="F062"/>
            </w:r>
          </w:p>
        </w:tc>
        <w:tc>
          <w:tcPr>
            <w:tcW w:w="933" w:type="dxa"/>
            <w:tcBorders>
              <w:top w:val="single" w:sz="4" w:space="0" w:color="auto"/>
              <w:left w:val="nil"/>
              <w:bottom w:val="nil"/>
              <w:right w:val="nil"/>
            </w:tcBorders>
          </w:tcPr>
          <w:p w14:paraId="72B95350" w14:textId="77777777" w:rsidR="00D0519D" w:rsidRPr="00442034" w:rsidRDefault="00D0519D" w:rsidP="004B756E">
            <w:pPr>
              <w:widowControl w:val="0"/>
              <w:autoSpaceDE w:val="0"/>
              <w:autoSpaceDN w:val="0"/>
              <w:adjustRightInd w:val="0"/>
              <w:jc w:val="center"/>
              <w:rPr>
                <w:rFonts w:ascii="Times New Roman" w:hAnsi="Times New Roman" w:cs="Times New Roman"/>
                <w:i/>
                <w:iCs/>
              </w:rPr>
            </w:pPr>
            <w:r w:rsidRPr="00442034">
              <w:rPr>
                <w:rFonts w:ascii="Times New Roman" w:hAnsi="Times New Roman" w:cs="Times New Roman"/>
                <w:i/>
                <w:iCs/>
              </w:rPr>
              <w:t>(SE)</w:t>
            </w:r>
          </w:p>
        </w:tc>
      </w:tr>
      <w:tr w:rsidR="00D0519D" w:rsidRPr="00442034" w14:paraId="1A90CBA9" w14:textId="77777777" w:rsidTr="004B756E">
        <w:trPr>
          <w:trHeight w:val="272"/>
        </w:trPr>
        <w:tc>
          <w:tcPr>
            <w:tcW w:w="3258" w:type="dxa"/>
            <w:tcBorders>
              <w:left w:val="nil"/>
              <w:bottom w:val="nil"/>
              <w:right w:val="nil"/>
            </w:tcBorders>
          </w:tcPr>
          <w:p w14:paraId="79CD2A1B" w14:textId="77777777" w:rsidR="00D0519D" w:rsidRPr="00442034" w:rsidRDefault="00D0519D" w:rsidP="004B756E">
            <w:pPr>
              <w:widowControl w:val="0"/>
              <w:autoSpaceDE w:val="0"/>
              <w:autoSpaceDN w:val="0"/>
              <w:adjustRightInd w:val="0"/>
              <w:rPr>
                <w:rFonts w:ascii="Times New Roman" w:hAnsi="Times New Roman" w:cs="Times New Roman"/>
              </w:rPr>
            </w:pPr>
            <w:r w:rsidRPr="00442034">
              <w:rPr>
                <w:rFonts w:ascii="Times New Roman" w:hAnsi="Times New Roman" w:cs="Times New Roman"/>
              </w:rPr>
              <w:t>LGB Youth</w:t>
            </w:r>
          </w:p>
        </w:tc>
        <w:tc>
          <w:tcPr>
            <w:tcW w:w="1350" w:type="dxa"/>
            <w:tcBorders>
              <w:top w:val="single" w:sz="4" w:space="0" w:color="auto"/>
              <w:left w:val="nil"/>
              <w:bottom w:val="nil"/>
              <w:right w:val="nil"/>
            </w:tcBorders>
          </w:tcPr>
          <w:p w14:paraId="4ED53AC1"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-4.85</w:t>
            </w:r>
          </w:p>
        </w:tc>
        <w:tc>
          <w:tcPr>
            <w:tcW w:w="810" w:type="dxa"/>
            <w:tcBorders>
              <w:top w:val="single" w:sz="4" w:space="0" w:color="auto"/>
              <w:left w:val="nil"/>
              <w:bottom w:val="nil"/>
              <w:right w:val="nil"/>
            </w:tcBorders>
          </w:tcPr>
          <w:p w14:paraId="653BDC25"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(3.15)</w:t>
            </w:r>
          </w:p>
        </w:tc>
        <w:tc>
          <w:tcPr>
            <w:tcW w:w="1080" w:type="dxa"/>
            <w:tcBorders>
              <w:top w:val="single" w:sz="4" w:space="0" w:color="auto"/>
              <w:left w:val="nil"/>
              <w:bottom w:val="nil"/>
              <w:right w:val="nil"/>
            </w:tcBorders>
          </w:tcPr>
          <w:p w14:paraId="44797612"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-4.79</w:t>
            </w:r>
          </w:p>
        </w:tc>
        <w:tc>
          <w:tcPr>
            <w:tcW w:w="810" w:type="dxa"/>
            <w:tcBorders>
              <w:top w:val="single" w:sz="4" w:space="0" w:color="auto"/>
              <w:left w:val="nil"/>
              <w:bottom w:val="nil"/>
              <w:right w:val="nil"/>
            </w:tcBorders>
          </w:tcPr>
          <w:p w14:paraId="02B36955"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(3.16)</w:t>
            </w:r>
          </w:p>
        </w:tc>
        <w:tc>
          <w:tcPr>
            <w:tcW w:w="1170" w:type="dxa"/>
            <w:tcBorders>
              <w:top w:val="single" w:sz="4" w:space="0" w:color="auto"/>
              <w:left w:val="nil"/>
              <w:bottom w:val="nil"/>
              <w:right w:val="nil"/>
            </w:tcBorders>
          </w:tcPr>
          <w:p w14:paraId="37DC9EB9" w14:textId="77777777" w:rsidR="00D0519D" w:rsidRPr="00442034" w:rsidRDefault="00D0519D" w:rsidP="004B756E">
            <w:pPr>
              <w:widowControl w:val="0"/>
              <w:autoSpaceDE w:val="0"/>
              <w:autoSpaceDN w:val="0"/>
              <w:adjustRightInd w:val="0"/>
              <w:jc w:val="center"/>
              <w:rPr>
                <w:rFonts w:ascii="Times New Roman" w:hAnsi="Times New Roman" w:cs="Times New Roman"/>
                <w:vertAlign w:val="superscript"/>
              </w:rPr>
            </w:pPr>
            <w:r w:rsidRPr="00442034">
              <w:rPr>
                <w:rFonts w:ascii="Times New Roman" w:hAnsi="Times New Roman" w:cs="Times New Roman"/>
              </w:rPr>
              <w:t>-9.10</w:t>
            </w:r>
            <w:r w:rsidRPr="00442034">
              <w:rPr>
                <w:rFonts w:ascii="Times New Roman" w:hAnsi="Times New Roman" w:cs="Times New Roman"/>
                <w:vertAlign w:val="superscript"/>
              </w:rPr>
              <w:t>*</w:t>
            </w:r>
          </w:p>
        </w:tc>
        <w:tc>
          <w:tcPr>
            <w:tcW w:w="933" w:type="dxa"/>
            <w:tcBorders>
              <w:top w:val="single" w:sz="4" w:space="0" w:color="auto"/>
              <w:left w:val="nil"/>
              <w:bottom w:val="nil"/>
              <w:right w:val="nil"/>
            </w:tcBorders>
          </w:tcPr>
          <w:p w14:paraId="25C1E592"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(3.95)</w:t>
            </w:r>
          </w:p>
        </w:tc>
      </w:tr>
      <w:tr w:rsidR="00D0519D" w:rsidRPr="00442034" w14:paraId="4522C05D" w14:textId="77777777" w:rsidTr="004B756E">
        <w:trPr>
          <w:trHeight w:val="253"/>
        </w:trPr>
        <w:tc>
          <w:tcPr>
            <w:tcW w:w="3258" w:type="dxa"/>
            <w:tcBorders>
              <w:top w:val="nil"/>
              <w:left w:val="nil"/>
              <w:bottom w:val="nil"/>
              <w:right w:val="nil"/>
            </w:tcBorders>
          </w:tcPr>
          <w:p w14:paraId="3FE1E005" w14:textId="77777777" w:rsidR="00D0519D" w:rsidRPr="00442034" w:rsidRDefault="00D0519D" w:rsidP="004B756E">
            <w:pPr>
              <w:widowControl w:val="0"/>
              <w:autoSpaceDE w:val="0"/>
              <w:autoSpaceDN w:val="0"/>
              <w:adjustRightInd w:val="0"/>
              <w:rPr>
                <w:rFonts w:ascii="Times New Roman" w:hAnsi="Times New Roman" w:cs="Times New Roman"/>
                <w:i/>
                <w:iCs/>
                <w:u w:val="single"/>
              </w:rPr>
            </w:pPr>
            <w:r w:rsidRPr="00442034">
              <w:rPr>
                <w:rFonts w:ascii="Times New Roman" w:hAnsi="Times New Roman" w:cs="Times New Roman"/>
              </w:rPr>
              <w:t>Eight or more ACEs</w:t>
            </w:r>
          </w:p>
        </w:tc>
        <w:tc>
          <w:tcPr>
            <w:tcW w:w="1350" w:type="dxa"/>
            <w:tcBorders>
              <w:top w:val="nil"/>
              <w:left w:val="nil"/>
              <w:bottom w:val="nil"/>
              <w:right w:val="nil"/>
            </w:tcBorders>
          </w:tcPr>
          <w:p w14:paraId="575C008C"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810" w:type="dxa"/>
            <w:tcBorders>
              <w:top w:val="nil"/>
              <w:left w:val="nil"/>
              <w:bottom w:val="nil"/>
              <w:right w:val="nil"/>
            </w:tcBorders>
          </w:tcPr>
          <w:p w14:paraId="7F8DE7CD"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1080" w:type="dxa"/>
            <w:tcBorders>
              <w:top w:val="nil"/>
              <w:left w:val="nil"/>
              <w:bottom w:val="nil"/>
              <w:right w:val="nil"/>
            </w:tcBorders>
          </w:tcPr>
          <w:p w14:paraId="0202A7BA"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r w:rsidRPr="00442034">
              <w:rPr>
                <w:rFonts w:ascii="Times New Roman" w:hAnsi="Times New Roman" w:cs="Times New Roman"/>
              </w:rPr>
              <w:t>-2.42</w:t>
            </w:r>
          </w:p>
        </w:tc>
        <w:tc>
          <w:tcPr>
            <w:tcW w:w="810" w:type="dxa"/>
            <w:tcBorders>
              <w:top w:val="nil"/>
              <w:left w:val="nil"/>
              <w:bottom w:val="nil"/>
              <w:right w:val="nil"/>
            </w:tcBorders>
          </w:tcPr>
          <w:p w14:paraId="3AE92E9D"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r w:rsidRPr="00442034">
              <w:rPr>
                <w:rFonts w:ascii="Times New Roman" w:hAnsi="Times New Roman" w:cs="Times New Roman"/>
              </w:rPr>
              <w:t>(2.72)</w:t>
            </w:r>
          </w:p>
        </w:tc>
        <w:tc>
          <w:tcPr>
            <w:tcW w:w="1170" w:type="dxa"/>
            <w:tcBorders>
              <w:top w:val="nil"/>
              <w:left w:val="nil"/>
              <w:bottom w:val="nil"/>
              <w:right w:val="nil"/>
            </w:tcBorders>
          </w:tcPr>
          <w:p w14:paraId="1EADFEAD"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r w:rsidRPr="00442034">
              <w:rPr>
                <w:rFonts w:ascii="Times New Roman" w:hAnsi="Times New Roman" w:cs="Times New Roman"/>
              </w:rPr>
              <w:t>-4.99</w:t>
            </w:r>
            <w:r w:rsidRPr="00442034">
              <w:rPr>
                <w:rFonts w:ascii="Times New Roman" w:hAnsi="Times New Roman" w:cs="Times New Roman"/>
                <w:vertAlign w:val="superscript"/>
              </w:rPr>
              <w:t>†</w:t>
            </w:r>
          </w:p>
        </w:tc>
        <w:tc>
          <w:tcPr>
            <w:tcW w:w="933" w:type="dxa"/>
            <w:tcBorders>
              <w:top w:val="nil"/>
              <w:left w:val="nil"/>
              <w:bottom w:val="nil"/>
              <w:right w:val="nil"/>
            </w:tcBorders>
          </w:tcPr>
          <w:p w14:paraId="141001D3"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r w:rsidRPr="00442034">
              <w:rPr>
                <w:rFonts w:ascii="Times New Roman" w:hAnsi="Times New Roman" w:cs="Times New Roman"/>
              </w:rPr>
              <w:t>(3.05)</w:t>
            </w:r>
          </w:p>
        </w:tc>
      </w:tr>
      <w:tr w:rsidR="00D0519D" w:rsidRPr="00442034" w14:paraId="718E35D3" w14:textId="77777777" w:rsidTr="004B756E">
        <w:trPr>
          <w:trHeight w:val="253"/>
        </w:trPr>
        <w:tc>
          <w:tcPr>
            <w:tcW w:w="3258" w:type="dxa"/>
            <w:tcBorders>
              <w:top w:val="nil"/>
              <w:left w:val="nil"/>
              <w:bottom w:val="nil"/>
              <w:right w:val="nil"/>
            </w:tcBorders>
          </w:tcPr>
          <w:p w14:paraId="613A78EA" w14:textId="77777777" w:rsidR="00D0519D" w:rsidRPr="00442034" w:rsidRDefault="00D0519D" w:rsidP="004B756E">
            <w:pPr>
              <w:widowControl w:val="0"/>
              <w:autoSpaceDE w:val="0"/>
              <w:autoSpaceDN w:val="0"/>
              <w:adjustRightInd w:val="0"/>
              <w:rPr>
                <w:rFonts w:ascii="Times New Roman" w:hAnsi="Times New Roman" w:cs="Times New Roman"/>
                <w:i/>
                <w:iCs/>
                <w:u w:val="single"/>
              </w:rPr>
            </w:pPr>
            <w:r w:rsidRPr="00442034">
              <w:rPr>
                <w:rFonts w:ascii="Times New Roman" w:hAnsi="Times New Roman" w:cs="Times New Roman"/>
                <w:i/>
                <w:iCs/>
                <w:u w:val="single"/>
              </w:rPr>
              <w:t>Interaction Effect</w:t>
            </w:r>
          </w:p>
        </w:tc>
        <w:tc>
          <w:tcPr>
            <w:tcW w:w="1350" w:type="dxa"/>
            <w:tcBorders>
              <w:top w:val="nil"/>
              <w:left w:val="nil"/>
              <w:bottom w:val="nil"/>
              <w:right w:val="nil"/>
            </w:tcBorders>
          </w:tcPr>
          <w:p w14:paraId="1B3D8DA4"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810" w:type="dxa"/>
            <w:tcBorders>
              <w:top w:val="nil"/>
              <w:left w:val="nil"/>
              <w:bottom w:val="nil"/>
              <w:right w:val="nil"/>
            </w:tcBorders>
          </w:tcPr>
          <w:p w14:paraId="236F7DE2"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1080" w:type="dxa"/>
            <w:tcBorders>
              <w:top w:val="nil"/>
              <w:left w:val="nil"/>
              <w:bottom w:val="nil"/>
              <w:right w:val="nil"/>
            </w:tcBorders>
          </w:tcPr>
          <w:p w14:paraId="073D0E83"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810" w:type="dxa"/>
            <w:tcBorders>
              <w:top w:val="nil"/>
              <w:left w:val="nil"/>
              <w:bottom w:val="nil"/>
              <w:right w:val="nil"/>
            </w:tcBorders>
          </w:tcPr>
          <w:p w14:paraId="4C626F09"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1170" w:type="dxa"/>
            <w:tcBorders>
              <w:top w:val="nil"/>
              <w:left w:val="nil"/>
              <w:bottom w:val="nil"/>
              <w:right w:val="nil"/>
            </w:tcBorders>
          </w:tcPr>
          <w:p w14:paraId="774A95FE"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933" w:type="dxa"/>
            <w:tcBorders>
              <w:top w:val="nil"/>
              <w:left w:val="nil"/>
              <w:bottom w:val="nil"/>
              <w:right w:val="nil"/>
            </w:tcBorders>
          </w:tcPr>
          <w:p w14:paraId="0369166E"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r>
      <w:tr w:rsidR="00D0519D" w:rsidRPr="00442034" w14:paraId="11F02470" w14:textId="77777777" w:rsidTr="004B756E">
        <w:trPr>
          <w:trHeight w:val="253"/>
        </w:trPr>
        <w:tc>
          <w:tcPr>
            <w:tcW w:w="3258" w:type="dxa"/>
            <w:tcBorders>
              <w:top w:val="nil"/>
              <w:left w:val="nil"/>
              <w:bottom w:val="nil"/>
              <w:right w:val="nil"/>
            </w:tcBorders>
          </w:tcPr>
          <w:p w14:paraId="77B3E4DF" w14:textId="77777777" w:rsidR="00D0519D" w:rsidRPr="00442034" w:rsidRDefault="00D0519D" w:rsidP="004B756E">
            <w:pPr>
              <w:widowControl w:val="0"/>
              <w:autoSpaceDE w:val="0"/>
              <w:autoSpaceDN w:val="0"/>
              <w:adjustRightInd w:val="0"/>
              <w:rPr>
                <w:rFonts w:ascii="Times New Roman" w:hAnsi="Times New Roman" w:cs="Times New Roman"/>
                <w:i/>
                <w:iCs/>
                <w:u w:val="single"/>
              </w:rPr>
            </w:pPr>
            <w:r w:rsidRPr="00442034">
              <w:rPr>
                <w:rFonts w:ascii="Times New Roman" w:hAnsi="Times New Roman" w:cs="Times New Roman"/>
              </w:rPr>
              <w:t>LGB Youths x 8 or more ACEs</w:t>
            </w:r>
          </w:p>
        </w:tc>
        <w:tc>
          <w:tcPr>
            <w:tcW w:w="1350" w:type="dxa"/>
            <w:tcBorders>
              <w:top w:val="nil"/>
              <w:left w:val="nil"/>
              <w:bottom w:val="nil"/>
              <w:right w:val="nil"/>
            </w:tcBorders>
          </w:tcPr>
          <w:p w14:paraId="4B603DB7"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810" w:type="dxa"/>
            <w:tcBorders>
              <w:top w:val="nil"/>
              <w:left w:val="nil"/>
              <w:bottom w:val="nil"/>
              <w:right w:val="nil"/>
            </w:tcBorders>
          </w:tcPr>
          <w:p w14:paraId="462C7550"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1080" w:type="dxa"/>
            <w:tcBorders>
              <w:top w:val="nil"/>
              <w:left w:val="nil"/>
              <w:bottom w:val="nil"/>
              <w:right w:val="nil"/>
            </w:tcBorders>
          </w:tcPr>
          <w:p w14:paraId="329D641E"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810" w:type="dxa"/>
            <w:tcBorders>
              <w:top w:val="nil"/>
              <w:left w:val="nil"/>
              <w:bottom w:val="nil"/>
              <w:right w:val="nil"/>
            </w:tcBorders>
          </w:tcPr>
          <w:p w14:paraId="5B169582"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1170" w:type="dxa"/>
            <w:tcBorders>
              <w:top w:val="nil"/>
              <w:left w:val="nil"/>
              <w:bottom w:val="nil"/>
              <w:right w:val="nil"/>
            </w:tcBorders>
          </w:tcPr>
          <w:p w14:paraId="0C72886D"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r w:rsidRPr="00442034">
              <w:rPr>
                <w:rFonts w:ascii="Times New Roman" w:hAnsi="Times New Roman" w:cs="Times New Roman"/>
              </w:rPr>
              <w:t>11.3</w:t>
            </w:r>
            <w:r w:rsidRPr="00442034">
              <w:rPr>
                <w:rFonts w:ascii="Times New Roman" w:hAnsi="Times New Roman" w:cs="Times New Roman"/>
                <w:vertAlign w:val="superscript"/>
              </w:rPr>
              <w:t>†</w:t>
            </w:r>
          </w:p>
        </w:tc>
        <w:tc>
          <w:tcPr>
            <w:tcW w:w="933" w:type="dxa"/>
            <w:tcBorders>
              <w:top w:val="nil"/>
              <w:left w:val="nil"/>
              <w:bottom w:val="nil"/>
              <w:right w:val="nil"/>
            </w:tcBorders>
          </w:tcPr>
          <w:p w14:paraId="20E87C2A"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r w:rsidRPr="00442034">
              <w:rPr>
                <w:rFonts w:ascii="Times New Roman" w:hAnsi="Times New Roman" w:cs="Times New Roman"/>
              </w:rPr>
              <w:t>(6.28)</w:t>
            </w:r>
          </w:p>
        </w:tc>
      </w:tr>
      <w:tr w:rsidR="00D0519D" w:rsidRPr="00442034" w14:paraId="62E40950" w14:textId="77777777" w:rsidTr="004B756E">
        <w:trPr>
          <w:trHeight w:val="253"/>
        </w:trPr>
        <w:tc>
          <w:tcPr>
            <w:tcW w:w="3258" w:type="dxa"/>
            <w:tcBorders>
              <w:top w:val="nil"/>
              <w:left w:val="nil"/>
              <w:bottom w:val="nil"/>
              <w:right w:val="nil"/>
            </w:tcBorders>
          </w:tcPr>
          <w:p w14:paraId="44B2939C" w14:textId="77777777" w:rsidR="00D0519D" w:rsidRPr="00442034" w:rsidRDefault="00D0519D" w:rsidP="004B756E">
            <w:pPr>
              <w:widowControl w:val="0"/>
              <w:autoSpaceDE w:val="0"/>
              <w:autoSpaceDN w:val="0"/>
              <w:adjustRightInd w:val="0"/>
              <w:rPr>
                <w:rFonts w:ascii="Times New Roman" w:hAnsi="Times New Roman" w:cs="Times New Roman"/>
                <w:i/>
                <w:iCs/>
                <w:u w:val="single"/>
              </w:rPr>
            </w:pPr>
            <w:r w:rsidRPr="00442034">
              <w:rPr>
                <w:rFonts w:ascii="Times New Roman" w:hAnsi="Times New Roman" w:cs="Times New Roman"/>
                <w:i/>
                <w:iCs/>
                <w:u w:val="single"/>
              </w:rPr>
              <w:t>Controls</w:t>
            </w:r>
          </w:p>
        </w:tc>
        <w:tc>
          <w:tcPr>
            <w:tcW w:w="1350" w:type="dxa"/>
            <w:tcBorders>
              <w:top w:val="nil"/>
              <w:left w:val="nil"/>
              <w:bottom w:val="nil"/>
              <w:right w:val="nil"/>
            </w:tcBorders>
          </w:tcPr>
          <w:p w14:paraId="11D5A6FC"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810" w:type="dxa"/>
            <w:tcBorders>
              <w:top w:val="nil"/>
              <w:left w:val="nil"/>
              <w:bottom w:val="nil"/>
              <w:right w:val="nil"/>
            </w:tcBorders>
          </w:tcPr>
          <w:p w14:paraId="4C73C6D2"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1080" w:type="dxa"/>
            <w:tcBorders>
              <w:top w:val="nil"/>
              <w:left w:val="nil"/>
              <w:bottom w:val="nil"/>
              <w:right w:val="nil"/>
            </w:tcBorders>
          </w:tcPr>
          <w:p w14:paraId="109F45C0"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810" w:type="dxa"/>
            <w:tcBorders>
              <w:top w:val="nil"/>
              <w:left w:val="nil"/>
              <w:bottom w:val="nil"/>
              <w:right w:val="nil"/>
            </w:tcBorders>
          </w:tcPr>
          <w:p w14:paraId="494399F6"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1170" w:type="dxa"/>
            <w:tcBorders>
              <w:top w:val="nil"/>
              <w:left w:val="nil"/>
              <w:bottom w:val="nil"/>
              <w:right w:val="nil"/>
            </w:tcBorders>
          </w:tcPr>
          <w:p w14:paraId="41764995"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c>
          <w:tcPr>
            <w:tcW w:w="933" w:type="dxa"/>
            <w:tcBorders>
              <w:top w:val="nil"/>
              <w:left w:val="nil"/>
              <w:bottom w:val="nil"/>
              <w:right w:val="nil"/>
            </w:tcBorders>
          </w:tcPr>
          <w:p w14:paraId="71F1C373" w14:textId="77777777" w:rsidR="00D0519D" w:rsidRPr="00442034" w:rsidRDefault="00D0519D" w:rsidP="004B756E">
            <w:pPr>
              <w:widowControl w:val="0"/>
              <w:autoSpaceDE w:val="0"/>
              <w:autoSpaceDN w:val="0"/>
              <w:adjustRightInd w:val="0"/>
              <w:jc w:val="center"/>
              <w:rPr>
                <w:rFonts w:ascii="Times New Roman" w:hAnsi="Times New Roman" w:cs="Times New Roman"/>
                <w:i/>
                <w:iCs/>
                <w:u w:val="single"/>
              </w:rPr>
            </w:pPr>
          </w:p>
        </w:tc>
      </w:tr>
      <w:tr w:rsidR="00D0519D" w:rsidRPr="00442034" w14:paraId="5D110A34" w14:textId="77777777" w:rsidTr="004B756E">
        <w:trPr>
          <w:trHeight w:val="253"/>
        </w:trPr>
        <w:tc>
          <w:tcPr>
            <w:tcW w:w="3258" w:type="dxa"/>
            <w:tcBorders>
              <w:top w:val="nil"/>
              <w:left w:val="nil"/>
              <w:bottom w:val="nil"/>
              <w:right w:val="nil"/>
            </w:tcBorders>
          </w:tcPr>
          <w:p w14:paraId="614629B0" w14:textId="77777777" w:rsidR="00D0519D" w:rsidRPr="00442034" w:rsidRDefault="00D0519D" w:rsidP="004B756E">
            <w:pPr>
              <w:widowControl w:val="0"/>
              <w:autoSpaceDE w:val="0"/>
              <w:autoSpaceDN w:val="0"/>
              <w:adjustRightInd w:val="0"/>
              <w:rPr>
                <w:rFonts w:ascii="Times New Roman" w:hAnsi="Times New Roman" w:cs="Times New Roman"/>
              </w:rPr>
            </w:pPr>
            <w:r w:rsidRPr="00442034">
              <w:rPr>
                <w:rFonts w:ascii="Times New Roman" w:hAnsi="Times New Roman" w:cs="Times New Roman"/>
              </w:rPr>
              <w:t>Female</w:t>
            </w:r>
          </w:p>
        </w:tc>
        <w:tc>
          <w:tcPr>
            <w:tcW w:w="1350" w:type="dxa"/>
            <w:tcBorders>
              <w:top w:val="nil"/>
              <w:left w:val="nil"/>
              <w:bottom w:val="nil"/>
              <w:right w:val="nil"/>
            </w:tcBorders>
          </w:tcPr>
          <w:p w14:paraId="5BBA26CB"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5.14</w:t>
            </w:r>
            <w:r w:rsidRPr="00442034">
              <w:rPr>
                <w:rFonts w:ascii="Times New Roman" w:hAnsi="Times New Roman" w:cs="Times New Roman"/>
                <w:vertAlign w:val="superscript"/>
              </w:rPr>
              <w:t>*</w:t>
            </w:r>
          </w:p>
        </w:tc>
        <w:tc>
          <w:tcPr>
            <w:tcW w:w="810" w:type="dxa"/>
            <w:tcBorders>
              <w:top w:val="nil"/>
              <w:left w:val="nil"/>
              <w:bottom w:val="nil"/>
              <w:right w:val="nil"/>
            </w:tcBorders>
          </w:tcPr>
          <w:p w14:paraId="0F6F1C21"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(2.57)</w:t>
            </w:r>
          </w:p>
        </w:tc>
        <w:tc>
          <w:tcPr>
            <w:tcW w:w="1080" w:type="dxa"/>
            <w:tcBorders>
              <w:top w:val="nil"/>
              <w:left w:val="nil"/>
              <w:bottom w:val="nil"/>
              <w:right w:val="nil"/>
            </w:tcBorders>
          </w:tcPr>
          <w:p w14:paraId="3496E46C"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5.77</w:t>
            </w:r>
            <w:r w:rsidRPr="00442034">
              <w:rPr>
                <w:rFonts w:ascii="Times New Roman" w:hAnsi="Times New Roman" w:cs="Times New Roman"/>
                <w:vertAlign w:val="superscript"/>
              </w:rPr>
              <w:t>*</w:t>
            </w:r>
          </w:p>
        </w:tc>
        <w:tc>
          <w:tcPr>
            <w:tcW w:w="810" w:type="dxa"/>
            <w:tcBorders>
              <w:top w:val="nil"/>
              <w:left w:val="nil"/>
              <w:bottom w:val="nil"/>
              <w:right w:val="nil"/>
            </w:tcBorders>
          </w:tcPr>
          <w:p w14:paraId="1BC5D32F"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(2.67)</w:t>
            </w:r>
          </w:p>
        </w:tc>
        <w:tc>
          <w:tcPr>
            <w:tcW w:w="1170" w:type="dxa"/>
            <w:tcBorders>
              <w:top w:val="nil"/>
              <w:left w:val="nil"/>
              <w:bottom w:val="nil"/>
              <w:right w:val="nil"/>
            </w:tcBorders>
          </w:tcPr>
          <w:p w14:paraId="0F4384A6"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6.22</w:t>
            </w:r>
            <w:r w:rsidRPr="00442034">
              <w:rPr>
                <w:rFonts w:ascii="Times New Roman" w:hAnsi="Times New Roman" w:cs="Times New Roman"/>
                <w:vertAlign w:val="superscript"/>
              </w:rPr>
              <w:t>*</w:t>
            </w:r>
          </w:p>
        </w:tc>
        <w:tc>
          <w:tcPr>
            <w:tcW w:w="933" w:type="dxa"/>
            <w:tcBorders>
              <w:top w:val="nil"/>
              <w:left w:val="nil"/>
              <w:bottom w:val="nil"/>
              <w:right w:val="nil"/>
            </w:tcBorders>
          </w:tcPr>
          <w:p w14:paraId="2C448E3A"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(2.66)</w:t>
            </w:r>
          </w:p>
        </w:tc>
      </w:tr>
      <w:tr w:rsidR="00D0519D" w:rsidRPr="00442034" w14:paraId="4C6E9808" w14:textId="77777777" w:rsidTr="004B756E">
        <w:trPr>
          <w:trHeight w:val="272"/>
        </w:trPr>
        <w:tc>
          <w:tcPr>
            <w:tcW w:w="3258" w:type="dxa"/>
            <w:tcBorders>
              <w:top w:val="nil"/>
              <w:left w:val="nil"/>
              <w:bottom w:val="nil"/>
              <w:right w:val="nil"/>
            </w:tcBorders>
          </w:tcPr>
          <w:p w14:paraId="71C16380" w14:textId="77777777" w:rsidR="00D0519D" w:rsidRPr="00442034" w:rsidRDefault="00D0519D" w:rsidP="004B756E">
            <w:pPr>
              <w:widowControl w:val="0"/>
              <w:autoSpaceDE w:val="0"/>
              <w:autoSpaceDN w:val="0"/>
              <w:adjustRightInd w:val="0"/>
              <w:rPr>
                <w:rFonts w:ascii="Times New Roman" w:hAnsi="Times New Roman" w:cs="Times New Roman"/>
              </w:rPr>
            </w:pPr>
            <w:r w:rsidRPr="00442034">
              <w:rPr>
                <w:rFonts w:ascii="Times New Roman" w:hAnsi="Times New Roman" w:cs="Times New Roman"/>
              </w:rPr>
              <w:t>Non-White</w:t>
            </w:r>
          </w:p>
        </w:tc>
        <w:tc>
          <w:tcPr>
            <w:tcW w:w="1350" w:type="dxa"/>
            <w:tcBorders>
              <w:top w:val="nil"/>
              <w:left w:val="nil"/>
              <w:bottom w:val="nil"/>
              <w:right w:val="nil"/>
            </w:tcBorders>
          </w:tcPr>
          <w:p w14:paraId="231313F2"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1.93</w:t>
            </w:r>
          </w:p>
        </w:tc>
        <w:tc>
          <w:tcPr>
            <w:tcW w:w="810" w:type="dxa"/>
            <w:tcBorders>
              <w:top w:val="nil"/>
              <w:left w:val="nil"/>
              <w:bottom w:val="nil"/>
              <w:right w:val="nil"/>
            </w:tcBorders>
          </w:tcPr>
          <w:p w14:paraId="2DF0FADD"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(2.48)</w:t>
            </w:r>
          </w:p>
        </w:tc>
        <w:tc>
          <w:tcPr>
            <w:tcW w:w="1080" w:type="dxa"/>
            <w:tcBorders>
              <w:top w:val="nil"/>
              <w:left w:val="nil"/>
              <w:bottom w:val="nil"/>
              <w:right w:val="nil"/>
            </w:tcBorders>
          </w:tcPr>
          <w:p w14:paraId="10D4C2DC"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1.69</w:t>
            </w:r>
          </w:p>
        </w:tc>
        <w:tc>
          <w:tcPr>
            <w:tcW w:w="810" w:type="dxa"/>
            <w:tcBorders>
              <w:top w:val="nil"/>
              <w:left w:val="nil"/>
              <w:bottom w:val="nil"/>
              <w:right w:val="nil"/>
            </w:tcBorders>
          </w:tcPr>
          <w:p w14:paraId="4D442BD7"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(2.50)</w:t>
            </w:r>
          </w:p>
        </w:tc>
        <w:tc>
          <w:tcPr>
            <w:tcW w:w="1170" w:type="dxa"/>
            <w:tcBorders>
              <w:top w:val="nil"/>
              <w:left w:val="nil"/>
              <w:bottom w:val="nil"/>
              <w:right w:val="nil"/>
            </w:tcBorders>
          </w:tcPr>
          <w:p w14:paraId="4B52C09B"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2.25</w:t>
            </w:r>
          </w:p>
        </w:tc>
        <w:tc>
          <w:tcPr>
            <w:tcW w:w="933" w:type="dxa"/>
            <w:tcBorders>
              <w:top w:val="nil"/>
              <w:left w:val="nil"/>
              <w:bottom w:val="nil"/>
              <w:right w:val="nil"/>
            </w:tcBorders>
          </w:tcPr>
          <w:p w14:paraId="40B3CA8F" w14:textId="77777777" w:rsidR="00D0519D" w:rsidRPr="00442034" w:rsidRDefault="00D0519D" w:rsidP="004B756E">
            <w:pPr>
              <w:widowControl w:val="0"/>
              <w:autoSpaceDE w:val="0"/>
              <w:autoSpaceDN w:val="0"/>
              <w:adjustRightInd w:val="0"/>
              <w:jc w:val="center"/>
              <w:rPr>
                <w:rFonts w:ascii="Times New Roman" w:hAnsi="Times New Roman" w:cs="Times New Roman"/>
              </w:rPr>
            </w:pPr>
            <w:r w:rsidRPr="00442034">
              <w:rPr>
                <w:rFonts w:ascii="Times New Roman" w:hAnsi="Times New Roman" w:cs="Times New Roman"/>
              </w:rPr>
              <w:t>(2.50)</w:t>
            </w:r>
          </w:p>
        </w:tc>
      </w:tr>
      <w:tr w:rsidR="00D0519D" w:rsidRPr="00442034" w14:paraId="0F1F8C30" w14:textId="77777777" w:rsidTr="004B756E">
        <w:trPr>
          <w:trHeight w:val="272"/>
        </w:trPr>
        <w:tc>
          <w:tcPr>
            <w:tcW w:w="3258" w:type="dxa"/>
            <w:tcBorders>
              <w:top w:val="single" w:sz="4" w:space="0" w:color="auto"/>
              <w:left w:val="nil"/>
              <w:right w:val="nil"/>
            </w:tcBorders>
          </w:tcPr>
          <w:p w14:paraId="49CB3AB4" w14:textId="77777777" w:rsidR="00D0519D" w:rsidRPr="00442034" w:rsidRDefault="00D0519D" w:rsidP="004B756E">
            <w:pPr>
              <w:widowControl w:val="0"/>
              <w:autoSpaceDE w:val="0"/>
              <w:autoSpaceDN w:val="0"/>
              <w:adjustRightInd w:val="0"/>
              <w:rPr>
                <w:rFonts w:ascii="Times New Roman" w:hAnsi="Times New Roman" w:cs="Times New Roman"/>
              </w:rPr>
            </w:pPr>
            <w:r w:rsidRPr="00442034">
              <w:rPr>
                <w:rFonts w:ascii="Times New Roman" w:hAnsi="Times New Roman" w:cs="Times New Roman"/>
                <w:i/>
                <w:iCs/>
              </w:rPr>
              <w:t>R</w:t>
            </w:r>
            <w:r w:rsidRPr="00442034">
              <w:rPr>
                <w:rFonts w:ascii="Times New Roman" w:hAnsi="Times New Roman" w:cs="Times New Roman"/>
                <w:vertAlign w:val="superscript"/>
              </w:rPr>
              <w:t>2</w:t>
            </w:r>
          </w:p>
        </w:tc>
        <w:tc>
          <w:tcPr>
            <w:tcW w:w="2160" w:type="dxa"/>
            <w:gridSpan w:val="2"/>
            <w:tcBorders>
              <w:top w:val="single" w:sz="4" w:space="0" w:color="auto"/>
              <w:left w:val="nil"/>
              <w:right w:val="nil"/>
            </w:tcBorders>
          </w:tcPr>
          <w:p w14:paraId="1497F664" w14:textId="77777777" w:rsidR="00D0519D" w:rsidRPr="00442034" w:rsidRDefault="00D0519D" w:rsidP="004B756E">
            <w:pPr>
              <w:widowControl w:val="0"/>
              <w:tabs>
                <w:tab w:val="decimal" w:pos="960"/>
              </w:tabs>
              <w:autoSpaceDE w:val="0"/>
              <w:autoSpaceDN w:val="0"/>
              <w:adjustRightInd w:val="0"/>
              <w:rPr>
                <w:rFonts w:ascii="Times New Roman" w:hAnsi="Times New Roman" w:cs="Times New Roman"/>
              </w:rPr>
            </w:pPr>
            <w:r w:rsidRPr="00442034">
              <w:rPr>
                <w:rFonts w:ascii="Times New Roman" w:hAnsi="Times New Roman" w:cs="Times New Roman"/>
              </w:rPr>
              <w:t>0.04</w:t>
            </w:r>
          </w:p>
        </w:tc>
        <w:tc>
          <w:tcPr>
            <w:tcW w:w="1890" w:type="dxa"/>
            <w:gridSpan w:val="2"/>
            <w:tcBorders>
              <w:top w:val="single" w:sz="4" w:space="0" w:color="auto"/>
              <w:left w:val="nil"/>
              <w:right w:val="nil"/>
            </w:tcBorders>
          </w:tcPr>
          <w:p w14:paraId="24D41C7E" w14:textId="77777777" w:rsidR="00D0519D" w:rsidRPr="00442034" w:rsidRDefault="00D0519D" w:rsidP="004B756E">
            <w:pPr>
              <w:widowControl w:val="0"/>
              <w:tabs>
                <w:tab w:val="decimal" w:pos="780"/>
              </w:tabs>
              <w:autoSpaceDE w:val="0"/>
              <w:autoSpaceDN w:val="0"/>
              <w:adjustRightInd w:val="0"/>
              <w:jc w:val="both"/>
              <w:rPr>
                <w:rFonts w:ascii="Times New Roman" w:hAnsi="Times New Roman" w:cs="Times New Roman"/>
              </w:rPr>
            </w:pPr>
            <w:r w:rsidRPr="00442034">
              <w:rPr>
                <w:rFonts w:ascii="Times New Roman" w:hAnsi="Times New Roman" w:cs="Times New Roman"/>
              </w:rPr>
              <w:t>0.04</w:t>
            </w:r>
          </w:p>
        </w:tc>
        <w:tc>
          <w:tcPr>
            <w:tcW w:w="2103" w:type="dxa"/>
            <w:gridSpan w:val="2"/>
            <w:tcBorders>
              <w:top w:val="single" w:sz="4" w:space="0" w:color="auto"/>
              <w:left w:val="nil"/>
              <w:right w:val="nil"/>
            </w:tcBorders>
          </w:tcPr>
          <w:p w14:paraId="7855D028" w14:textId="77777777" w:rsidR="00D0519D" w:rsidRPr="00442034" w:rsidRDefault="00D0519D" w:rsidP="004B756E">
            <w:pPr>
              <w:widowControl w:val="0"/>
              <w:tabs>
                <w:tab w:val="decimal" w:pos="860"/>
              </w:tabs>
              <w:autoSpaceDE w:val="0"/>
              <w:autoSpaceDN w:val="0"/>
              <w:adjustRightInd w:val="0"/>
              <w:rPr>
                <w:rFonts w:ascii="Times New Roman" w:hAnsi="Times New Roman" w:cs="Times New Roman"/>
              </w:rPr>
            </w:pPr>
            <w:r w:rsidRPr="00442034">
              <w:rPr>
                <w:rFonts w:ascii="Times New Roman" w:hAnsi="Times New Roman" w:cs="Times New Roman"/>
              </w:rPr>
              <w:t>0.06</w:t>
            </w:r>
          </w:p>
        </w:tc>
      </w:tr>
      <w:tr w:rsidR="00D0519D" w:rsidRPr="00442034" w14:paraId="33391D9A" w14:textId="77777777" w:rsidTr="004B756E">
        <w:trPr>
          <w:trHeight w:val="272"/>
        </w:trPr>
        <w:tc>
          <w:tcPr>
            <w:tcW w:w="3258" w:type="dxa"/>
            <w:tcBorders>
              <w:left w:val="nil"/>
              <w:right w:val="nil"/>
            </w:tcBorders>
          </w:tcPr>
          <w:p w14:paraId="4851D871" w14:textId="77777777" w:rsidR="00D0519D" w:rsidRPr="00442034" w:rsidRDefault="00D0519D" w:rsidP="004B756E">
            <w:pPr>
              <w:widowControl w:val="0"/>
              <w:autoSpaceDE w:val="0"/>
              <w:autoSpaceDN w:val="0"/>
              <w:adjustRightInd w:val="0"/>
              <w:rPr>
                <w:rFonts w:ascii="Times New Roman" w:hAnsi="Times New Roman" w:cs="Times New Roman"/>
                <w:i/>
                <w:iCs/>
              </w:rPr>
            </w:pPr>
            <w:r w:rsidRPr="00442034">
              <w:rPr>
                <w:rFonts w:ascii="Times New Roman" w:hAnsi="Times New Roman" w:cs="Times New Roman"/>
                <w:i/>
                <w:iCs/>
              </w:rPr>
              <w:t>AIC</w:t>
            </w:r>
          </w:p>
        </w:tc>
        <w:tc>
          <w:tcPr>
            <w:tcW w:w="2160" w:type="dxa"/>
            <w:gridSpan w:val="2"/>
            <w:tcBorders>
              <w:left w:val="nil"/>
              <w:right w:val="nil"/>
            </w:tcBorders>
          </w:tcPr>
          <w:p w14:paraId="06E93A13" w14:textId="77777777" w:rsidR="00D0519D" w:rsidRPr="00442034" w:rsidRDefault="00D0519D" w:rsidP="004B756E">
            <w:pPr>
              <w:widowControl w:val="0"/>
              <w:tabs>
                <w:tab w:val="decimal" w:pos="960"/>
              </w:tabs>
              <w:autoSpaceDE w:val="0"/>
              <w:autoSpaceDN w:val="0"/>
              <w:adjustRightInd w:val="0"/>
              <w:rPr>
                <w:rFonts w:ascii="Times New Roman" w:hAnsi="Times New Roman" w:cs="Times New Roman"/>
              </w:rPr>
            </w:pPr>
            <w:r w:rsidRPr="00442034">
              <w:rPr>
                <w:rFonts w:ascii="Times New Roman" w:hAnsi="Times New Roman" w:cs="Times New Roman"/>
              </w:rPr>
              <w:t>1185.42</w:t>
            </w:r>
          </w:p>
        </w:tc>
        <w:tc>
          <w:tcPr>
            <w:tcW w:w="1890" w:type="dxa"/>
            <w:gridSpan w:val="2"/>
            <w:tcBorders>
              <w:left w:val="nil"/>
              <w:right w:val="nil"/>
            </w:tcBorders>
          </w:tcPr>
          <w:p w14:paraId="3C65A845" w14:textId="77777777" w:rsidR="00D0519D" w:rsidRPr="00442034" w:rsidRDefault="00D0519D" w:rsidP="004B756E">
            <w:pPr>
              <w:widowControl w:val="0"/>
              <w:tabs>
                <w:tab w:val="decimal" w:pos="780"/>
              </w:tabs>
              <w:autoSpaceDE w:val="0"/>
              <w:autoSpaceDN w:val="0"/>
              <w:adjustRightInd w:val="0"/>
              <w:jc w:val="both"/>
              <w:rPr>
                <w:rFonts w:ascii="Times New Roman" w:hAnsi="Times New Roman" w:cs="Times New Roman"/>
              </w:rPr>
            </w:pPr>
            <w:r w:rsidRPr="00442034">
              <w:rPr>
                <w:rFonts w:ascii="Times New Roman" w:hAnsi="Times New Roman" w:cs="Times New Roman"/>
              </w:rPr>
              <w:t>1186.60</w:t>
            </w:r>
          </w:p>
        </w:tc>
        <w:tc>
          <w:tcPr>
            <w:tcW w:w="2103" w:type="dxa"/>
            <w:gridSpan w:val="2"/>
            <w:tcBorders>
              <w:left w:val="nil"/>
              <w:right w:val="nil"/>
            </w:tcBorders>
          </w:tcPr>
          <w:p w14:paraId="22F52FD7" w14:textId="77777777" w:rsidR="00D0519D" w:rsidRPr="00442034" w:rsidRDefault="00D0519D" w:rsidP="004B756E">
            <w:pPr>
              <w:widowControl w:val="0"/>
              <w:tabs>
                <w:tab w:val="decimal" w:pos="860"/>
              </w:tabs>
              <w:autoSpaceDE w:val="0"/>
              <w:autoSpaceDN w:val="0"/>
              <w:adjustRightInd w:val="0"/>
              <w:rPr>
                <w:rFonts w:ascii="Times New Roman" w:hAnsi="Times New Roman" w:cs="Times New Roman"/>
              </w:rPr>
            </w:pPr>
            <w:r w:rsidRPr="00442034">
              <w:rPr>
                <w:rFonts w:ascii="Times New Roman" w:hAnsi="Times New Roman" w:cs="Times New Roman"/>
              </w:rPr>
              <w:t>1185.28</w:t>
            </w:r>
          </w:p>
        </w:tc>
      </w:tr>
      <w:tr w:rsidR="00D0519D" w:rsidRPr="00442034" w14:paraId="17BB4437" w14:textId="77777777" w:rsidTr="004B756E">
        <w:trPr>
          <w:trHeight w:val="272"/>
        </w:trPr>
        <w:tc>
          <w:tcPr>
            <w:tcW w:w="3258" w:type="dxa"/>
            <w:tcBorders>
              <w:left w:val="nil"/>
              <w:bottom w:val="single" w:sz="4" w:space="0" w:color="auto"/>
              <w:right w:val="nil"/>
            </w:tcBorders>
          </w:tcPr>
          <w:p w14:paraId="31317643" w14:textId="77777777" w:rsidR="00D0519D" w:rsidRPr="00442034" w:rsidRDefault="00D0519D" w:rsidP="004B756E">
            <w:pPr>
              <w:widowControl w:val="0"/>
              <w:autoSpaceDE w:val="0"/>
              <w:autoSpaceDN w:val="0"/>
              <w:adjustRightInd w:val="0"/>
              <w:rPr>
                <w:rFonts w:ascii="Times New Roman" w:hAnsi="Times New Roman" w:cs="Times New Roman"/>
                <w:i/>
                <w:iCs/>
              </w:rPr>
            </w:pPr>
            <w:r w:rsidRPr="00442034">
              <w:rPr>
                <w:rFonts w:ascii="Times New Roman" w:hAnsi="Times New Roman" w:cs="Times New Roman"/>
                <w:i/>
                <w:iCs/>
              </w:rPr>
              <w:t>BIC</w:t>
            </w:r>
          </w:p>
        </w:tc>
        <w:tc>
          <w:tcPr>
            <w:tcW w:w="2160" w:type="dxa"/>
            <w:gridSpan w:val="2"/>
            <w:tcBorders>
              <w:left w:val="nil"/>
              <w:bottom w:val="single" w:sz="4" w:space="0" w:color="auto"/>
              <w:right w:val="nil"/>
            </w:tcBorders>
          </w:tcPr>
          <w:p w14:paraId="5192AF99" w14:textId="77777777" w:rsidR="00D0519D" w:rsidRPr="00442034" w:rsidRDefault="00D0519D" w:rsidP="004B756E">
            <w:pPr>
              <w:widowControl w:val="0"/>
              <w:tabs>
                <w:tab w:val="decimal" w:pos="960"/>
              </w:tabs>
              <w:autoSpaceDE w:val="0"/>
              <w:autoSpaceDN w:val="0"/>
              <w:adjustRightInd w:val="0"/>
              <w:rPr>
                <w:rFonts w:ascii="Times New Roman" w:hAnsi="Times New Roman" w:cs="Times New Roman"/>
              </w:rPr>
            </w:pPr>
            <w:r w:rsidRPr="00442034">
              <w:rPr>
                <w:rFonts w:ascii="Times New Roman" w:hAnsi="Times New Roman" w:cs="Times New Roman"/>
              </w:rPr>
              <w:t>1197.33</w:t>
            </w:r>
          </w:p>
        </w:tc>
        <w:tc>
          <w:tcPr>
            <w:tcW w:w="1890" w:type="dxa"/>
            <w:gridSpan w:val="2"/>
            <w:tcBorders>
              <w:left w:val="nil"/>
              <w:bottom w:val="single" w:sz="4" w:space="0" w:color="auto"/>
              <w:right w:val="nil"/>
            </w:tcBorders>
          </w:tcPr>
          <w:p w14:paraId="03675076" w14:textId="77777777" w:rsidR="00D0519D" w:rsidRPr="00442034" w:rsidRDefault="00D0519D" w:rsidP="004B756E">
            <w:pPr>
              <w:widowControl w:val="0"/>
              <w:tabs>
                <w:tab w:val="decimal" w:pos="780"/>
              </w:tabs>
              <w:autoSpaceDE w:val="0"/>
              <w:autoSpaceDN w:val="0"/>
              <w:adjustRightInd w:val="0"/>
              <w:jc w:val="both"/>
              <w:rPr>
                <w:rFonts w:ascii="Times New Roman" w:hAnsi="Times New Roman" w:cs="Times New Roman"/>
              </w:rPr>
            </w:pPr>
            <w:r w:rsidRPr="00442034">
              <w:rPr>
                <w:rFonts w:ascii="Times New Roman" w:hAnsi="Times New Roman" w:cs="Times New Roman"/>
              </w:rPr>
              <w:t>1201.49</w:t>
            </w:r>
          </w:p>
        </w:tc>
        <w:tc>
          <w:tcPr>
            <w:tcW w:w="2103" w:type="dxa"/>
            <w:gridSpan w:val="2"/>
            <w:tcBorders>
              <w:left w:val="nil"/>
              <w:bottom w:val="single" w:sz="4" w:space="0" w:color="auto"/>
              <w:right w:val="nil"/>
            </w:tcBorders>
          </w:tcPr>
          <w:p w14:paraId="2D86641C" w14:textId="77777777" w:rsidR="00D0519D" w:rsidRPr="00442034" w:rsidRDefault="00D0519D" w:rsidP="004B756E">
            <w:pPr>
              <w:widowControl w:val="0"/>
              <w:tabs>
                <w:tab w:val="decimal" w:pos="860"/>
              </w:tabs>
              <w:autoSpaceDE w:val="0"/>
              <w:autoSpaceDN w:val="0"/>
              <w:adjustRightInd w:val="0"/>
              <w:rPr>
                <w:rFonts w:ascii="Times New Roman" w:hAnsi="Times New Roman" w:cs="Times New Roman"/>
              </w:rPr>
            </w:pPr>
            <w:r w:rsidRPr="00442034">
              <w:rPr>
                <w:rFonts w:ascii="Times New Roman" w:hAnsi="Times New Roman" w:cs="Times New Roman"/>
              </w:rPr>
              <w:t>1203.14</w:t>
            </w:r>
          </w:p>
        </w:tc>
      </w:tr>
      <w:tr w:rsidR="00D0519D" w:rsidRPr="00442034" w14:paraId="2EB9386F" w14:textId="77777777" w:rsidTr="004B756E">
        <w:trPr>
          <w:trHeight w:val="272"/>
        </w:trPr>
        <w:tc>
          <w:tcPr>
            <w:tcW w:w="9411" w:type="dxa"/>
            <w:gridSpan w:val="7"/>
            <w:tcBorders>
              <w:top w:val="single" w:sz="4" w:space="0" w:color="auto"/>
              <w:left w:val="nil"/>
              <w:right w:val="nil"/>
            </w:tcBorders>
          </w:tcPr>
          <w:p w14:paraId="0634B4BF" w14:textId="77777777" w:rsidR="00D0519D" w:rsidRPr="00442034" w:rsidRDefault="00D0519D" w:rsidP="004B756E">
            <w:pPr>
              <w:widowControl w:val="0"/>
              <w:autoSpaceDE w:val="0"/>
              <w:autoSpaceDN w:val="0"/>
              <w:adjustRightInd w:val="0"/>
              <w:jc w:val="both"/>
              <w:rPr>
                <w:rFonts w:ascii="Times New Roman" w:hAnsi="Times New Roman" w:cs="Times New Roman"/>
                <w:sz w:val="20"/>
                <w:szCs w:val="20"/>
              </w:rPr>
            </w:pPr>
            <w:r w:rsidRPr="00442034">
              <w:rPr>
                <w:rFonts w:ascii="Times New Roman" w:hAnsi="Times New Roman" w:cs="Times New Roman"/>
                <w:sz w:val="20"/>
                <w:szCs w:val="20"/>
              </w:rPr>
              <w:t>Source: OKSA 2020 (</w:t>
            </w:r>
            <w:r w:rsidRPr="00442034">
              <w:rPr>
                <w:rFonts w:ascii="Times New Roman" w:hAnsi="Times New Roman" w:cs="Times New Roman"/>
                <w:i/>
                <w:iCs/>
                <w:sz w:val="20"/>
                <w:szCs w:val="20"/>
              </w:rPr>
              <w:t>N</w:t>
            </w:r>
            <w:r w:rsidRPr="00442034">
              <w:rPr>
                <w:rFonts w:ascii="Times New Roman" w:hAnsi="Times New Roman" w:cs="Times New Roman"/>
                <w:sz w:val="20"/>
                <w:szCs w:val="20"/>
              </w:rPr>
              <w:t xml:space="preserve"> = 145)</w:t>
            </w:r>
          </w:p>
          <w:p w14:paraId="2F06B0CB" w14:textId="77777777" w:rsidR="00D0519D" w:rsidRPr="00442034" w:rsidRDefault="00D0519D" w:rsidP="004B756E">
            <w:pPr>
              <w:widowControl w:val="0"/>
              <w:tabs>
                <w:tab w:val="decimal" w:pos="860"/>
              </w:tabs>
              <w:autoSpaceDE w:val="0"/>
              <w:autoSpaceDN w:val="0"/>
              <w:adjustRightInd w:val="0"/>
              <w:spacing w:line="480" w:lineRule="auto"/>
              <w:jc w:val="both"/>
              <w:rPr>
                <w:rFonts w:ascii="Times New Roman" w:hAnsi="Times New Roman" w:cs="Times New Roman"/>
              </w:rPr>
            </w:pPr>
            <w:r w:rsidRPr="00442034">
              <w:rPr>
                <w:rFonts w:ascii="Times New Roman" w:hAnsi="Times New Roman" w:cs="Times New Roman"/>
                <w:vertAlign w:val="superscript"/>
              </w:rPr>
              <w:t>†</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0.10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0.05, </w:t>
            </w:r>
            <w:r w:rsidRPr="00442034">
              <w:rPr>
                <w:rFonts w:ascii="Times New Roman" w:hAnsi="Times New Roman" w:cs="Times New Roman"/>
                <w:sz w:val="20"/>
                <w:szCs w:val="20"/>
                <w:vertAlign w:val="superscript"/>
              </w:rPr>
              <w:t>**</w:t>
            </w:r>
            <w:r w:rsidRPr="00442034">
              <w:rPr>
                <w:rFonts w:ascii="Times New Roman" w:hAnsi="Times New Roman" w:cs="Times New Roman"/>
                <w:sz w:val="20"/>
                <w:szCs w:val="20"/>
              </w:rPr>
              <w:t xml:space="preserve"> </w:t>
            </w:r>
            <w:r w:rsidRPr="00442034">
              <w:rPr>
                <w:rFonts w:ascii="Times New Roman" w:hAnsi="Times New Roman" w:cs="Times New Roman"/>
                <w:i/>
                <w:iCs/>
                <w:sz w:val="20"/>
                <w:szCs w:val="20"/>
              </w:rPr>
              <w:t>p</w:t>
            </w:r>
            <w:r w:rsidRPr="00442034">
              <w:rPr>
                <w:rFonts w:ascii="Times New Roman" w:hAnsi="Times New Roman" w:cs="Times New Roman"/>
                <w:sz w:val="20"/>
                <w:szCs w:val="20"/>
              </w:rPr>
              <w:t xml:space="preserve"> &lt; 0.01</w:t>
            </w:r>
          </w:p>
        </w:tc>
      </w:tr>
    </w:tbl>
    <w:p w14:paraId="092D157F" w14:textId="77777777" w:rsidR="00D0519D" w:rsidRPr="00442034" w:rsidRDefault="00D0519D" w:rsidP="00D0519D">
      <w:pPr>
        <w:spacing w:line="480" w:lineRule="auto"/>
        <w:ind w:firstLine="720"/>
        <w:rPr>
          <w:rFonts w:ascii="Times New Roman" w:hAnsi="Times New Roman" w:cs="Times New Roman"/>
          <w:sz w:val="24"/>
          <w:szCs w:val="24"/>
        </w:rPr>
      </w:pPr>
      <w:r w:rsidRPr="00442034">
        <w:rPr>
          <w:rFonts w:ascii="Times New Roman" w:hAnsi="Times New Roman" w:cs="Times New Roman"/>
          <w:sz w:val="24"/>
          <w:szCs w:val="24"/>
        </w:rPr>
        <w:t>For ease of interpretability in the magnitude of this effect, post-estimation analyses revealed that LGB youth exposed to eight or more ACEs had predicted hope score in their caseworker of just over 44, compared to 42 for non-LGB youth exposed to eight or more ACES, and compared to 38 of the LGB youth without high ACEs, holding all other variables mean. Conversely, non-LGB youth exposed to less than eight ACES had the highest predicted score on caseworker as an external locus of hope of 47 (p = .00). These results suggest an interesting interaction between high ACEs and LGB status. Those who experience the most adversity (high ACEs and a marginalized sexual identity) and those who experience the least on these two dimensions have the highest likelihood of perceiving their caseworker as an external locus of hope.</w:t>
      </w:r>
    </w:p>
    <w:p w14:paraId="219E5F3D" w14:textId="77777777" w:rsidR="00D0519D" w:rsidRPr="00442034" w:rsidRDefault="00D0519D" w:rsidP="00D0519D">
      <w:pPr>
        <w:spacing w:line="480" w:lineRule="auto"/>
        <w:contextualSpacing/>
        <w:jc w:val="center"/>
        <w:rPr>
          <w:rFonts w:ascii="Times New Roman" w:hAnsi="Times New Roman" w:cs="Times New Roman"/>
          <w:b/>
          <w:bCs/>
          <w:sz w:val="24"/>
          <w:szCs w:val="24"/>
        </w:rPr>
      </w:pPr>
      <w:r w:rsidRPr="00442034">
        <w:rPr>
          <w:rFonts w:ascii="Times New Roman" w:hAnsi="Times New Roman" w:cs="Times New Roman"/>
          <w:b/>
          <w:bCs/>
          <w:sz w:val="24"/>
          <w:szCs w:val="24"/>
        </w:rPr>
        <w:lastRenderedPageBreak/>
        <w:t>Discussion</w:t>
      </w:r>
    </w:p>
    <w:p w14:paraId="53B8602E" w14:textId="1B91E010"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Our analysis sought to examine whether the caseworker could serve as an external locus of hope for a particularly vulnerable population of youth in the child welfare system, LGB youth. Consistent with the literature, LGB youth are overrepresented in our sample of youth placed in foster care, with 19% identifying as lesbian, gay, or bisexual. While LGB youth make up only 8% of the general population, they are significantly overrepresented in the child welfare system and 2.5 times more likely to report involvement in the child welfare or foster care system compared to heterosexual youth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{"citationID":"bTegFP1H","properties":{"formattedCitation":"(Dettlaff &amp; Washburn, 2018; Fish et al., 2019)","plainCitation":"(Dettlaff &amp; Washburn, 2018; Fish et al., 2019)","dontUpdate":true,"noteIndex":0},"citationItems":[{"id":152,"uris":["http://zotero.org/users/7501598/items/ICVZWQ4R"],"itemData":{"id":152,"type":"article-journal","container-title":"Child abuse &amp; neglect","note":"ISBN: 0145-2134\npublisher: Elsevier","page":"183-193","title":"Lesbian, gay, and bisexual (LGB) youth within in welfare: Prevalence, risk and outcomes","volume":"80","author":[{"family":"Dettlaff","given":"Alan J."},{"family":"Washburn","given":"Micki"}],"issued":{"date-parts":[["2018"]]}}},{"id":150,"uris":["http://zotero.org/users/7501598/items/LFVXHAYH"],"itemData":{"id":150,"type":"article-journal","abstract":"Background\nPreliminary evidence suggests that sexual minority (e.g. lesbian, gay, bisexual, and same-sex attracted) youth are overrepresented in child welfare services. Yet, no study to date has been able to test this hypothesis with national data.\nObjective\nUsing a two-study design, we test whether sexual minority youth are overrepresented in child welfare, foster care, and out-of-home placement using nationally representative data from the United States.\nParticipants and setting\nStudy 1 data are from the National Longitudinal Study of Adolescent to Adult Health (n = 14,154; Mean age = 15.4). Study 2 data are from wave three of the National Survey of Child and Adolescent Well-Being II (n = 1309; Mean age = 15.0).\nMethods\nFor Study 1, we use adjusted logistic regression models to test differences in lifetime foster care involvement between sexual minority and heterosexual youth. In Study 2, we calculate a Disproportionality Representation Index (DRI) – a ratio of sample prevalence relative to the general population – to estimate whether sexual minority youth were overrepresented in child welfare and out-of-home care.\nResults\nStudy 1 results indicate that sexual minority youth are nearly 2.5 times as likely as heterosexual youth to experience foster care placement (aOR = 2.43, 95% CI 1.40, 4.21, p = .002). Results from Study 2 show that sexual minority youth were largely overrepresented in child welfare services (DRI = 1.95–2.48) and out-of-home placement (DRI = 3.69–4.68).\nConclusions\nFindings are the first to demonstrate sexual minority youth’s overrepresentation in child welfare, foster care, and out-of-home placement using nationally representative data and emphasizes the need for focused research on sexual minority youth involved in the child welfare system.","container-title":"Child Abuse &amp; Neglect","DOI":"10.1016/j.chiabu.2019.01.005","ISSN":"0145-2134","journalAbbreviation":"Child Abuse &amp; Neglect","page":"203-211","title":"Are sexual minority youth overrepresented in foster care, child welfare, and out-of-home placement? Findings from nationally representative data","volume":"89","author":[{"family":"Fish","given":"Jessica N."},{"family":"Baams","given":"Laura"},{"family":"Wojciak","given":"Armeda Stevenson"},{"family":"Russell","given":"Stephen T."}],"issued":{"date-parts":[["2019",3,1]]}}}],"schema":"https://github.com/citation-style-language/schema/raw/master/csl-citation.json"} </w:instrText>
      </w:r>
      <w:r w:rsidRPr="00442034">
        <w:rPr>
          <w:rFonts w:ascii="Times New Roman" w:hAnsi="Times New Roman" w:cs="Times New Roman"/>
          <w:sz w:val="24"/>
          <w:szCs w:val="24"/>
        </w:rPr>
        <w:fldChar w:fldCharType="separate"/>
      </w:r>
      <w:r w:rsidRPr="00442034">
        <w:rPr>
          <w:rFonts w:ascii="Times New Roman" w:hAnsi="Times New Roman" w:cs="Times New Roman"/>
          <w:noProof/>
          <w:sz w:val="24"/>
          <w:szCs w:val="24"/>
        </w:rPr>
        <w:t>(Dettlaff et al., 2018; Fish et al., 2019)</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Our results also reveal the severity of adverse childhood experiences among LGB youth within the child welfare system. Given that nearly 40% of LGB youth in this sample reported an ACE score of eight or more, these youth are at higher risk than non-LGB youth in foster care for decreased life expectancy, poly victimization, feelings of hopelessness, and continued involvement in the child welfare system, all of which act as barriers to goal achievement (Felitti et al., 1998; Snyder et al., 2002). Since LGB youth in care report having experienced an even larger number of childhood adversities than their child welfare system-involved peers, hope in a caseworker may serve as an even more important source of strength in support of goal attainment for these youth. Indeed, the literature suggests that positive mentoring relationships such as the one developed between youth in foster care and their child welfare workers may nurture feelings of hope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{"citationID":"rFPCdBej","properties":{"formattedCitation":"(Sulimani-Aidan et al. 2018)","plainCitation":"(Sulimani-Aidan et al. 2018)","noteIndex":0},"citationItems":[{"id":106,"uris":["http://zotero.org/users/7501598/items/WGDS4564",["http://zotero.org/users/7501598/items/WGDS4564"]],"itemData":{"id":106,"type":"article-journal","container-title":"American Journal of Orthopsychiatry","DOI":"10.1037/ort0000320","ISSN":"1939-0025","issue":"2","note":"publisher: US: Educational Publishing Foundation","page":"134","source":"psycnet.apa.org","title":"Nurturing the hope of youth in care: The contribution of mentoring.","title-short":"Nurturing the hope of youth in care","volume":"89","author":[{"family":"Sulimani-Aidan","given":"Yafit"},{"family":"Melkman","given":"Eran"},{"family":"Hellman","given":"Chan M."}],"issued":{"date-parts":[["2018"]]}}}],"schema":"https://github.com/citation-style-language/schema/raw/master/csl-citation.json"}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(Sulimani-Aidan et al. 2018)</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and for LGB youth who experience familial rejection and placement instability within the child welfare system, the caseworker may represent one of the few sources of support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{"citationID":"WVNxVK3j","properties":{"formattedCitation":"(Paul 2020b)","plainCitation":"(Paul 2020b)","noteIndex":0},"citationItems":[{"id":299,"uris":["http://zotero.org/users/7501598/items/TKMT5WAI",["http://zotero.org/users/7501598/items/TKMT5WAI"]],"itemData":{"id":299,"type":"article-journal","abstract":"Former foster youth are often uniquely disenfranchised, as many suffer from a lack of support (e.g., financial, informational, emotional) resulting from their involvement in foster care. Although all youth who exit foster care as adults may have difficulty accessing the support they need to become healthy-functioning adults, these issues may be exacerbated for LGBTQ (lesbian, gay, bisexual, transgender, queer and questioning) youth who face added health and wellbeing challenges associated with their sexual and/or gender minority statuses. This study used face-to-face, qualitative interviewing and eco-mapping techniques to explore the experiences and perspectives of 21 LGBTQ foster youth, ages 17–21, to identify and describe who provides them with support, the kinds of support they have received, and whether there were any specific support-related needs and challenges they may be experiencing during this critical time. Results revealed that although many LGBTQ foster youth included a variety of child welfare professionals (e.g., caseworkers, foster parents) and other service providers (e.g., teachers, therapists) within their support networks, the majority experienced several unmet needs and challenges—most of which were associated with their sexual and/or gender minority statuses. Multiple themes were identified, including a lack of attention to safety and protection from risks of harm and access to essential care and services (e.g., LGBTQ affirming health care, safe and supportive housing, LGBTQ community-based resources, guidance related to LGBTQ identity development). Results provide initial understanding and awareness of some of the support-related issues and challenges faced by these youth, and help to build a framework of knowledge from which to develop further hypotheses regarding how LGBTQ youth are faring in our nation’s child welfare system. Implications for child welfare policy, practice, and research are discussed.","container-title":"Children and Youth Services Review","DOI":"10.1016/j.childyouth.2020.105481","ISSN":"0190-7409","journalAbbreviation":"Children and Youth Services Review","language":"en","page":"105481","source":"ScienceDirect","title":"Exploring support for LGBTQ youth transitioning from foster care to emerging adulthood","volume":"119","author":[{"family":"Paul","given":"June C."}],"issued":{"date-parts":[["2020",12,1]]}}}],"schema":"https://github.com/citation-style-language/schema/raw/master/csl-citation.json"}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(Paul 2020b)</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w:t>
      </w:r>
    </w:p>
    <w:p w14:paraId="634EA751" w14:textId="557AE697"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Interestingly, LGB status and high ACEs independently do not predict perceptions of the caseworker as an agent of hope for the youth, but it is their combination. That is, LGB youth </w:t>
      </w:r>
      <w:r w:rsidRPr="00442034">
        <w:rPr>
          <w:rFonts w:ascii="Times New Roman" w:hAnsi="Times New Roman" w:cs="Times New Roman"/>
          <w:sz w:val="24"/>
          <w:szCs w:val="24"/>
        </w:rPr>
        <w:lastRenderedPageBreak/>
        <w:t xml:space="preserve">who experience higher levels of adversity are more likely than other youth in foster care to see their caseworker as someone who helps them with goal attainment by way of hopeful thinking. These findings demonstrate that caseworkers are instrumental in nurturing hope among LGB youth with high ACEs—those who may need it the most—to pursue their goals and prepare to transition out of foster care. Thus, attention to recruiting and retaining high-quality caseworkers who are knowledgeable of and in support of LGB youth’s needs should be prioritized. </w:t>
      </w:r>
      <w:r w:rsidR="00DA6B5F" w:rsidRPr="00442034">
        <w:rPr>
          <w:rFonts w:ascii="Times New Roman" w:hAnsi="Times New Roman" w:cs="Times New Roman"/>
          <w:sz w:val="24"/>
          <w:szCs w:val="24"/>
        </w:rPr>
        <w:t>Unfortunately, turnover</w:t>
      </w:r>
      <w:r w:rsidRPr="00442034">
        <w:rPr>
          <w:rFonts w:ascii="Times New Roman" w:hAnsi="Times New Roman" w:cs="Times New Roman"/>
          <w:sz w:val="24"/>
          <w:szCs w:val="24"/>
        </w:rPr>
        <w:t xml:space="preserve"> rates among caseworkers in the child welfare system are high. Frequent turnover can disrupt these relationships, leading to feelings of lost trust and instability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{"citationID":"dieAz28i","properties":{"formattedCitation":"(Strolin-Goltzman, Kollar, and Trinkle 2010)","plainCitation":"(Strolin-Goltzman, Kollar, and Trinkle 2010)","noteIndex":0},"citationItems":[{"id":696,"uris":["http://zotero.org/users/7501598/items/PH5YJD8P"],"itemData":{"id":696,"type":"article-journal","abstract":"Child welfare workforce turnover rates across private and public child welfare agencies are concerning. Although research about the causes of child welfare workforce turnover has been plentiful, empirical studies on the effects of turnover on child outcomes are sparse. Furthermore, the voices and experiences of youths within the system have been largely overlooked. The purpose of this study was, first, to explore the experiences and opinions about child welfare workforce turnover and retention of youths in the child welfare system","container-title":"Social Work","DOI":"10.1093/sw/55.1.47","ISSN":"0037-8046","issue":"1","journalAbbreviation":"Social Work","note":"publisher-place: United States\npublisher: United States: Deutsches Zentralinstitut für soziale Fragen/DZI","page":"47-53","title":"Listening to the voices of children in foster care: youths speak out about child welfare workforce turnover and selection","volume":"55","author":[{"family":"Strolin-Goltzman","given":"Jessica"},{"family":"Kollar","given":"Sharon"},{"family":"Trinkle","given":"Joanne"}],"issued":{"date-parts":[["2010"]]}}}],"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(Strolin-Goltzman, Kollar, and Trinkle 2010)</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which could have a particularly damaging impact on this already vulnerable population. Additionally, caseworkers who may not be trained in or attuned to the specific needs of LGB youth, including strategies to address employment and housing discrimination, resources for safe relationship development, and gender-affirming care, may lead to LGB youth emerging from foster care having unmet needs contributing to poor outcomes as they transition into adulthood </w:t>
      </w:r>
      <w:r w:rsidRPr="00442034">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{"citationID":"XtCsT27l","properties":{"formattedCitation":"(Paul 2020b)","plainCitation":"(Paul 2020b)","noteIndex":0},"citationItems":[{"id":299,"uris":["http://zotero.org/users/7501598/items/TKMT5WAI",["http://zotero.org/users/7501598/items/TKMT5WAI"]],"itemData":{"id":299,"type":"article-journal","abstract":"Former foster youth are often uniquely disenfranchised, as many suffer from a lack of support (e.g., financial, informational, emotional) resulting from their involvement in foster care. Although all youth who exit foster care as adults may have difficulty accessing the support they need to become healthy-functioning adults, these issues may be exacerbated for LGBTQ (lesbian, gay, bisexual, transgender, queer and questioning) youth who face added health and wellbeing challenges associated with their sexual and/or gender minority statuses. This study used face-to-face, qualitative interviewing and eco-mapping techniques to explore the experiences and perspectives of 21 LGBTQ foster youth, ages 17–21, to identify and describe who provides them with support, the kinds of support they have received, and whether there were any specific support-related needs and challenges they may be experiencing during this critical time. Results revealed that although many LGBTQ foster youth included a variety of child welfare professionals (e.g., caseworkers, foster parents) and other service providers (e.g., teachers, therapists) within their support networks, the majority experienced several unmet needs and challenges—most of which were associated with their sexual and/or gender minority statuses. Multiple themes were identified, including a lack of attention to safety and protection from risks of harm and access to essential care and services (e.g., LGBTQ affirming health care, safe and supportive housing, LGBTQ community-based resources, guidance related to LGBTQ identity development). Results provide initial understanding and awareness of some of the support-related issues and challenges faced by these youth, and help to build a framework of knowledge from which to develop further hypotheses regarding how LGBTQ youth are faring in our nation’s child welfare system. Implications for child welfare policy, practice, and research are discussed.","container-title":"Children and Youth Services Review","DOI":"10.1016/j.childyouth.2020.105481","ISSN":"0190-7409","journalAbbreviation":"Children and Youth Services Review","language":"en","page":"105481","source":"ScienceDirect","title":"Exploring support for LGBTQ youth transitioning from foster care to emerging adulthood","volume":"119","author":[{"family":"Paul","given":"June C."}],"issued":{"date-parts":[["2020",12,1]]}}}],"schema":"https://github.com/citation-style-language/schema/raw/master/csl-citation.json"} </w:instrText>
      </w:r>
      <w:r w:rsidRPr="00442034">
        <w:rPr>
          <w:rFonts w:ascii="Times New Roman" w:hAnsi="Times New Roman" w:cs="Times New Roman"/>
          <w:sz w:val="24"/>
          <w:szCs w:val="24"/>
        </w:rPr>
        <w:fldChar w:fldCharType="separate"/>
      </w:r>
      <w:r w:rsidR="006F0E9B" w:rsidRPr="00442034">
        <w:rPr>
          <w:rFonts w:ascii="Times New Roman" w:hAnsi="Times New Roman" w:cs="Times New Roman"/>
          <w:noProof/>
          <w:sz w:val="24"/>
          <w:szCs w:val="24"/>
        </w:rPr>
        <w:t>(Paul 2020b)</w:t>
      </w:r>
      <w:r w:rsidRPr="00442034">
        <w:rPr>
          <w:rFonts w:ascii="Times New Roman" w:hAnsi="Times New Roman" w:cs="Times New Roman"/>
          <w:sz w:val="24"/>
          <w:szCs w:val="24"/>
        </w:rPr>
        <w:fldChar w:fldCharType="end"/>
      </w:r>
      <w:r w:rsidRPr="00442034">
        <w:rPr>
          <w:rFonts w:ascii="Times New Roman" w:hAnsi="Times New Roman" w:cs="Times New Roman"/>
          <w:sz w:val="24"/>
          <w:szCs w:val="24"/>
        </w:rPr>
        <w:t xml:space="preserve">. However, our findings suggest that caseworkers can provide hope and support for LGB youth who’ve experienced significant challenges. </w:t>
      </w:r>
      <w:r w:rsidR="00DA6B5F" w:rsidRPr="00442034">
        <w:rPr>
          <w:rFonts w:ascii="Times New Roman" w:hAnsi="Times New Roman" w:cs="Times New Roman"/>
          <w:sz w:val="24"/>
          <w:szCs w:val="24"/>
        </w:rPr>
        <w:t>Therefore,</w:t>
      </w:r>
      <w:r w:rsidRPr="00442034">
        <w:rPr>
          <w:rFonts w:ascii="Times New Roman" w:hAnsi="Times New Roman" w:cs="Times New Roman"/>
          <w:sz w:val="24"/>
          <w:szCs w:val="24"/>
        </w:rPr>
        <w:t xml:space="preserve"> child welfare agencies should work to strengthen these supportive relationships whenever possible through caseworker training and retention efforts.</w:t>
      </w:r>
    </w:p>
    <w:p w14:paraId="5B75A9C3" w14:textId="77777777"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Although the current study indicates the caseworker is a source to nurture hopeful thinking, our study has several limitations. Though our sample is a unique and valuable data set of youth in foster care, it is a small sample in one state. Thus, the data provide limited power to detect significant patterns and do not allow for additional subgroup analyses. Our results may not be generalizable to youth in foster care, more generally, as much child welfare state policy affecting caseworkers and youth is set at the state level. In addition, the data cannot link with </w:t>
      </w:r>
      <w:r w:rsidRPr="00442034">
        <w:rPr>
          <w:rFonts w:ascii="Times New Roman" w:hAnsi="Times New Roman" w:cs="Times New Roman"/>
          <w:sz w:val="24"/>
          <w:szCs w:val="24"/>
        </w:rPr>
        <w:lastRenderedPageBreak/>
        <w:t xml:space="preserve">personnel data on caseworkers. Such linkages would allow for a more in-depth analysis of how caseworker and youth characteristics may interact to impact hope or other outcomes of importance. Future survey research on youth in foster care should prioritize youth voices and perspectives and explore the capability to link youth in foster care with data on their caseworker perspectives and characteristics, though that is a significant undertaking.  Additionally, these data are cross-sectional and cannot make any causal conclusions from the analyses. Other enhancements to future surveys with this population could include oversampling LGB youth and other vulnerable populations within the child welfare system and collecting data on the sample over time. </w:t>
      </w:r>
    </w:p>
    <w:p w14:paraId="4BFE87CA" w14:textId="77777777" w:rsidR="00D0519D" w:rsidRPr="00442034" w:rsidRDefault="00D0519D" w:rsidP="00D0519D">
      <w:pPr>
        <w:spacing w:line="480" w:lineRule="auto"/>
        <w:contextualSpacing/>
        <w:rPr>
          <w:rFonts w:ascii="Times New Roman" w:hAnsi="Times New Roman" w:cs="Times New Roman"/>
          <w:b/>
          <w:bCs/>
          <w:sz w:val="24"/>
          <w:szCs w:val="24"/>
        </w:rPr>
      </w:pPr>
      <w:r w:rsidRPr="00442034">
        <w:rPr>
          <w:rFonts w:ascii="Times New Roman" w:hAnsi="Times New Roman" w:cs="Times New Roman"/>
          <w:b/>
          <w:bCs/>
          <w:sz w:val="24"/>
          <w:szCs w:val="24"/>
        </w:rPr>
        <w:t>Implications of Study Findings</w:t>
      </w:r>
    </w:p>
    <w:p w14:paraId="7EAC2413" w14:textId="77777777"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Transitioning to adulthood for foster care youth can be difficult, but LGB youth in foster care often face additional challenges. The caseworker has an important role in helping LGB youth in foster care pursue their goals, particularly those who have experienced high levels of childhood adversity. Our results have several research, practice, and policy implications. </w:t>
      </w:r>
    </w:p>
    <w:p w14:paraId="2CF0E8FC" w14:textId="77777777"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In terms of research, in addition to those raised in our discussion of limitations, we need an in-depth understanding of what caseworker characteristics and strategies they use that do and do not promote hope among youth, as told from the perspective of both caseworkers and youth themselves. Furthermore, these strategies and characteristics need to be tied to outcomes. For example, some vulnerable </w:t>
      </w:r>
      <w:proofErr w:type="gramStart"/>
      <w:r w:rsidRPr="00442034">
        <w:rPr>
          <w:rFonts w:ascii="Times New Roman" w:hAnsi="Times New Roman" w:cs="Times New Roman"/>
          <w:sz w:val="24"/>
          <w:szCs w:val="24"/>
        </w:rPr>
        <w:t>youth</w:t>
      </w:r>
      <w:proofErr w:type="gramEnd"/>
      <w:r w:rsidRPr="00442034">
        <w:rPr>
          <w:rFonts w:ascii="Times New Roman" w:hAnsi="Times New Roman" w:cs="Times New Roman"/>
          <w:sz w:val="24"/>
          <w:szCs w:val="24"/>
        </w:rPr>
        <w:t xml:space="preserve"> were not included in our study, including trans youth. Future research should include this population to test for similar or different patterns related to hope and their relationship with the caseworker. Similarly, another unanswered research question is whether the confluence of multiple challenges leads to higher needs for help and, thus, hope in caseworkers as an avenue of protection among LGB youth in foster care. Again, mixed methods, </w:t>
      </w:r>
      <w:r w:rsidRPr="00442034">
        <w:rPr>
          <w:rFonts w:ascii="Times New Roman" w:hAnsi="Times New Roman" w:cs="Times New Roman"/>
          <w:sz w:val="24"/>
          <w:szCs w:val="24"/>
        </w:rPr>
        <w:lastRenderedPageBreak/>
        <w:t xml:space="preserve">including qualitative interviews and larger samples, and oversampling of LGBTQ+ youth in foster care are needed to contribute to answering these types of questions. </w:t>
      </w:r>
    </w:p>
    <w:p w14:paraId="3126DD98" w14:textId="77777777" w:rsidR="00D0519D" w:rsidRPr="00442034" w:rsidRDefault="00D0519D" w:rsidP="00D0519D">
      <w:pPr>
        <w:spacing w:line="480" w:lineRule="auto"/>
        <w:ind w:firstLine="720"/>
        <w:contextualSpacing/>
        <w:rPr>
          <w:rFonts w:ascii="Times New Roman" w:hAnsi="Times New Roman" w:cs="Times New Roman"/>
          <w:sz w:val="24"/>
          <w:szCs w:val="24"/>
        </w:rPr>
      </w:pPr>
      <w:r w:rsidRPr="00442034">
        <w:rPr>
          <w:rFonts w:ascii="Times New Roman" w:hAnsi="Times New Roman" w:cs="Times New Roman"/>
          <w:sz w:val="24"/>
          <w:szCs w:val="24"/>
        </w:rPr>
        <w:t xml:space="preserve">In terms of policy and practice, child welfare systems need to understand the causes of and address the disproportionate representation of LGB youth in foster care and ensure that institutional policies and procedures are not contributing to worse outcomes for those youth and are instead affirming their identity. Given the importance of hope for achieving positive goals and that LGB youth with high adversity look to their caseworker as an external locus of hope, training caseworkers on the unique needs and circumstances of LGB youth is warranted. Simultaneously, training that equips the caseworker to use the core tenants of hope in their work would benefit LGB youth and beyond (Saewyc et al., 2006; Fish et al., 019, Natale in press). The child welfare system can also deploy specific hope-centered values into programming and services. For example, youth assessments that focus on the readiness for adulthood can give specific attention to youths’ desired goals and planning for their future. </w:t>
      </w:r>
    </w:p>
    <w:p w14:paraId="3B0FE616" w14:textId="77777777" w:rsidR="00D0519D" w:rsidRPr="00442034" w:rsidRDefault="00D0519D" w:rsidP="00D0519D">
      <w:pPr>
        <w:spacing w:line="480" w:lineRule="auto"/>
        <w:ind w:firstLine="720"/>
        <w:contextualSpacing/>
        <w:rPr>
          <w:rFonts w:ascii="Times New Roman" w:hAnsi="Times New Roman" w:cs="Times New Roman"/>
          <w:color w:val="000000" w:themeColor="text1"/>
          <w:sz w:val="24"/>
          <w:szCs w:val="24"/>
        </w:rPr>
      </w:pPr>
      <w:r w:rsidRPr="00442034">
        <w:rPr>
          <w:rFonts w:ascii="Times New Roman" w:hAnsi="Times New Roman" w:cs="Times New Roman"/>
          <w:color w:val="000000" w:themeColor="text1"/>
          <w:sz w:val="24"/>
          <w:szCs w:val="24"/>
        </w:rPr>
        <w:t xml:space="preserve">Workforce development efforts are needed to stabilize and retain high-quality caseworkers, given the importance of this relationship in fostering hope for the future. Caseworker retention can lead to lasting and stable support for youth, assuming they support and affirm LGB youth experiences and needs. </w:t>
      </w:r>
      <w:r w:rsidRPr="00442034">
        <w:rPr>
          <w:rFonts w:ascii="Times New Roman" w:hAnsi="Times New Roman" w:cs="Times New Roman"/>
          <w:color w:val="000000"/>
          <w:sz w:val="24"/>
          <w:szCs w:val="24"/>
        </w:rPr>
        <w:t>The significance of the relationship between youth/</w:t>
      </w:r>
      <w:proofErr w:type="gramStart"/>
      <w:r w:rsidRPr="00442034">
        <w:rPr>
          <w:rFonts w:ascii="Times New Roman" w:hAnsi="Times New Roman" w:cs="Times New Roman"/>
          <w:color w:val="000000"/>
          <w:sz w:val="24"/>
          <w:szCs w:val="24"/>
        </w:rPr>
        <w:t>worker should</w:t>
      </w:r>
      <w:proofErr w:type="gramEnd"/>
      <w:r w:rsidRPr="00442034">
        <w:rPr>
          <w:rFonts w:ascii="Times New Roman" w:hAnsi="Times New Roman" w:cs="Times New Roman"/>
          <w:color w:val="000000"/>
          <w:sz w:val="24"/>
          <w:szCs w:val="24"/>
        </w:rPr>
        <w:t xml:space="preserve"> is essential for youth in foster care and has been associated with many positive outcomes (Sulimani-Aidan et al., 2019). It may be particularly important for this group of youth. Our study suggests promising results for focusing on this critical relationship between LGB youth with high childhood adversity and their caseworker. More focus on understanding this crucial relationship, effective strategies, training needs, and how these are linked to outcomes is needed. </w:t>
      </w:r>
    </w:p>
    <w:p w14:paraId="3EBF9431" w14:textId="49D19505" w:rsidR="00D0519D" w:rsidRPr="00442034" w:rsidRDefault="00D0519D">
      <w:pPr>
        <w:rPr>
          <w:rFonts w:ascii="Times New Roman" w:hAnsi="Times New Roman" w:cs="Times New Roman"/>
          <w:b/>
          <w:bCs/>
        </w:rPr>
      </w:pPr>
    </w:p>
    <w:p w14:paraId="710C4B86" w14:textId="0CAB76DF" w:rsidR="00D0519D" w:rsidRPr="00880A6D" w:rsidRDefault="003922D4" w:rsidP="00D0519D">
      <w:pPr>
        <w:rPr>
          <w:rFonts w:ascii="Times New Roman" w:hAnsi="Times New Roman" w:cs="Times New Roman"/>
          <w:sz w:val="24"/>
          <w:szCs w:val="24"/>
        </w:rPr>
      </w:pPr>
      <w:r w:rsidRPr="00880A6D">
        <w:rPr>
          <w:rFonts w:ascii="Times New Roman" w:hAnsi="Times New Roman" w:cs="Times New Roman"/>
          <w:sz w:val="24"/>
          <w:szCs w:val="24"/>
        </w:rPr>
        <w:lastRenderedPageBreak/>
        <w:t>REFERENCES</w:t>
      </w:r>
    </w:p>
    <w:p w14:paraId="7FBA34B5" w14:textId="77777777" w:rsidR="00D0519D" w:rsidRPr="00880A6D" w:rsidRDefault="00D0519D" w:rsidP="003922D4">
      <w:pPr>
        <w:pStyle w:val="NoSpacing"/>
        <w:ind w:left="720" w:hanging="720"/>
        <w:rPr>
          <w:rStyle w:val="Hyperlink"/>
          <w:szCs w:val="24"/>
        </w:rPr>
      </w:pPr>
      <w:r w:rsidRPr="00880A6D">
        <w:rPr>
          <w:szCs w:val="24"/>
        </w:rPr>
        <w:t xml:space="preserve">Baams, L., Wilson, B.D.M., &amp; Russell, S.T. (2019). LGBTQ youth in unstable housing and foster care. </w:t>
      </w:r>
      <w:r w:rsidRPr="00880A6D">
        <w:rPr>
          <w:i/>
          <w:iCs/>
          <w:szCs w:val="24"/>
        </w:rPr>
        <w:t>Pediatrics, 143</w:t>
      </w:r>
      <w:r w:rsidRPr="00880A6D">
        <w:rPr>
          <w:szCs w:val="24"/>
        </w:rPr>
        <w:t xml:space="preserve">(3). </w:t>
      </w:r>
      <w:hyperlink r:id="rId24" w:history="1">
        <w:r w:rsidRPr="00880A6D">
          <w:rPr>
            <w:rStyle w:val="Hyperlink"/>
            <w:szCs w:val="24"/>
          </w:rPr>
          <w:t>https://doi.org/10.1542/peds.2017-4211</w:t>
        </w:r>
      </w:hyperlink>
    </w:p>
    <w:p w14:paraId="65293344" w14:textId="77777777" w:rsidR="003922D4" w:rsidRPr="00880A6D" w:rsidRDefault="003922D4" w:rsidP="003922D4">
      <w:pPr>
        <w:pStyle w:val="NoSpacing"/>
        <w:ind w:left="720" w:hanging="720"/>
        <w:rPr>
          <w:szCs w:val="24"/>
        </w:rPr>
      </w:pPr>
    </w:p>
    <w:p w14:paraId="25850CA6" w14:textId="77777777" w:rsidR="00D0519D" w:rsidRPr="00880A6D" w:rsidRDefault="00D0519D" w:rsidP="003922D4">
      <w:pPr>
        <w:pStyle w:val="NoSpacing"/>
        <w:ind w:left="720" w:hanging="720"/>
        <w:rPr>
          <w:rStyle w:val="Hyperlink"/>
          <w:color w:val="006DB4"/>
          <w:szCs w:val="24"/>
        </w:rPr>
      </w:pPr>
      <w:r w:rsidRPr="00880A6D">
        <w:rPr>
          <w:szCs w:val="24"/>
        </w:rPr>
        <w:t xml:space="preserve">Barnum, D.D., Snyder, C.R., </w:t>
      </w:r>
      <w:proofErr w:type="spellStart"/>
      <w:r w:rsidRPr="00880A6D">
        <w:rPr>
          <w:szCs w:val="24"/>
        </w:rPr>
        <w:t>Rapoff</w:t>
      </w:r>
      <w:proofErr w:type="spellEnd"/>
      <w:r w:rsidRPr="00880A6D">
        <w:rPr>
          <w:szCs w:val="24"/>
        </w:rPr>
        <w:t xml:space="preserve">, M.A., Mani, M.M., &amp; Thompson, R. (1998). Hope and social support in the psychological adjustment of pediatric burn survivors in matched controls. </w:t>
      </w:r>
      <w:r w:rsidRPr="00880A6D">
        <w:rPr>
          <w:i/>
          <w:iCs/>
          <w:szCs w:val="24"/>
        </w:rPr>
        <w:t>Children's Health Care, 27</w:t>
      </w:r>
      <w:r w:rsidRPr="00880A6D">
        <w:rPr>
          <w:szCs w:val="24"/>
        </w:rPr>
        <w:t xml:space="preserve">, 15-30. </w:t>
      </w:r>
      <w:hyperlink r:id="rId25" w:history="1">
        <w:r w:rsidRPr="00880A6D">
          <w:rPr>
            <w:rStyle w:val="Hyperlink"/>
            <w:color w:val="006DB4"/>
            <w:szCs w:val="24"/>
          </w:rPr>
          <w:t>https://doi.org/10.1207/s15326888chc2701_2</w:t>
        </w:r>
      </w:hyperlink>
    </w:p>
    <w:p w14:paraId="0D4883A7" w14:textId="77777777" w:rsidR="003922D4" w:rsidRPr="00880A6D" w:rsidRDefault="003922D4" w:rsidP="003922D4">
      <w:pPr>
        <w:pStyle w:val="NoSpacing"/>
        <w:ind w:left="720" w:hanging="720"/>
        <w:rPr>
          <w:color w:val="333333"/>
          <w:szCs w:val="24"/>
        </w:rPr>
      </w:pPr>
    </w:p>
    <w:p w14:paraId="1F7E654F" w14:textId="12731F0C" w:rsidR="003922D4"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Bandura, A. (1977). Self-efficacy: Toward a unifying theory of behavioral change. </w:t>
      </w:r>
      <w:r w:rsidRPr="00880A6D">
        <w:rPr>
          <w:rFonts w:ascii="Times New Roman" w:hAnsi="Times New Roman" w:cs="Times New Roman"/>
          <w:i/>
          <w:iCs/>
          <w:sz w:val="24"/>
          <w:szCs w:val="24"/>
        </w:rPr>
        <w:t>Psychological Review, 84</w:t>
      </w:r>
      <w:r w:rsidRPr="00880A6D">
        <w:rPr>
          <w:rFonts w:ascii="Times New Roman" w:hAnsi="Times New Roman" w:cs="Times New Roman"/>
          <w:sz w:val="24"/>
          <w:szCs w:val="24"/>
        </w:rPr>
        <w:t xml:space="preserve">(2), 191-215. </w:t>
      </w:r>
    </w:p>
    <w:p w14:paraId="33E6646D"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Bartholomew, T.T., Scheel, M.J., &amp; Cole, B.P. (2015). Development and validation of the Hope for Change Through Counseling Scale. </w:t>
      </w:r>
      <w:r w:rsidRPr="00880A6D">
        <w:rPr>
          <w:rFonts w:ascii="Times New Roman" w:hAnsi="Times New Roman" w:cs="Times New Roman"/>
          <w:i/>
          <w:iCs/>
          <w:sz w:val="24"/>
          <w:szCs w:val="24"/>
        </w:rPr>
        <w:t>The Counseling Psychologists, 43</w:t>
      </w:r>
      <w:r w:rsidRPr="00880A6D">
        <w:rPr>
          <w:rFonts w:ascii="Times New Roman" w:hAnsi="Times New Roman" w:cs="Times New Roman"/>
          <w:sz w:val="24"/>
          <w:szCs w:val="24"/>
        </w:rPr>
        <w:t xml:space="preserve">(5), 671-702. </w:t>
      </w:r>
      <w:hyperlink r:id="rId26" w:history="1">
        <w:r w:rsidRPr="00880A6D">
          <w:rPr>
            <w:rStyle w:val="Hyperlink"/>
            <w:rFonts w:ascii="Times New Roman" w:hAnsi="Times New Roman" w:cs="Times New Roman"/>
            <w:sz w:val="24"/>
            <w:szCs w:val="24"/>
          </w:rPr>
          <w:t>https://doi.org/10.1177/0011000015589190</w:t>
        </w:r>
      </w:hyperlink>
    </w:p>
    <w:p w14:paraId="28A778F3"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Bartholomew, T.T., Joy, E.E., &amp; Gundel, B.E. (2021). Clients hope for counseling as a predictor of outcomes in psychotherapy. </w:t>
      </w:r>
      <w:r w:rsidRPr="00880A6D">
        <w:rPr>
          <w:rFonts w:ascii="Times New Roman" w:hAnsi="Times New Roman" w:cs="Times New Roman"/>
          <w:i/>
          <w:iCs/>
          <w:sz w:val="24"/>
          <w:szCs w:val="24"/>
        </w:rPr>
        <w:t>The Counseling Psychologists, 49</w:t>
      </w:r>
      <w:r w:rsidRPr="00880A6D">
        <w:rPr>
          <w:rFonts w:ascii="Times New Roman" w:hAnsi="Times New Roman" w:cs="Times New Roman"/>
          <w:sz w:val="24"/>
          <w:szCs w:val="24"/>
        </w:rPr>
        <w:t xml:space="preserve">(8), 1126-1146. </w:t>
      </w:r>
      <w:hyperlink r:id="rId27" w:history="1">
        <w:r w:rsidRPr="00880A6D">
          <w:rPr>
            <w:rStyle w:val="Hyperlink"/>
            <w:rFonts w:ascii="Times New Roman" w:hAnsi="Times New Roman" w:cs="Times New Roman"/>
            <w:color w:val="006ACC"/>
            <w:sz w:val="24"/>
            <w:szCs w:val="24"/>
            <w:shd w:val="clear" w:color="auto" w:fill="FFFFFF"/>
          </w:rPr>
          <w:t>https://doi.org/10.1177/00110000211033255</w:t>
        </w:r>
      </w:hyperlink>
    </w:p>
    <w:p w14:paraId="3BD7C377"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Baxter, M.S., Hemming, E.J., McIntosh, H.C. &amp; Hellman, C.M. (2017). Exploring the relationship between adverse childhood experiences and hope. </w:t>
      </w:r>
      <w:r w:rsidRPr="00880A6D">
        <w:rPr>
          <w:rFonts w:ascii="Times New Roman" w:hAnsi="Times New Roman" w:cs="Times New Roman"/>
          <w:i/>
          <w:iCs/>
          <w:sz w:val="24"/>
          <w:szCs w:val="24"/>
        </w:rPr>
        <w:t>Journal of Child Sexual Abuse, 26</w:t>
      </w:r>
      <w:r w:rsidRPr="00880A6D">
        <w:rPr>
          <w:rFonts w:ascii="Times New Roman" w:hAnsi="Times New Roman" w:cs="Times New Roman"/>
          <w:sz w:val="24"/>
          <w:szCs w:val="24"/>
        </w:rPr>
        <w:t xml:space="preserve">(8), 948-956. </w:t>
      </w:r>
      <w:hyperlink r:id="rId28" w:history="1">
        <w:r w:rsidRPr="00880A6D">
          <w:rPr>
            <w:rStyle w:val="Hyperlink"/>
            <w:rFonts w:ascii="Times New Roman" w:hAnsi="Times New Roman" w:cs="Times New Roman"/>
            <w:sz w:val="24"/>
            <w:szCs w:val="24"/>
          </w:rPr>
          <w:t>https://doi.org/10.1080/10538712.2017.1365319</w:t>
        </w:r>
      </w:hyperlink>
    </w:p>
    <w:p w14:paraId="5F72871E"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Bernardo, A.B.I. (2010). Extending hope theory: Internal and external locus of trait hope. </w:t>
      </w:r>
      <w:r w:rsidRPr="00880A6D">
        <w:rPr>
          <w:rFonts w:ascii="Times New Roman" w:hAnsi="Times New Roman" w:cs="Times New Roman"/>
          <w:i/>
          <w:iCs/>
          <w:sz w:val="24"/>
          <w:szCs w:val="24"/>
        </w:rPr>
        <w:t>Personality and Individual Differences, 49</w:t>
      </w:r>
      <w:r w:rsidRPr="00880A6D">
        <w:rPr>
          <w:rFonts w:ascii="Times New Roman" w:hAnsi="Times New Roman" w:cs="Times New Roman"/>
          <w:sz w:val="24"/>
          <w:szCs w:val="24"/>
        </w:rPr>
        <w:t xml:space="preserve">(8), 944-949. </w:t>
      </w:r>
      <w:hyperlink r:id="rId29" w:history="1">
        <w:r w:rsidRPr="00880A6D">
          <w:rPr>
            <w:rStyle w:val="Hyperlink"/>
            <w:rFonts w:ascii="Times New Roman" w:hAnsi="Times New Roman" w:cs="Times New Roman"/>
            <w:sz w:val="24"/>
            <w:szCs w:val="24"/>
          </w:rPr>
          <w:t>https://doi.org/10.1016/j.paid.2010.07.036</w:t>
        </w:r>
      </w:hyperlink>
    </w:p>
    <w:p w14:paraId="47B67066" w14:textId="77777777" w:rsidR="00D0519D" w:rsidRPr="00880A6D" w:rsidRDefault="00D0519D" w:rsidP="00D0519D">
      <w:pPr>
        <w:spacing w:line="480" w:lineRule="auto"/>
        <w:rPr>
          <w:rFonts w:ascii="Times New Roman" w:hAnsi="Times New Roman" w:cs="Times New Roman"/>
          <w:sz w:val="24"/>
          <w:szCs w:val="24"/>
        </w:rPr>
      </w:pPr>
      <w:r w:rsidRPr="00880A6D">
        <w:rPr>
          <w:rFonts w:ascii="Times New Roman" w:hAnsi="Times New Roman" w:cs="Times New Roman"/>
          <w:sz w:val="24"/>
          <w:szCs w:val="24"/>
        </w:rPr>
        <w:t xml:space="preserve">Carver, C.S., &amp; Scheier, M.F. (1998). </w:t>
      </w:r>
      <w:r w:rsidRPr="00880A6D">
        <w:rPr>
          <w:rFonts w:ascii="Times New Roman" w:hAnsi="Times New Roman" w:cs="Times New Roman"/>
          <w:i/>
          <w:iCs/>
          <w:sz w:val="24"/>
          <w:szCs w:val="24"/>
        </w:rPr>
        <w:t>On the self-regulation of behavior.</w:t>
      </w:r>
      <w:r w:rsidRPr="00880A6D">
        <w:rPr>
          <w:rFonts w:ascii="Times New Roman" w:hAnsi="Times New Roman" w:cs="Times New Roman"/>
          <w:sz w:val="24"/>
          <w:szCs w:val="24"/>
        </w:rPr>
        <w:t xml:space="preserve"> New York</w:t>
      </w:r>
    </w:p>
    <w:p w14:paraId="3D02E57A"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Clarkson Freeman, P.A. (2014). Prevalence and relationship between adverse childhood experiences and child behavior among young children. </w:t>
      </w:r>
      <w:r w:rsidRPr="00880A6D">
        <w:rPr>
          <w:rFonts w:ascii="Times New Roman" w:hAnsi="Times New Roman" w:cs="Times New Roman"/>
          <w:i/>
          <w:iCs/>
          <w:sz w:val="24"/>
          <w:szCs w:val="24"/>
        </w:rPr>
        <w:t>Infant Mental Health, 35</w:t>
      </w:r>
      <w:r w:rsidRPr="00880A6D">
        <w:rPr>
          <w:rFonts w:ascii="Times New Roman" w:hAnsi="Times New Roman" w:cs="Times New Roman"/>
          <w:sz w:val="24"/>
          <w:szCs w:val="24"/>
        </w:rPr>
        <w:t xml:space="preserve">(6), 544-554. </w:t>
      </w:r>
      <w:hyperlink r:id="rId30" w:history="1">
        <w:r w:rsidRPr="00880A6D">
          <w:rPr>
            <w:rStyle w:val="Hyperlink"/>
            <w:rFonts w:ascii="Times New Roman" w:hAnsi="Times New Roman" w:cs="Times New Roman"/>
            <w:sz w:val="24"/>
            <w:szCs w:val="24"/>
          </w:rPr>
          <w:t>https://doi.org.10.1002/imhj.21460</w:t>
        </w:r>
      </w:hyperlink>
    </w:p>
    <w:p w14:paraId="332A4CCB"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Chartier, M.J., Walker, J.R., &amp; Naimark, B. (2010). Separate and cumulative effects of adverse childhood experiences in predicting adult health care utilization.</w:t>
      </w:r>
      <w:r w:rsidRPr="00880A6D">
        <w:rPr>
          <w:rFonts w:ascii="Times New Roman" w:hAnsi="Times New Roman" w:cs="Times New Roman"/>
          <w:i/>
          <w:iCs/>
          <w:sz w:val="24"/>
          <w:szCs w:val="24"/>
        </w:rPr>
        <w:t xml:space="preserve"> Child Abuse &amp; Neglect, 34</w:t>
      </w:r>
      <w:r w:rsidRPr="00880A6D">
        <w:rPr>
          <w:rFonts w:ascii="Times New Roman" w:hAnsi="Times New Roman" w:cs="Times New Roman"/>
          <w:sz w:val="24"/>
          <w:szCs w:val="24"/>
        </w:rPr>
        <w:t xml:space="preserve">(6), 454-464. </w:t>
      </w:r>
      <w:hyperlink r:id="rId31" w:history="1">
        <w:r w:rsidRPr="00880A6D">
          <w:rPr>
            <w:rStyle w:val="Hyperlink"/>
            <w:rFonts w:ascii="Times New Roman" w:hAnsi="Times New Roman" w:cs="Times New Roman"/>
            <w:sz w:val="24"/>
            <w:szCs w:val="24"/>
          </w:rPr>
          <w:t>https://doi.org/10.1016/j.chiabu.2009.09.020</w:t>
        </w:r>
      </w:hyperlink>
    </w:p>
    <w:p w14:paraId="78D0C88E"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Cheng, S., &amp; Powell, B. (2005). Small samples, big challenges: Studying atypical family forms. </w:t>
      </w:r>
      <w:r w:rsidRPr="00880A6D">
        <w:rPr>
          <w:rFonts w:ascii="Times New Roman" w:hAnsi="Times New Roman" w:cs="Times New Roman"/>
          <w:i/>
          <w:iCs/>
          <w:sz w:val="24"/>
          <w:szCs w:val="24"/>
        </w:rPr>
        <w:t>Journal of Marriage and Family, 67</w:t>
      </w:r>
      <w:r w:rsidRPr="00880A6D">
        <w:rPr>
          <w:rFonts w:ascii="Times New Roman" w:hAnsi="Times New Roman" w:cs="Times New Roman"/>
          <w:sz w:val="24"/>
          <w:szCs w:val="24"/>
        </w:rPr>
        <w:t xml:space="preserve">(4), 926-935. </w:t>
      </w:r>
      <w:hyperlink r:id="rId32" w:history="1">
        <w:r w:rsidRPr="00880A6D">
          <w:rPr>
            <w:rStyle w:val="Hyperlink"/>
            <w:rFonts w:ascii="Times New Roman" w:hAnsi="Times New Roman" w:cs="Times New Roman"/>
            <w:sz w:val="24"/>
            <w:szCs w:val="24"/>
          </w:rPr>
          <w:t>http://www.jstor.org/stable/3600247</w:t>
        </w:r>
      </w:hyperlink>
    </w:p>
    <w:p w14:paraId="7CAAF45B"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Collins, M., Spencer, R., &amp; Ward, R. (2010). Supporting youth in the transition from foster care: Formal and informal connections. </w:t>
      </w:r>
      <w:r w:rsidRPr="00880A6D">
        <w:rPr>
          <w:rFonts w:ascii="Times New Roman" w:hAnsi="Times New Roman" w:cs="Times New Roman"/>
          <w:i/>
          <w:iCs/>
          <w:sz w:val="24"/>
          <w:szCs w:val="24"/>
        </w:rPr>
        <w:t>Child Welfare, 89,</w:t>
      </w:r>
      <w:r w:rsidRPr="00880A6D">
        <w:rPr>
          <w:rFonts w:ascii="Times New Roman" w:hAnsi="Times New Roman" w:cs="Times New Roman"/>
          <w:sz w:val="24"/>
          <w:szCs w:val="24"/>
        </w:rPr>
        <w:t xml:space="preserve"> 125-143. </w:t>
      </w:r>
    </w:p>
    <w:p w14:paraId="456D422A"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Craig, S.L., Austin, A., Levenson, J., Leung, V.W.Y., Eaton, A.D., &amp; D’Souza, S.A. (2020). Frequencies and patterns of adverse childhood experiences in LGBTQ+ youth.</w:t>
      </w:r>
      <w:r w:rsidRPr="00880A6D">
        <w:rPr>
          <w:rFonts w:ascii="Times New Roman" w:hAnsi="Times New Roman" w:cs="Times New Roman"/>
          <w:i/>
          <w:iCs/>
          <w:sz w:val="24"/>
          <w:szCs w:val="24"/>
        </w:rPr>
        <w:t xml:space="preserve"> Child Abuse &amp; Neglect, 107, </w:t>
      </w:r>
      <w:r w:rsidRPr="00880A6D">
        <w:rPr>
          <w:rFonts w:ascii="Times New Roman" w:hAnsi="Times New Roman" w:cs="Times New Roman"/>
          <w:sz w:val="24"/>
          <w:szCs w:val="24"/>
        </w:rPr>
        <w:t xml:space="preserve">104623. </w:t>
      </w:r>
      <w:hyperlink r:id="rId33" w:history="1">
        <w:r w:rsidRPr="00880A6D">
          <w:rPr>
            <w:rStyle w:val="Hyperlink"/>
            <w:rFonts w:ascii="Times New Roman" w:hAnsi="Times New Roman" w:cs="Times New Roman"/>
            <w:sz w:val="24"/>
            <w:szCs w:val="24"/>
          </w:rPr>
          <w:t>https://doi.org/10.1016/j.chiabu.2020.104623</w:t>
        </w:r>
      </w:hyperlink>
    </w:p>
    <w:p w14:paraId="0B902FE2"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lastRenderedPageBreak/>
        <w:t xml:space="preserve">Curry, A. (2019). “If you can’t be with this client for some years, don’t do it:” Exploring the emotional and relational effects of turnover on youth in the child welfare system. </w:t>
      </w:r>
      <w:r w:rsidRPr="00880A6D">
        <w:rPr>
          <w:rFonts w:ascii="Times New Roman" w:hAnsi="Times New Roman" w:cs="Times New Roman"/>
          <w:i/>
          <w:iCs/>
          <w:sz w:val="24"/>
          <w:szCs w:val="24"/>
        </w:rPr>
        <w:t>Children and Youth Services Review, 99,</w:t>
      </w:r>
      <w:r w:rsidRPr="00880A6D">
        <w:rPr>
          <w:rFonts w:ascii="Times New Roman" w:hAnsi="Times New Roman" w:cs="Times New Roman"/>
          <w:sz w:val="24"/>
          <w:szCs w:val="24"/>
        </w:rPr>
        <w:t xml:space="preserve"> 374-385. </w:t>
      </w:r>
      <w:hyperlink r:id="rId34" w:history="1">
        <w:r w:rsidRPr="00880A6D">
          <w:rPr>
            <w:rStyle w:val="Hyperlink"/>
            <w:rFonts w:ascii="Times New Roman" w:hAnsi="Times New Roman" w:cs="Times New Roman"/>
            <w:sz w:val="24"/>
            <w:szCs w:val="24"/>
          </w:rPr>
          <w:t>https://doi.org/10.1016/j.childyouth.2019.01.026</w:t>
        </w:r>
      </w:hyperlink>
    </w:p>
    <w:p w14:paraId="7F361402" w14:textId="63E4CB04"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Demirci, I. (2020). School engagement and well-being in adolescents: Mediating the roles of hope and social competence. </w:t>
      </w:r>
      <w:r w:rsidRPr="00880A6D">
        <w:rPr>
          <w:rFonts w:ascii="Times New Roman" w:hAnsi="Times New Roman" w:cs="Times New Roman"/>
          <w:i/>
          <w:iCs/>
          <w:sz w:val="24"/>
          <w:szCs w:val="24"/>
        </w:rPr>
        <w:t>Child Indicators Research, 13</w:t>
      </w:r>
      <w:r w:rsidRPr="00880A6D">
        <w:rPr>
          <w:rFonts w:ascii="Times New Roman" w:hAnsi="Times New Roman" w:cs="Times New Roman"/>
          <w:sz w:val="24"/>
          <w:szCs w:val="24"/>
        </w:rPr>
        <w:t xml:space="preserve">(5), 1573-1595. </w:t>
      </w:r>
      <w:hyperlink r:id="rId35" w:history="1">
        <w:r w:rsidRPr="00880A6D">
          <w:rPr>
            <w:rStyle w:val="Hyperlink"/>
            <w:rFonts w:ascii="Times New Roman" w:hAnsi="Times New Roman" w:cs="Times New Roman"/>
            <w:sz w:val="24"/>
            <w:szCs w:val="24"/>
          </w:rPr>
          <w:t>https://doi.org/10.1007/s12187-020-09722-y</w:t>
        </w:r>
      </w:hyperlink>
    </w:p>
    <w:p w14:paraId="58AA8C82"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Dettlaff, A.J., &amp; Washburn, M., Carr, L.C., &amp; Vogel, A.N. (2018). Lesbian, gay, and bisexual (LGB) youth in welfare: Prevalence, risk, and outcomes. </w:t>
      </w:r>
      <w:r w:rsidRPr="00880A6D">
        <w:rPr>
          <w:rFonts w:ascii="Times New Roman" w:hAnsi="Times New Roman" w:cs="Times New Roman"/>
          <w:i/>
          <w:iCs/>
          <w:sz w:val="24"/>
          <w:szCs w:val="24"/>
        </w:rPr>
        <w:t>Child Abuse &amp; Neglect, 80,</w:t>
      </w:r>
      <w:r w:rsidRPr="00880A6D">
        <w:rPr>
          <w:rFonts w:ascii="Times New Roman" w:hAnsi="Times New Roman" w:cs="Times New Roman"/>
          <w:sz w:val="24"/>
          <w:szCs w:val="24"/>
        </w:rPr>
        <w:t xml:space="preserve"> 183-193. </w:t>
      </w:r>
      <w:hyperlink r:id="rId36" w:history="1">
        <w:r w:rsidRPr="00880A6D">
          <w:rPr>
            <w:rStyle w:val="Hyperlink"/>
            <w:rFonts w:ascii="Times New Roman" w:hAnsi="Times New Roman" w:cs="Times New Roman"/>
            <w:sz w:val="24"/>
            <w:szCs w:val="24"/>
          </w:rPr>
          <w:t>https://doi.org/10.1016/j.chiabu/2018.03.009</w:t>
        </w:r>
      </w:hyperlink>
    </w:p>
    <w:p w14:paraId="21DD33C4"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Felitti, V.J., Anda, R.F., Nordenberg, D., Williamson, D.F., Spitz, A.M., Edwards, V., Koss, M.P., &amp; Marks, J.S. (1998). Relationship of childhood abuse and household dysfunction to many of the leading causes of death in adults: The Adverse Childhood Experiences (ACE) study. </w:t>
      </w:r>
      <w:r w:rsidRPr="00880A6D">
        <w:rPr>
          <w:rFonts w:ascii="Times New Roman" w:hAnsi="Times New Roman" w:cs="Times New Roman"/>
          <w:i/>
          <w:iCs/>
          <w:sz w:val="24"/>
          <w:szCs w:val="24"/>
        </w:rPr>
        <w:t>American Journal of Preventative Medicine, 14</w:t>
      </w:r>
      <w:r w:rsidRPr="00880A6D">
        <w:rPr>
          <w:rFonts w:ascii="Times New Roman" w:hAnsi="Times New Roman" w:cs="Times New Roman"/>
          <w:sz w:val="24"/>
          <w:szCs w:val="24"/>
        </w:rPr>
        <w:t xml:space="preserve">(4), 245-258. </w:t>
      </w:r>
      <w:hyperlink r:id="rId37" w:history="1">
        <w:r w:rsidRPr="00880A6D">
          <w:rPr>
            <w:rStyle w:val="Hyperlink"/>
            <w:rFonts w:ascii="Times New Roman" w:hAnsi="Times New Roman" w:cs="Times New Roman"/>
            <w:sz w:val="24"/>
            <w:szCs w:val="24"/>
          </w:rPr>
          <w:t>https://doi.org/10.1016/S0749-3797(98)00017-8</w:t>
        </w:r>
      </w:hyperlink>
    </w:p>
    <w:p w14:paraId="3E17A631" w14:textId="77777777" w:rsidR="00D0519D" w:rsidRPr="00880A6D" w:rsidRDefault="00D0519D" w:rsidP="003922D4">
      <w:pPr>
        <w:spacing w:line="240" w:lineRule="auto"/>
        <w:ind w:left="720" w:hanging="720"/>
        <w:rPr>
          <w:rStyle w:val="Hyperlink"/>
          <w:rFonts w:ascii="Times New Roman" w:hAnsi="Times New Roman" w:cs="Times New Roman"/>
          <w:sz w:val="24"/>
          <w:szCs w:val="24"/>
        </w:rPr>
      </w:pPr>
      <w:r w:rsidRPr="00880A6D">
        <w:rPr>
          <w:rFonts w:ascii="Times New Roman" w:hAnsi="Times New Roman" w:cs="Times New Roman"/>
          <w:sz w:val="24"/>
          <w:szCs w:val="24"/>
        </w:rPr>
        <w:t xml:space="preserve">Fish, J.N., Baams, L., Wojciak, A.S., &amp; Russell, S.T. (2019). Are sexual minority youth overrepresented in foster care, child welfare, and out-of-home placement? Findings from nationally representative data. </w:t>
      </w:r>
      <w:r w:rsidRPr="00880A6D">
        <w:rPr>
          <w:rFonts w:ascii="Times New Roman" w:hAnsi="Times New Roman" w:cs="Times New Roman"/>
          <w:i/>
          <w:iCs/>
          <w:sz w:val="24"/>
          <w:szCs w:val="24"/>
        </w:rPr>
        <w:t>Child Abuse &amp; Neglect, 89</w:t>
      </w:r>
      <w:r w:rsidRPr="00880A6D">
        <w:rPr>
          <w:rFonts w:ascii="Times New Roman" w:hAnsi="Times New Roman" w:cs="Times New Roman"/>
          <w:sz w:val="24"/>
          <w:szCs w:val="24"/>
        </w:rPr>
        <w:t xml:space="preserve">, 203-211. </w:t>
      </w:r>
      <w:hyperlink r:id="rId38" w:history="1">
        <w:r w:rsidRPr="00880A6D">
          <w:rPr>
            <w:rStyle w:val="Hyperlink"/>
            <w:rFonts w:ascii="Times New Roman" w:hAnsi="Times New Roman" w:cs="Times New Roman"/>
            <w:sz w:val="24"/>
            <w:szCs w:val="24"/>
          </w:rPr>
          <w:t>https://doi.org/10.1016/j.chiabu.2019.01.005</w:t>
        </w:r>
      </w:hyperlink>
    </w:p>
    <w:p w14:paraId="2C4F8449" w14:textId="77777777" w:rsidR="00D0519D" w:rsidRPr="00880A6D" w:rsidRDefault="00D0519D" w:rsidP="00D0519D">
      <w:pPr>
        <w:spacing w:line="480" w:lineRule="auto"/>
        <w:ind w:left="720" w:hanging="720"/>
        <w:rPr>
          <w:rFonts w:ascii="Times New Roman" w:hAnsi="Times New Roman" w:cs="Times New Roman"/>
          <w:color w:val="000000" w:themeColor="text1"/>
          <w:sz w:val="24"/>
          <w:szCs w:val="24"/>
        </w:rPr>
      </w:pPr>
      <w:r w:rsidRPr="00880A6D">
        <w:rPr>
          <w:rStyle w:val="Hyperlink"/>
          <w:rFonts w:ascii="Times New Roman" w:hAnsi="Times New Roman" w:cs="Times New Roman"/>
          <w:color w:val="000000" w:themeColor="text1"/>
          <w:sz w:val="24"/>
          <w:szCs w:val="24"/>
          <w:u w:val="none"/>
        </w:rPr>
        <w:t>Gingrich-</w:t>
      </w:r>
      <w:proofErr w:type="spellStart"/>
      <w:r w:rsidRPr="00880A6D">
        <w:rPr>
          <w:rStyle w:val="Hyperlink"/>
          <w:rFonts w:ascii="Times New Roman" w:hAnsi="Times New Roman" w:cs="Times New Roman"/>
          <w:color w:val="000000" w:themeColor="text1"/>
          <w:sz w:val="24"/>
          <w:szCs w:val="24"/>
          <w:u w:val="none"/>
        </w:rPr>
        <w:t>Phillbrook</w:t>
      </w:r>
      <w:proofErr w:type="spellEnd"/>
      <w:r w:rsidRPr="00880A6D">
        <w:rPr>
          <w:rStyle w:val="Hyperlink"/>
          <w:rFonts w:ascii="Times New Roman" w:hAnsi="Times New Roman" w:cs="Times New Roman"/>
          <w:color w:val="000000" w:themeColor="text1"/>
          <w:sz w:val="24"/>
          <w:szCs w:val="24"/>
          <w:u w:val="none"/>
        </w:rPr>
        <w:t xml:space="preserve">, C., (2015). On Dorian Street. </w:t>
      </w:r>
      <w:r w:rsidRPr="00880A6D">
        <w:rPr>
          <w:rStyle w:val="Hyperlink"/>
          <w:rFonts w:ascii="Times New Roman" w:hAnsi="Times New Roman" w:cs="Times New Roman"/>
          <w:i/>
          <w:iCs/>
          <w:color w:val="000000" w:themeColor="text1"/>
          <w:sz w:val="24"/>
          <w:szCs w:val="24"/>
          <w:u w:val="none"/>
        </w:rPr>
        <w:t xml:space="preserve">Stories of Hope: Place, identity, </w:t>
      </w:r>
      <w:proofErr w:type="spellStart"/>
      <w:r w:rsidRPr="00880A6D">
        <w:rPr>
          <w:rStyle w:val="Hyperlink"/>
          <w:rFonts w:ascii="Times New Roman" w:hAnsi="Times New Roman" w:cs="Times New Roman"/>
          <w:i/>
          <w:iCs/>
          <w:color w:val="000000" w:themeColor="text1"/>
          <w:sz w:val="24"/>
          <w:szCs w:val="24"/>
          <w:u w:val="none"/>
        </w:rPr>
        <w:t>exil</w:t>
      </w:r>
      <w:proofErr w:type="spellEnd"/>
      <w:r w:rsidRPr="00880A6D">
        <w:rPr>
          <w:rStyle w:val="Hyperlink"/>
          <w:rFonts w:ascii="Times New Roman" w:hAnsi="Times New Roman" w:cs="Times New Roman"/>
          <w:i/>
          <w:iCs/>
          <w:color w:val="000000" w:themeColor="text1"/>
          <w:sz w:val="24"/>
          <w:szCs w:val="24"/>
          <w:u w:val="none"/>
        </w:rPr>
        <w:t>.</w:t>
      </w:r>
      <w:r w:rsidRPr="00880A6D">
        <w:rPr>
          <w:rStyle w:val="Hyperlink"/>
          <w:rFonts w:ascii="Times New Roman" w:hAnsi="Times New Roman" w:cs="Times New Roman"/>
          <w:color w:val="000000" w:themeColor="text1"/>
          <w:sz w:val="24"/>
          <w:szCs w:val="24"/>
          <w:u w:val="none"/>
        </w:rPr>
        <w:t xml:space="preserve"> 199-124.</w:t>
      </w:r>
    </w:p>
    <w:p w14:paraId="0192C03C"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Haight, W., Cho, M., Soffer-Elnekave, R., </w:t>
      </w:r>
      <w:proofErr w:type="spellStart"/>
      <w:r w:rsidRPr="00880A6D">
        <w:rPr>
          <w:rFonts w:ascii="Times New Roman" w:hAnsi="Times New Roman" w:cs="Times New Roman"/>
          <w:sz w:val="24"/>
          <w:szCs w:val="24"/>
        </w:rPr>
        <w:t>Nasshandi</w:t>
      </w:r>
      <w:proofErr w:type="spellEnd"/>
      <w:r w:rsidRPr="00880A6D">
        <w:rPr>
          <w:rFonts w:ascii="Times New Roman" w:hAnsi="Times New Roman" w:cs="Times New Roman"/>
          <w:sz w:val="24"/>
          <w:szCs w:val="24"/>
        </w:rPr>
        <w:t xml:space="preserve">, N. J.C., &amp; Sulieman, J. (2022). Moral injury experienced by emerging adults with child welfare histories in developmental and sociocultural contexts: “I knew the system was broken.” </w:t>
      </w:r>
      <w:r w:rsidRPr="00880A6D">
        <w:rPr>
          <w:rFonts w:ascii="Times New Roman" w:hAnsi="Times New Roman" w:cs="Times New Roman"/>
          <w:i/>
          <w:iCs/>
          <w:sz w:val="24"/>
          <w:szCs w:val="24"/>
        </w:rPr>
        <w:t>Children and Youth Services Review, 139,</w:t>
      </w:r>
      <w:r w:rsidRPr="00880A6D">
        <w:rPr>
          <w:rFonts w:ascii="Times New Roman" w:hAnsi="Times New Roman" w:cs="Times New Roman"/>
          <w:sz w:val="24"/>
          <w:szCs w:val="24"/>
        </w:rPr>
        <w:t xml:space="preserve"> 106537. </w:t>
      </w:r>
      <w:hyperlink r:id="rId39" w:history="1">
        <w:r w:rsidRPr="00880A6D">
          <w:rPr>
            <w:rStyle w:val="Hyperlink"/>
            <w:rFonts w:ascii="Times New Roman" w:hAnsi="Times New Roman" w:cs="Times New Roman"/>
            <w:sz w:val="24"/>
            <w:szCs w:val="24"/>
          </w:rPr>
          <w:t>https://doi.org/10.1016/j.childyouth.2022.106537</w:t>
        </w:r>
      </w:hyperlink>
    </w:p>
    <w:p w14:paraId="75E57DDC" w14:textId="77777777" w:rsidR="00D0519D" w:rsidRPr="00880A6D" w:rsidRDefault="00D0519D" w:rsidP="003922D4">
      <w:pPr>
        <w:spacing w:line="240" w:lineRule="auto"/>
        <w:ind w:left="720" w:hanging="720"/>
        <w:rPr>
          <w:rFonts w:ascii="Times New Roman" w:eastAsia="Times New Roman" w:hAnsi="Times New Roman" w:cs="Times New Roman"/>
          <w:color w:val="333333"/>
          <w:sz w:val="24"/>
          <w:szCs w:val="24"/>
          <w:shd w:val="clear" w:color="auto" w:fill="FCFCFC"/>
        </w:rPr>
      </w:pPr>
      <w:r w:rsidRPr="00880A6D">
        <w:rPr>
          <w:rFonts w:ascii="Times New Roman" w:hAnsi="Times New Roman" w:cs="Times New Roman"/>
          <w:sz w:val="24"/>
          <w:szCs w:val="24"/>
        </w:rPr>
        <w:t xml:space="preserve">Hellman, C., &amp; Gwinn, C. (2017). Camp HOPE as an intervention for children exposed to domestic violence: A program evaluation of hope and strength of character. </w:t>
      </w:r>
      <w:r w:rsidRPr="00880A6D">
        <w:rPr>
          <w:rFonts w:ascii="Times New Roman" w:hAnsi="Times New Roman" w:cs="Times New Roman"/>
          <w:i/>
          <w:iCs/>
          <w:sz w:val="24"/>
          <w:szCs w:val="24"/>
        </w:rPr>
        <w:t>Child and Adolescent Social Work Journal, 34</w:t>
      </w:r>
      <w:r w:rsidRPr="00880A6D">
        <w:rPr>
          <w:rFonts w:ascii="Times New Roman" w:hAnsi="Times New Roman" w:cs="Times New Roman"/>
          <w:sz w:val="24"/>
          <w:szCs w:val="24"/>
        </w:rPr>
        <w:t>(3), 269-276.</w:t>
      </w:r>
      <w:r w:rsidRPr="00880A6D">
        <w:rPr>
          <w:rFonts w:ascii="Times New Roman" w:eastAsia="Times New Roman" w:hAnsi="Times New Roman" w:cs="Times New Roman"/>
          <w:color w:val="333333"/>
          <w:sz w:val="24"/>
          <w:szCs w:val="24"/>
          <w:shd w:val="clear" w:color="auto" w:fill="FCFCFC"/>
        </w:rPr>
        <w:t> </w:t>
      </w:r>
      <w:hyperlink r:id="rId40" w:history="1">
        <w:r w:rsidRPr="00880A6D">
          <w:rPr>
            <w:rStyle w:val="Hyperlink"/>
            <w:rFonts w:ascii="Times New Roman" w:eastAsia="Times New Roman" w:hAnsi="Times New Roman" w:cs="Times New Roman"/>
            <w:sz w:val="24"/>
            <w:szCs w:val="24"/>
            <w:shd w:val="clear" w:color="auto" w:fill="FCFCFC"/>
          </w:rPr>
          <w:t>https://doi.org/10.1007/s10560-016-0460-6</w:t>
        </w:r>
      </w:hyperlink>
    </w:p>
    <w:p w14:paraId="001A4661"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Izzo, C.V., Smith, E.G., Sellers, D.E., Holden, M.J., &amp; Nunno, M.A. (2022). Promoting a relational approach to residential </w:t>
      </w:r>
      <w:proofErr w:type="gramStart"/>
      <w:r w:rsidRPr="00880A6D">
        <w:rPr>
          <w:rFonts w:ascii="Times New Roman" w:hAnsi="Times New Roman" w:cs="Times New Roman"/>
          <w:sz w:val="24"/>
          <w:szCs w:val="24"/>
        </w:rPr>
        <w:t>child care</w:t>
      </w:r>
      <w:proofErr w:type="gramEnd"/>
      <w:r w:rsidRPr="00880A6D">
        <w:rPr>
          <w:rFonts w:ascii="Times New Roman" w:hAnsi="Times New Roman" w:cs="Times New Roman"/>
          <w:sz w:val="24"/>
          <w:szCs w:val="24"/>
        </w:rPr>
        <w:t xml:space="preserve"> through an organizational program model: Impacts of CARE Implementation on staff outcomes. </w:t>
      </w:r>
      <w:r w:rsidRPr="00880A6D">
        <w:rPr>
          <w:rFonts w:ascii="Times New Roman" w:hAnsi="Times New Roman" w:cs="Times New Roman"/>
          <w:i/>
          <w:iCs/>
          <w:sz w:val="24"/>
          <w:szCs w:val="24"/>
        </w:rPr>
        <w:t>Children and Youth Services Review, 132</w:t>
      </w:r>
      <w:r w:rsidRPr="00880A6D">
        <w:rPr>
          <w:rFonts w:ascii="Times New Roman" w:hAnsi="Times New Roman" w:cs="Times New Roman"/>
          <w:sz w:val="24"/>
          <w:szCs w:val="24"/>
        </w:rPr>
        <w:t xml:space="preserve">, 106330. </w:t>
      </w:r>
      <w:hyperlink r:id="rId41" w:history="1">
        <w:r w:rsidRPr="00880A6D">
          <w:rPr>
            <w:rStyle w:val="Hyperlink"/>
            <w:rFonts w:ascii="Times New Roman" w:hAnsi="Times New Roman" w:cs="Times New Roman"/>
            <w:sz w:val="24"/>
            <w:szCs w:val="24"/>
          </w:rPr>
          <w:t>https://doi.org/10.1016/j.childyouth.2021.106330</w:t>
        </w:r>
      </w:hyperlink>
    </w:p>
    <w:p w14:paraId="0B0AB402"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Kalmakis, K.A., &amp; Chandler, G.E. (2014). Adverse childhood experiences: Towards a clear conceptual meaning. </w:t>
      </w:r>
      <w:r w:rsidRPr="00880A6D">
        <w:rPr>
          <w:rFonts w:ascii="Times New Roman" w:hAnsi="Times New Roman" w:cs="Times New Roman"/>
          <w:i/>
          <w:iCs/>
          <w:sz w:val="24"/>
          <w:szCs w:val="24"/>
        </w:rPr>
        <w:t>Journal of Advanced Nursing, 70</w:t>
      </w:r>
      <w:r w:rsidRPr="00880A6D">
        <w:rPr>
          <w:rFonts w:ascii="Times New Roman" w:hAnsi="Times New Roman" w:cs="Times New Roman"/>
          <w:sz w:val="24"/>
          <w:szCs w:val="24"/>
        </w:rPr>
        <w:t xml:space="preserve">(7), 1489-1501. </w:t>
      </w:r>
      <w:hyperlink r:id="rId42" w:history="1">
        <w:r w:rsidRPr="00880A6D">
          <w:rPr>
            <w:rStyle w:val="Hyperlink"/>
            <w:rFonts w:ascii="Times New Roman" w:hAnsi="Times New Roman" w:cs="Times New Roman"/>
            <w:sz w:val="24"/>
            <w:szCs w:val="24"/>
          </w:rPr>
          <w:t>https://doi.org/10.1111/jan.12329</w:t>
        </w:r>
      </w:hyperlink>
    </w:p>
    <w:p w14:paraId="34A8701E" w14:textId="77777777" w:rsidR="00D0519D" w:rsidRPr="00880A6D" w:rsidRDefault="00D0519D" w:rsidP="003922D4">
      <w:pPr>
        <w:spacing w:line="240" w:lineRule="auto"/>
        <w:ind w:left="720" w:hanging="720"/>
        <w:rPr>
          <w:rFonts w:ascii="Times New Roman" w:hAnsi="Times New Roman" w:cs="Times New Roman"/>
          <w:sz w:val="24"/>
          <w:szCs w:val="24"/>
        </w:rPr>
      </w:pPr>
      <w:proofErr w:type="spellStart"/>
      <w:r w:rsidRPr="00880A6D">
        <w:rPr>
          <w:rFonts w:ascii="Times New Roman" w:hAnsi="Times New Roman" w:cs="Times New Roman"/>
          <w:sz w:val="24"/>
          <w:szCs w:val="24"/>
        </w:rPr>
        <w:t>Kassabøll</w:t>
      </w:r>
      <w:proofErr w:type="spellEnd"/>
      <w:r w:rsidRPr="00880A6D">
        <w:rPr>
          <w:rFonts w:ascii="Times New Roman" w:hAnsi="Times New Roman" w:cs="Times New Roman"/>
          <w:sz w:val="24"/>
          <w:szCs w:val="24"/>
        </w:rPr>
        <w:t xml:space="preserve">, J., Pedersen, S.A., &amp; Paulsen, V. (2021). What is known about the LGBTQ perspective in child welfare services: A scoping review. </w:t>
      </w:r>
      <w:r w:rsidRPr="00880A6D">
        <w:rPr>
          <w:rFonts w:ascii="Times New Roman" w:hAnsi="Times New Roman" w:cs="Times New Roman"/>
          <w:i/>
          <w:iCs/>
          <w:sz w:val="24"/>
          <w:szCs w:val="24"/>
        </w:rPr>
        <w:t>Child &amp; Family Social Work, 27</w:t>
      </w:r>
      <w:r w:rsidRPr="00880A6D">
        <w:rPr>
          <w:rFonts w:ascii="Times New Roman" w:hAnsi="Times New Roman" w:cs="Times New Roman"/>
          <w:sz w:val="24"/>
          <w:szCs w:val="24"/>
        </w:rPr>
        <w:t xml:space="preserve">(2), 358-369. </w:t>
      </w:r>
      <w:hyperlink r:id="rId43" w:history="1">
        <w:r w:rsidRPr="00880A6D">
          <w:rPr>
            <w:rStyle w:val="Hyperlink"/>
            <w:rFonts w:ascii="Times New Roman" w:hAnsi="Times New Roman" w:cs="Times New Roman"/>
            <w:sz w:val="24"/>
            <w:szCs w:val="24"/>
          </w:rPr>
          <w:t>http://doi.org/10.1136/bmjopen-2019-030675</w:t>
        </w:r>
      </w:hyperlink>
    </w:p>
    <w:p w14:paraId="3CE20A61"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lastRenderedPageBreak/>
        <w:t xml:space="preserve">Layne, C.M., Greeson, J.K.P., Ostrowski, S.A., </w:t>
      </w:r>
      <w:proofErr w:type="spellStart"/>
      <w:r w:rsidRPr="00880A6D">
        <w:rPr>
          <w:rFonts w:ascii="Times New Roman" w:hAnsi="Times New Roman" w:cs="Times New Roman"/>
          <w:sz w:val="24"/>
          <w:szCs w:val="24"/>
        </w:rPr>
        <w:t>Soueun</w:t>
      </w:r>
      <w:proofErr w:type="spellEnd"/>
      <w:r w:rsidRPr="00880A6D">
        <w:rPr>
          <w:rFonts w:ascii="Times New Roman" w:hAnsi="Times New Roman" w:cs="Times New Roman"/>
          <w:sz w:val="24"/>
          <w:szCs w:val="24"/>
        </w:rPr>
        <w:t xml:space="preserve">, K., Reading, S. </w:t>
      </w:r>
      <w:proofErr w:type="spellStart"/>
      <w:r w:rsidRPr="00880A6D">
        <w:rPr>
          <w:rFonts w:ascii="Times New Roman" w:hAnsi="Times New Roman" w:cs="Times New Roman"/>
          <w:sz w:val="24"/>
          <w:szCs w:val="24"/>
        </w:rPr>
        <w:t>Vivrette</w:t>
      </w:r>
      <w:proofErr w:type="spellEnd"/>
      <w:r w:rsidRPr="00880A6D">
        <w:rPr>
          <w:rFonts w:ascii="Times New Roman" w:hAnsi="Times New Roman" w:cs="Times New Roman"/>
          <w:sz w:val="24"/>
          <w:szCs w:val="24"/>
        </w:rPr>
        <w:t xml:space="preserve">, R.L., Briggs, E.C., Fairbank, J.A. &amp; </w:t>
      </w:r>
      <w:proofErr w:type="spellStart"/>
      <w:r w:rsidRPr="00880A6D">
        <w:rPr>
          <w:rFonts w:ascii="Times New Roman" w:hAnsi="Times New Roman" w:cs="Times New Roman"/>
          <w:sz w:val="24"/>
          <w:szCs w:val="24"/>
        </w:rPr>
        <w:t>Pynnos</w:t>
      </w:r>
      <w:proofErr w:type="spellEnd"/>
      <w:r w:rsidRPr="00880A6D">
        <w:rPr>
          <w:rFonts w:ascii="Times New Roman" w:hAnsi="Times New Roman" w:cs="Times New Roman"/>
          <w:sz w:val="24"/>
          <w:szCs w:val="24"/>
        </w:rPr>
        <w:t xml:space="preserve">, R.S. (2014). Cumulative trauma and exposure and </w:t>
      </w:r>
      <w:proofErr w:type="gramStart"/>
      <w:r w:rsidRPr="00880A6D">
        <w:rPr>
          <w:rFonts w:ascii="Times New Roman" w:hAnsi="Times New Roman" w:cs="Times New Roman"/>
          <w:sz w:val="24"/>
          <w:szCs w:val="24"/>
        </w:rPr>
        <w:t>high risk</w:t>
      </w:r>
      <w:proofErr w:type="gramEnd"/>
      <w:r w:rsidRPr="00880A6D">
        <w:rPr>
          <w:rFonts w:ascii="Times New Roman" w:hAnsi="Times New Roman" w:cs="Times New Roman"/>
          <w:sz w:val="24"/>
          <w:szCs w:val="24"/>
        </w:rPr>
        <w:t xml:space="preserve"> behavior in adolescence: Findings from the National Child Traumatic Stress Network core data set. </w:t>
      </w:r>
      <w:r w:rsidRPr="00880A6D">
        <w:rPr>
          <w:rFonts w:ascii="Times New Roman" w:hAnsi="Times New Roman" w:cs="Times New Roman"/>
          <w:i/>
          <w:iCs/>
          <w:sz w:val="24"/>
          <w:szCs w:val="24"/>
        </w:rPr>
        <w:t>Psychological Trauma: Theory, Research, Practice, and Policy, 6</w:t>
      </w:r>
      <w:r w:rsidRPr="00880A6D">
        <w:rPr>
          <w:rFonts w:ascii="Times New Roman" w:hAnsi="Times New Roman" w:cs="Times New Roman"/>
          <w:sz w:val="24"/>
          <w:szCs w:val="24"/>
        </w:rPr>
        <w:t xml:space="preserve"> (Suppl 1), S40-49. </w:t>
      </w:r>
      <w:hyperlink r:id="rId44" w:history="1">
        <w:r w:rsidRPr="00880A6D">
          <w:rPr>
            <w:rStyle w:val="Hyperlink"/>
            <w:rFonts w:ascii="Times New Roman" w:hAnsi="Times New Roman" w:cs="Times New Roman"/>
            <w:sz w:val="24"/>
            <w:szCs w:val="24"/>
          </w:rPr>
          <w:t>https://doi.org/10.1037/a0037799</w:t>
        </w:r>
      </w:hyperlink>
    </w:p>
    <w:p w14:paraId="46B4ED83"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Margalit, M. (2010).</w:t>
      </w:r>
      <w:r w:rsidRPr="00880A6D">
        <w:rPr>
          <w:rFonts w:ascii="Times New Roman" w:hAnsi="Times New Roman" w:cs="Times New Roman"/>
          <w:i/>
          <w:iCs/>
          <w:sz w:val="24"/>
          <w:szCs w:val="24"/>
        </w:rPr>
        <w:t xml:space="preserve"> Lonely children and adolescents: Self-perceptions, social exclusion, and hope. </w:t>
      </w:r>
      <w:r w:rsidRPr="00880A6D">
        <w:rPr>
          <w:rFonts w:ascii="Times New Roman" w:hAnsi="Times New Roman" w:cs="Times New Roman"/>
          <w:sz w:val="24"/>
          <w:szCs w:val="24"/>
        </w:rPr>
        <w:t xml:space="preserve">New York: Springer. </w:t>
      </w:r>
      <w:hyperlink r:id="rId45" w:history="1">
        <w:r w:rsidRPr="00880A6D">
          <w:rPr>
            <w:rStyle w:val="Hyperlink"/>
            <w:rFonts w:ascii="Times New Roman" w:hAnsi="Times New Roman" w:cs="Times New Roman"/>
            <w:sz w:val="24"/>
            <w:szCs w:val="24"/>
          </w:rPr>
          <w:t>https://doi.org/10.1007/978-1-4419-6284-3</w:t>
        </w:r>
      </w:hyperlink>
    </w:p>
    <w:p w14:paraId="26089AA6"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Martin, M., Down, L., Erney, R. (2016). </w:t>
      </w:r>
      <w:r w:rsidRPr="00880A6D">
        <w:rPr>
          <w:rFonts w:ascii="Times New Roman" w:hAnsi="Times New Roman" w:cs="Times New Roman"/>
          <w:i/>
          <w:iCs/>
          <w:sz w:val="24"/>
          <w:szCs w:val="24"/>
        </w:rPr>
        <w:t xml:space="preserve">Out of the shadows: Supporting LGBTQ youth in child welfare through cross-system collaboration. </w:t>
      </w:r>
      <w:r w:rsidRPr="00880A6D">
        <w:rPr>
          <w:rFonts w:ascii="Times New Roman" w:hAnsi="Times New Roman" w:cs="Times New Roman"/>
          <w:sz w:val="24"/>
          <w:szCs w:val="24"/>
        </w:rPr>
        <w:t>Washington, DC: Center for the Study of Social Policy</w:t>
      </w:r>
    </w:p>
    <w:p w14:paraId="3321A6E6"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Marques, S.C. &amp; Lopez, S.J. (2018). Promoting hope in children. In M.W. Gallagher &amp; S.J. Lopez (Eds.), </w:t>
      </w:r>
      <w:r w:rsidRPr="00880A6D">
        <w:rPr>
          <w:rFonts w:ascii="Times New Roman" w:hAnsi="Times New Roman" w:cs="Times New Roman"/>
          <w:i/>
          <w:iCs/>
          <w:sz w:val="24"/>
          <w:szCs w:val="24"/>
        </w:rPr>
        <w:t>Oxford library of psychology. The Oxford Handbook of hope</w:t>
      </w:r>
      <w:r w:rsidRPr="00880A6D">
        <w:rPr>
          <w:rFonts w:ascii="Times New Roman" w:hAnsi="Times New Roman" w:cs="Times New Roman"/>
          <w:sz w:val="24"/>
          <w:szCs w:val="24"/>
        </w:rPr>
        <w:t xml:space="preserve"> (p. 117-132). Oxford University Press. </w:t>
      </w:r>
    </w:p>
    <w:p w14:paraId="2D0CA22B"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Marques, S.C., Lopez, S.J., Fontaine, A.M., Coimbra, S., Mitchell, J. (2015).  </w:t>
      </w:r>
      <w:r w:rsidRPr="00880A6D">
        <w:rPr>
          <w:rFonts w:ascii="Times New Roman" w:eastAsia="Times New Roman" w:hAnsi="Times New Roman" w:cs="Times New Roman"/>
          <w:sz w:val="24"/>
          <w:szCs w:val="24"/>
        </w:rPr>
        <w:t xml:space="preserve">How much hope is enough? Level of hope and students’ psychological and school functioning. </w:t>
      </w:r>
      <w:r w:rsidRPr="00880A6D">
        <w:rPr>
          <w:rFonts w:ascii="Times New Roman" w:eastAsia="Times New Roman" w:hAnsi="Times New Roman" w:cs="Times New Roman"/>
          <w:i/>
          <w:iCs/>
          <w:sz w:val="24"/>
          <w:szCs w:val="24"/>
        </w:rPr>
        <w:t>Psychology in Schools, 52</w:t>
      </w:r>
      <w:r w:rsidRPr="00880A6D">
        <w:rPr>
          <w:rFonts w:ascii="Times New Roman" w:eastAsia="Times New Roman" w:hAnsi="Times New Roman" w:cs="Times New Roman"/>
          <w:sz w:val="24"/>
          <w:szCs w:val="24"/>
        </w:rPr>
        <w:t>(4). 325-334.</w:t>
      </w:r>
      <w:r w:rsidRPr="00880A6D">
        <w:rPr>
          <w:rFonts w:ascii="Times New Roman" w:eastAsia="Times New Roman" w:hAnsi="Times New Roman" w:cs="Times New Roman"/>
          <w:color w:val="4472C4" w:themeColor="accent1"/>
          <w:sz w:val="24"/>
          <w:szCs w:val="24"/>
        </w:rPr>
        <w:t xml:space="preserve"> </w:t>
      </w:r>
      <w:hyperlink r:id="rId46" w:history="1">
        <w:r w:rsidRPr="00880A6D">
          <w:rPr>
            <w:rStyle w:val="Hyperlink"/>
            <w:rFonts w:ascii="Times New Roman" w:hAnsi="Times New Roman" w:cs="Times New Roman"/>
            <w:color w:val="4472C4" w:themeColor="accent1"/>
            <w:sz w:val="24"/>
            <w:szCs w:val="24"/>
            <w:shd w:val="clear" w:color="auto" w:fill="FFFFFF"/>
          </w:rPr>
          <w:t>https://doi.org/10.1002/pits.21833</w:t>
        </w:r>
      </w:hyperlink>
    </w:p>
    <w:p w14:paraId="58B61294" w14:textId="77777777" w:rsidR="00D0519D" w:rsidRPr="00880A6D" w:rsidRDefault="00D0519D" w:rsidP="003922D4">
      <w:pPr>
        <w:spacing w:line="240" w:lineRule="auto"/>
        <w:ind w:left="720" w:hanging="720"/>
        <w:rPr>
          <w:rFonts w:ascii="Times New Roman" w:eastAsia="Times New Roman" w:hAnsi="Times New Roman" w:cs="Times New Roman"/>
          <w:color w:val="000000" w:themeColor="text1"/>
          <w:sz w:val="24"/>
          <w:szCs w:val="24"/>
        </w:rPr>
      </w:pPr>
      <w:r w:rsidRPr="00880A6D">
        <w:rPr>
          <w:rFonts w:ascii="Times New Roman" w:eastAsia="Times New Roman" w:hAnsi="Times New Roman" w:cs="Times New Roman"/>
          <w:color w:val="000000" w:themeColor="text1"/>
          <w:sz w:val="24"/>
          <w:szCs w:val="24"/>
        </w:rPr>
        <w:t xml:space="preserve">McCormick, A., Schmidt, K., &amp; Terrazas, S. (2016). LGBTQ youth in the child welfare system: An overview of research, policy, and practice. </w:t>
      </w:r>
      <w:r w:rsidRPr="00880A6D">
        <w:rPr>
          <w:rFonts w:ascii="Times New Roman" w:eastAsia="Times New Roman" w:hAnsi="Times New Roman" w:cs="Times New Roman"/>
          <w:i/>
          <w:iCs/>
          <w:color w:val="000000" w:themeColor="text1"/>
          <w:sz w:val="24"/>
          <w:szCs w:val="24"/>
        </w:rPr>
        <w:t>Journal of Public Child Welfare, 11</w:t>
      </w:r>
      <w:r w:rsidRPr="00880A6D">
        <w:rPr>
          <w:rFonts w:ascii="Times New Roman" w:eastAsia="Times New Roman" w:hAnsi="Times New Roman" w:cs="Times New Roman"/>
          <w:color w:val="000000" w:themeColor="text1"/>
          <w:sz w:val="24"/>
          <w:szCs w:val="24"/>
        </w:rPr>
        <w:t xml:space="preserve">(1), 27-39. </w:t>
      </w:r>
      <w:hyperlink r:id="rId47" w:history="1">
        <w:r w:rsidRPr="00880A6D">
          <w:rPr>
            <w:rStyle w:val="Hyperlink"/>
            <w:rFonts w:ascii="Times New Roman" w:eastAsia="Times New Roman" w:hAnsi="Times New Roman" w:cs="Times New Roman"/>
            <w:sz w:val="24"/>
            <w:szCs w:val="24"/>
          </w:rPr>
          <w:t>https://doi.org/10.1080/15548732.2016.1221368</w:t>
        </w:r>
      </w:hyperlink>
    </w:p>
    <w:p w14:paraId="5BF39221" w14:textId="77777777" w:rsidR="00D0519D" w:rsidRPr="00880A6D" w:rsidRDefault="00D0519D" w:rsidP="003922D4">
      <w:pPr>
        <w:spacing w:line="240" w:lineRule="auto"/>
        <w:ind w:left="720" w:hanging="720"/>
        <w:rPr>
          <w:rFonts w:ascii="Times New Roman" w:eastAsia="Times New Roman" w:hAnsi="Times New Roman" w:cs="Times New Roman"/>
          <w:color w:val="000000" w:themeColor="text1"/>
          <w:sz w:val="24"/>
          <w:szCs w:val="24"/>
        </w:rPr>
      </w:pPr>
      <w:r w:rsidRPr="00880A6D">
        <w:rPr>
          <w:rFonts w:ascii="Times New Roman" w:eastAsia="Times New Roman" w:hAnsi="Times New Roman" w:cs="Times New Roman"/>
          <w:color w:val="000000" w:themeColor="text1"/>
          <w:sz w:val="24"/>
          <w:szCs w:val="24"/>
        </w:rPr>
        <w:t xml:space="preserve">Merkaš, M., &amp; </w:t>
      </w:r>
      <w:proofErr w:type="spellStart"/>
      <w:r w:rsidRPr="00880A6D">
        <w:rPr>
          <w:rFonts w:ascii="Times New Roman" w:eastAsia="Times New Roman" w:hAnsi="Times New Roman" w:cs="Times New Roman"/>
          <w:color w:val="000000" w:themeColor="text1"/>
          <w:sz w:val="24"/>
          <w:szCs w:val="24"/>
        </w:rPr>
        <w:t>Brajša</w:t>
      </w:r>
      <w:proofErr w:type="spellEnd"/>
      <w:r w:rsidRPr="00880A6D">
        <w:rPr>
          <w:rFonts w:ascii="Times New Roman" w:eastAsia="Times New Roman" w:hAnsi="Times New Roman" w:cs="Times New Roman"/>
          <w:color w:val="000000" w:themeColor="text1"/>
          <w:sz w:val="24"/>
          <w:szCs w:val="24"/>
        </w:rPr>
        <w:t>-Žganec, A. (2011). Children with different levels of hope: Are there differences in their self-esteem, life satisfaction, social support, and family cohesion</w:t>
      </w:r>
      <w:r w:rsidRPr="00880A6D">
        <w:rPr>
          <w:rFonts w:ascii="Times New Roman" w:eastAsia="Times New Roman" w:hAnsi="Times New Roman" w:cs="Times New Roman"/>
          <w:i/>
          <w:iCs/>
          <w:color w:val="000000" w:themeColor="text1"/>
          <w:sz w:val="24"/>
          <w:szCs w:val="24"/>
        </w:rPr>
        <w:t xml:space="preserve"> Indicators Research, 4</w:t>
      </w:r>
      <w:r w:rsidRPr="00880A6D">
        <w:rPr>
          <w:rFonts w:ascii="Times New Roman" w:eastAsia="Times New Roman" w:hAnsi="Times New Roman" w:cs="Times New Roman"/>
          <w:color w:val="000000" w:themeColor="text1"/>
          <w:sz w:val="24"/>
          <w:szCs w:val="24"/>
        </w:rPr>
        <w:t xml:space="preserve">(3), 499-514. </w:t>
      </w:r>
      <w:r w:rsidRPr="00880A6D">
        <w:rPr>
          <w:rFonts w:ascii="Times New Roman" w:eastAsia="Times New Roman" w:hAnsi="Times New Roman" w:cs="Times New Roman"/>
          <w:color w:val="0078D4"/>
          <w:sz w:val="24"/>
          <w:szCs w:val="24"/>
          <w:u w:val="single"/>
        </w:rPr>
        <w:t>https://doi.org/10.1007/s12187-011-9105-7</w:t>
      </w:r>
      <w:r w:rsidRPr="00880A6D">
        <w:rPr>
          <w:rFonts w:ascii="Times New Roman" w:eastAsia="Times New Roman" w:hAnsi="Times New Roman" w:cs="Times New Roman"/>
          <w:color w:val="333333"/>
          <w:sz w:val="24"/>
          <w:szCs w:val="24"/>
        </w:rPr>
        <w:t> </w:t>
      </w:r>
    </w:p>
    <w:p w14:paraId="2A39D814"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eastAsia="Times New Roman" w:hAnsi="Times New Roman" w:cs="Times New Roman"/>
          <w:color w:val="222222"/>
          <w:sz w:val="24"/>
          <w:szCs w:val="24"/>
          <w:shd w:val="clear" w:color="auto" w:fill="FFFFFF"/>
        </w:rPr>
        <w:t>Mitchum, P., &amp; Moodie-Mills, A. C. (2014). Beyond bullying: How hostile school climate perpetuates the school-to-prison pipeline for LGBT youth. </w:t>
      </w:r>
      <w:r w:rsidRPr="00880A6D">
        <w:rPr>
          <w:rFonts w:ascii="Times New Roman" w:eastAsia="Times New Roman" w:hAnsi="Times New Roman" w:cs="Times New Roman"/>
          <w:i/>
          <w:iCs/>
          <w:color w:val="222222"/>
          <w:sz w:val="24"/>
          <w:szCs w:val="24"/>
          <w:shd w:val="clear" w:color="auto" w:fill="FFFFFF"/>
        </w:rPr>
        <w:t>Washington, DC: Center for American Progress</w:t>
      </w:r>
      <w:r w:rsidRPr="00880A6D">
        <w:rPr>
          <w:rFonts w:ascii="Times New Roman" w:eastAsia="Times New Roman" w:hAnsi="Times New Roman" w:cs="Times New Roman"/>
          <w:color w:val="222222"/>
          <w:sz w:val="24"/>
          <w:szCs w:val="24"/>
          <w:shd w:val="clear" w:color="auto" w:fill="FFFFFF"/>
        </w:rPr>
        <w:t>.</w:t>
      </w:r>
    </w:p>
    <w:p w14:paraId="082333D0"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Muñoz, R. T., Hanks, H., &amp; Hellman, C. (2020). Hope and resilience as distinct contributors to psychological flourishing among childhood trauma survivors. </w:t>
      </w:r>
      <w:r w:rsidRPr="00880A6D">
        <w:rPr>
          <w:rFonts w:ascii="Times New Roman" w:hAnsi="Times New Roman" w:cs="Times New Roman"/>
          <w:i/>
          <w:iCs/>
          <w:sz w:val="24"/>
          <w:szCs w:val="24"/>
        </w:rPr>
        <w:t xml:space="preserve">Traumatology, 26(2), 177-184. </w:t>
      </w:r>
      <w:hyperlink r:id="rId48" w:history="1">
        <w:r w:rsidRPr="00880A6D">
          <w:rPr>
            <w:rStyle w:val="Hyperlink"/>
            <w:rFonts w:ascii="Times New Roman" w:hAnsi="Times New Roman" w:cs="Times New Roman"/>
            <w:sz w:val="24"/>
            <w:szCs w:val="24"/>
          </w:rPr>
          <w:t>https://doi.org/10.1037/trm0000224</w:t>
        </w:r>
      </w:hyperlink>
    </w:p>
    <w:p w14:paraId="49875D0C"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Muñoz, R.T., Pearson, L.C., Hellman, C.M., McIntosh, H.C., Khojasteh, J., &amp; Fox, M.D. (2018). Adverse childhood experiences and posttraumatic stress as an antecedent of anxiety and lower hope. </w:t>
      </w:r>
      <w:r w:rsidRPr="00880A6D">
        <w:rPr>
          <w:rFonts w:ascii="Times New Roman" w:hAnsi="Times New Roman" w:cs="Times New Roman"/>
          <w:i/>
          <w:iCs/>
          <w:sz w:val="24"/>
          <w:szCs w:val="24"/>
        </w:rPr>
        <w:t>Traumatology, 24</w:t>
      </w:r>
      <w:r w:rsidRPr="00880A6D">
        <w:rPr>
          <w:rFonts w:ascii="Times New Roman" w:hAnsi="Times New Roman" w:cs="Times New Roman"/>
          <w:sz w:val="24"/>
          <w:szCs w:val="24"/>
        </w:rPr>
        <w:t xml:space="preserve">(3), 209. </w:t>
      </w:r>
      <w:hyperlink r:id="rId49" w:history="1">
        <w:r w:rsidRPr="00880A6D">
          <w:rPr>
            <w:rStyle w:val="Hyperlink"/>
            <w:rFonts w:ascii="Times New Roman" w:hAnsi="Times New Roman" w:cs="Times New Roman"/>
            <w:sz w:val="24"/>
            <w:szCs w:val="24"/>
          </w:rPr>
          <w:t>https:/areorg/10/1037/trm0000149</w:t>
        </w:r>
      </w:hyperlink>
    </w:p>
    <w:p w14:paraId="69096ED2" w14:textId="77777777" w:rsidR="00D0519D" w:rsidRPr="00880A6D" w:rsidRDefault="00D0519D" w:rsidP="003922D4">
      <w:pPr>
        <w:spacing w:line="240" w:lineRule="auto"/>
        <w:ind w:left="720" w:hanging="720"/>
        <w:rPr>
          <w:rFonts w:ascii="Times New Roman" w:eastAsia="Times New Roman" w:hAnsi="Times New Roman" w:cs="Times New Roman"/>
          <w:color w:val="333333"/>
          <w:sz w:val="24"/>
          <w:szCs w:val="24"/>
          <w:shd w:val="clear" w:color="auto" w:fill="FCFCFC"/>
        </w:rPr>
      </w:pPr>
      <w:r w:rsidRPr="00880A6D">
        <w:rPr>
          <w:rFonts w:ascii="Times New Roman" w:hAnsi="Times New Roman" w:cs="Times New Roman"/>
          <w:sz w:val="24"/>
          <w:szCs w:val="24"/>
        </w:rPr>
        <w:t xml:space="preserve">Muñoz, R.T., Pharris, A.B., &amp; Hellman, C.M. (2021). A linear model of adverse childhood experiences (ACEs) as drivers of lower hope mediated by lower attachment security in an adult sample. </w:t>
      </w:r>
      <w:r w:rsidRPr="00880A6D">
        <w:rPr>
          <w:rFonts w:ascii="Times New Roman" w:hAnsi="Times New Roman" w:cs="Times New Roman"/>
          <w:i/>
          <w:iCs/>
          <w:sz w:val="24"/>
          <w:szCs w:val="24"/>
        </w:rPr>
        <w:t>Journal of Family Violence, 7(</w:t>
      </w:r>
      <w:r w:rsidRPr="00880A6D">
        <w:rPr>
          <w:rFonts w:ascii="Times New Roman" w:hAnsi="Times New Roman" w:cs="Times New Roman"/>
          <w:sz w:val="24"/>
          <w:szCs w:val="24"/>
        </w:rPr>
        <w:t xml:space="preserve">1), 1-9. </w:t>
      </w:r>
      <w:hyperlink r:id="rId50" w:history="1">
        <w:r w:rsidRPr="00880A6D">
          <w:rPr>
            <w:rStyle w:val="Hyperlink"/>
            <w:rFonts w:ascii="Times New Roman" w:eastAsia="Times New Roman" w:hAnsi="Times New Roman" w:cs="Times New Roman"/>
            <w:sz w:val="24"/>
            <w:szCs w:val="24"/>
            <w:shd w:val="clear" w:color="auto" w:fill="FCFCFC"/>
          </w:rPr>
          <w:t>https://doi-org.ezproxy.lib.ou.edu/10.1007/s10896-021-00282-5</w:t>
        </w:r>
      </w:hyperlink>
    </w:p>
    <w:p w14:paraId="29ED69D9"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Muñoz, R. T., Quinton, K., Worley, J., &amp; Hellman, C. M. (2019). Locus of hope: External hope in parents/guardians as an antecedent of adolescents’ internal hope and life satisfaction. </w:t>
      </w:r>
      <w:r w:rsidRPr="00880A6D">
        <w:rPr>
          <w:rFonts w:ascii="Times New Roman" w:hAnsi="Times New Roman" w:cs="Times New Roman"/>
          <w:i/>
          <w:iCs/>
          <w:sz w:val="24"/>
          <w:szCs w:val="24"/>
        </w:rPr>
        <w:t>Child Indicators Research, 12</w:t>
      </w:r>
      <w:r w:rsidRPr="00880A6D">
        <w:rPr>
          <w:rFonts w:ascii="Times New Roman" w:hAnsi="Times New Roman" w:cs="Times New Roman"/>
          <w:sz w:val="24"/>
          <w:szCs w:val="24"/>
        </w:rPr>
        <w:t xml:space="preserve">(3), 1107–1124. </w:t>
      </w:r>
      <w:hyperlink r:id="rId51" w:history="1">
        <w:r w:rsidRPr="00880A6D">
          <w:rPr>
            <w:rStyle w:val="Hyperlink"/>
            <w:rFonts w:ascii="Times New Roman" w:hAnsi="Times New Roman" w:cs="Times New Roman"/>
            <w:sz w:val="24"/>
            <w:szCs w:val="24"/>
          </w:rPr>
          <w:t>http://doi.org/10.1007/s12187-018-9566-z</w:t>
        </w:r>
      </w:hyperlink>
      <w:r w:rsidRPr="00880A6D">
        <w:rPr>
          <w:rFonts w:ascii="Times New Roman" w:hAnsi="Times New Roman" w:cs="Times New Roman"/>
          <w:sz w:val="24"/>
          <w:szCs w:val="24"/>
        </w:rPr>
        <w:t>.</w:t>
      </w:r>
    </w:p>
    <w:p w14:paraId="14027177"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lastRenderedPageBreak/>
        <w:t xml:space="preserve">Murdock, T.B., &amp; Bolch, M.B. (2005). Risk and protective factors for poor school adjustment in lesbian, gay, and bisexual (LGB) high school youth: Variable and person-centered analyses. </w:t>
      </w:r>
      <w:r w:rsidRPr="00880A6D">
        <w:rPr>
          <w:rFonts w:ascii="Times New Roman" w:hAnsi="Times New Roman" w:cs="Times New Roman"/>
          <w:i/>
          <w:iCs/>
          <w:sz w:val="24"/>
          <w:szCs w:val="24"/>
        </w:rPr>
        <w:t>Psychology in the Schools, 42</w:t>
      </w:r>
      <w:r w:rsidRPr="00880A6D">
        <w:rPr>
          <w:rFonts w:ascii="Times New Roman" w:hAnsi="Times New Roman" w:cs="Times New Roman"/>
          <w:sz w:val="24"/>
          <w:szCs w:val="24"/>
        </w:rPr>
        <w:t xml:space="preserve">(2), 159-172. </w:t>
      </w:r>
      <w:hyperlink r:id="rId52" w:history="1">
        <w:r w:rsidRPr="00880A6D">
          <w:rPr>
            <w:rStyle w:val="Hyperlink"/>
            <w:rFonts w:ascii="Times New Roman" w:hAnsi="Times New Roman" w:cs="Times New Roman"/>
            <w:sz w:val="24"/>
            <w:szCs w:val="24"/>
          </w:rPr>
          <w:t>https://doi.org/10.1002/pits/20054</w:t>
        </w:r>
      </w:hyperlink>
    </w:p>
    <w:p w14:paraId="3CC7AE95"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Ong, A.D., Standiford, T., &amp; Deshpande, S. (2018). Hope and stress resilience. In M.W. Gallagher &amp; S.J. Lopez (Eds.), </w:t>
      </w:r>
      <w:r w:rsidRPr="00880A6D">
        <w:rPr>
          <w:rFonts w:ascii="Times New Roman" w:hAnsi="Times New Roman" w:cs="Times New Roman"/>
          <w:i/>
          <w:iCs/>
          <w:sz w:val="24"/>
          <w:szCs w:val="24"/>
        </w:rPr>
        <w:t>The Oxford handbook of hope</w:t>
      </w:r>
      <w:r w:rsidRPr="00880A6D">
        <w:rPr>
          <w:rFonts w:ascii="Times New Roman" w:hAnsi="Times New Roman" w:cs="Times New Roman"/>
          <w:sz w:val="24"/>
          <w:szCs w:val="24"/>
        </w:rPr>
        <w:t xml:space="preserve"> (pp. 255-286). Oxford University Press. </w:t>
      </w:r>
    </w:p>
    <w:p w14:paraId="5381677D"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Paul, J.C. (2020). Exploring support for LGBTQ youth transitioning from foster care to emerging adulthood. </w:t>
      </w:r>
      <w:r w:rsidRPr="00880A6D">
        <w:rPr>
          <w:rFonts w:ascii="Times New Roman" w:hAnsi="Times New Roman" w:cs="Times New Roman"/>
          <w:i/>
          <w:iCs/>
          <w:sz w:val="24"/>
          <w:szCs w:val="24"/>
        </w:rPr>
        <w:t>Children &amp; Youth Services Review, 119,</w:t>
      </w:r>
      <w:r w:rsidRPr="00880A6D">
        <w:rPr>
          <w:rFonts w:ascii="Times New Roman" w:hAnsi="Times New Roman" w:cs="Times New Roman"/>
          <w:sz w:val="24"/>
          <w:szCs w:val="24"/>
        </w:rPr>
        <w:t xml:space="preserve"> 105481, </w:t>
      </w:r>
      <w:hyperlink r:id="rId53" w:history="1">
        <w:r w:rsidRPr="00880A6D">
          <w:rPr>
            <w:rStyle w:val="Hyperlink"/>
            <w:rFonts w:ascii="Times New Roman" w:hAnsi="Times New Roman" w:cs="Times New Roman"/>
            <w:sz w:val="24"/>
            <w:szCs w:val="24"/>
          </w:rPr>
          <w:t>https://doi.org/10.1016/j.childyouth.2020.105481</w:t>
        </w:r>
      </w:hyperlink>
    </w:p>
    <w:p w14:paraId="266C0CB0"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Peterson, C., &amp; Seligman, M.E.P. (2004).</w:t>
      </w:r>
      <w:r w:rsidRPr="00880A6D">
        <w:rPr>
          <w:rFonts w:ascii="Times New Roman" w:hAnsi="Times New Roman" w:cs="Times New Roman"/>
          <w:i/>
          <w:iCs/>
          <w:sz w:val="24"/>
          <w:szCs w:val="24"/>
        </w:rPr>
        <w:t xml:space="preserve"> Character strengths and virtues: A handbook and classification. </w:t>
      </w:r>
      <w:r w:rsidRPr="00880A6D">
        <w:rPr>
          <w:rFonts w:ascii="Times New Roman" w:hAnsi="Times New Roman" w:cs="Times New Roman"/>
          <w:sz w:val="24"/>
          <w:szCs w:val="24"/>
        </w:rPr>
        <w:t xml:space="preserve">Oxford Press: New York. </w:t>
      </w:r>
    </w:p>
    <w:p w14:paraId="1A2F9375"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Petruccelli, K., Davis, J., &amp; Berman, T. (2019). Adverse childhood experiences and associated health outcomes: A systematic review and meta-analysis. </w:t>
      </w:r>
      <w:r w:rsidRPr="00880A6D">
        <w:rPr>
          <w:rFonts w:ascii="Times New Roman" w:hAnsi="Times New Roman" w:cs="Times New Roman"/>
          <w:i/>
          <w:iCs/>
          <w:sz w:val="24"/>
          <w:szCs w:val="24"/>
        </w:rPr>
        <w:t>Child Abuse &amp; Neglect, 97,</w:t>
      </w:r>
      <w:r w:rsidRPr="00880A6D">
        <w:rPr>
          <w:rFonts w:ascii="Times New Roman" w:hAnsi="Times New Roman" w:cs="Times New Roman"/>
          <w:sz w:val="24"/>
          <w:szCs w:val="24"/>
        </w:rPr>
        <w:t xml:space="preserve"> 104127. </w:t>
      </w:r>
      <w:hyperlink r:id="rId54" w:history="1">
        <w:r w:rsidRPr="00880A6D">
          <w:rPr>
            <w:rStyle w:val="Hyperlink"/>
            <w:rFonts w:ascii="Times New Roman" w:hAnsi="Times New Roman" w:cs="Times New Roman"/>
            <w:sz w:val="24"/>
            <w:szCs w:val="24"/>
          </w:rPr>
          <w:t>https://doi.org/10.1016/j.chiabu.2019.104127</w:t>
        </w:r>
      </w:hyperlink>
    </w:p>
    <w:p w14:paraId="2E38A8FA"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Prince, D.M., Ray-Novak, M., Gillani, B., &amp; Peterson, E. (2021). Sexual and gender minority youth in foster care: An evidence-based theoretical, conceptual model of disproportionality and psychological comorbidities. </w:t>
      </w:r>
      <w:r w:rsidRPr="00880A6D">
        <w:rPr>
          <w:rFonts w:ascii="Times New Roman" w:hAnsi="Times New Roman" w:cs="Times New Roman"/>
          <w:i/>
          <w:iCs/>
          <w:sz w:val="24"/>
          <w:szCs w:val="24"/>
        </w:rPr>
        <w:t>Trauma, Violence, &amp; Abuse,</w:t>
      </w:r>
      <w:r w:rsidRPr="00880A6D">
        <w:rPr>
          <w:rFonts w:ascii="Times New Roman" w:hAnsi="Times New Roman" w:cs="Times New Roman"/>
          <w:sz w:val="24"/>
          <w:szCs w:val="24"/>
        </w:rPr>
        <w:t xml:space="preserve">1-15. </w:t>
      </w:r>
      <w:hyperlink r:id="rId55" w:history="1">
        <w:r w:rsidRPr="00880A6D">
          <w:rPr>
            <w:rStyle w:val="Hyperlink"/>
            <w:rFonts w:ascii="Times New Roman" w:hAnsi="Times New Roman" w:cs="Times New Roman"/>
            <w:sz w:val="24"/>
            <w:szCs w:val="24"/>
          </w:rPr>
          <w:t>https://doi.org/10.1177/154248380211013129</w:t>
        </w:r>
      </w:hyperlink>
    </w:p>
    <w:p w14:paraId="4EB73E82"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Ragg, D.M., Patrick, D., &amp; </w:t>
      </w:r>
      <w:proofErr w:type="spellStart"/>
      <w:r w:rsidRPr="00880A6D">
        <w:rPr>
          <w:rFonts w:ascii="Times New Roman" w:hAnsi="Times New Roman" w:cs="Times New Roman"/>
          <w:sz w:val="24"/>
          <w:szCs w:val="24"/>
        </w:rPr>
        <w:t>Ziefert</w:t>
      </w:r>
      <w:proofErr w:type="spellEnd"/>
      <w:r w:rsidRPr="00880A6D">
        <w:rPr>
          <w:rFonts w:ascii="Times New Roman" w:hAnsi="Times New Roman" w:cs="Times New Roman"/>
          <w:sz w:val="24"/>
          <w:szCs w:val="24"/>
        </w:rPr>
        <w:t xml:space="preserve">, M. (2006). Slamming the closet door: Working with gay and lesbian youth in care. </w:t>
      </w:r>
      <w:r w:rsidRPr="00880A6D">
        <w:rPr>
          <w:rFonts w:ascii="Times New Roman" w:hAnsi="Times New Roman" w:cs="Times New Roman"/>
          <w:i/>
          <w:iCs/>
          <w:sz w:val="24"/>
          <w:szCs w:val="24"/>
        </w:rPr>
        <w:t>Child Welfare League of America, 85</w:t>
      </w:r>
      <w:r w:rsidRPr="00880A6D">
        <w:rPr>
          <w:rFonts w:ascii="Times New Roman" w:hAnsi="Times New Roman" w:cs="Times New Roman"/>
          <w:sz w:val="24"/>
          <w:szCs w:val="24"/>
        </w:rPr>
        <w:t xml:space="preserve">(2), 243-265. </w:t>
      </w:r>
    </w:p>
    <w:p w14:paraId="66E5EA33"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Rand, K.L. (2018). Hope, self-efficacy, and optimism: Conceptual and empirical differences. In M.W. Gallagher, S.J. Lopez (Eds.), </w:t>
      </w:r>
      <w:r w:rsidRPr="00880A6D">
        <w:rPr>
          <w:rFonts w:ascii="Times New Roman" w:hAnsi="Times New Roman" w:cs="Times New Roman"/>
          <w:i/>
          <w:iCs/>
          <w:sz w:val="24"/>
          <w:szCs w:val="24"/>
        </w:rPr>
        <w:t>The Oxford Handbook of Hope,</w:t>
      </w:r>
      <w:r w:rsidRPr="00880A6D">
        <w:rPr>
          <w:rFonts w:ascii="Times New Roman" w:hAnsi="Times New Roman" w:cs="Times New Roman"/>
          <w:sz w:val="24"/>
          <w:szCs w:val="24"/>
        </w:rPr>
        <w:t xml:space="preserve"> Oxford University Press, 45-58. </w:t>
      </w:r>
    </w:p>
    <w:p w14:paraId="1D5692BA"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Rosenberg, R. (2019). Social networks of youth transitioning from foster care to adulthood. </w:t>
      </w:r>
      <w:r w:rsidRPr="00880A6D">
        <w:rPr>
          <w:rFonts w:ascii="Times New Roman" w:hAnsi="Times New Roman" w:cs="Times New Roman"/>
          <w:i/>
          <w:iCs/>
          <w:sz w:val="24"/>
          <w:szCs w:val="24"/>
        </w:rPr>
        <w:t>Children and Youth Services Review, 107</w:t>
      </w:r>
      <w:r w:rsidRPr="00880A6D">
        <w:rPr>
          <w:rFonts w:ascii="Times New Roman" w:hAnsi="Times New Roman" w:cs="Times New Roman"/>
          <w:sz w:val="24"/>
          <w:szCs w:val="24"/>
        </w:rPr>
        <w:t xml:space="preserve">, 104520. </w:t>
      </w:r>
      <w:hyperlink r:id="rId56" w:history="1">
        <w:r w:rsidRPr="00880A6D">
          <w:rPr>
            <w:rStyle w:val="Hyperlink"/>
            <w:rFonts w:ascii="Times New Roman" w:hAnsi="Times New Roman" w:cs="Times New Roman"/>
            <w:sz w:val="24"/>
            <w:szCs w:val="24"/>
          </w:rPr>
          <w:t>https://doi.org/10.1016/j.childyouth.2019.104520</w:t>
        </w:r>
      </w:hyperlink>
    </w:p>
    <w:p w14:paraId="1D47A823"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Sacks, V., &amp; Murphey, D. (2018). </w:t>
      </w:r>
      <w:r w:rsidRPr="00880A6D">
        <w:rPr>
          <w:rFonts w:ascii="Times New Roman" w:hAnsi="Times New Roman" w:cs="Times New Roman"/>
          <w:i/>
          <w:iCs/>
          <w:sz w:val="24"/>
          <w:szCs w:val="24"/>
        </w:rPr>
        <w:t>The prevalence of adverse childhood experiences, nationally, by state, and by race/ethnicity.</w:t>
      </w:r>
      <w:r w:rsidRPr="00880A6D">
        <w:rPr>
          <w:rFonts w:ascii="Times New Roman" w:hAnsi="Times New Roman" w:cs="Times New Roman"/>
          <w:sz w:val="24"/>
          <w:szCs w:val="24"/>
        </w:rPr>
        <w:t xml:space="preserve"> Child Trends. </w:t>
      </w:r>
      <w:hyperlink r:id="rId57" w:history="1">
        <w:r w:rsidRPr="00880A6D">
          <w:rPr>
            <w:rStyle w:val="Hyperlink"/>
            <w:rFonts w:ascii="Times New Roman" w:hAnsi="Times New Roman" w:cs="Times New Roman"/>
            <w:sz w:val="24"/>
            <w:szCs w:val="24"/>
          </w:rPr>
          <w:t>https://www.childtrends.org/publications/prevalence-adverse-childhood-experiences-nationally-state-race-ethnicity</w:t>
        </w:r>
      </w:hyperlink>
    </w:p>
    <w:p w14:paraId="610A13E4"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Saewyc, E.M., Skay, C.L., Pettingell, S.L., Reis, E.A., Bearinger, L., Resnick, M., Murphy, A., &amp; Combs, L. (2006). Hazards of stigma: The sexual and psychical abuse of gay, lesbian, and bisexual adolescents in the United States and Canada. </w:t>
      </w:r>
      <w:r w:rsidRPr="00880A6D">
        <w:rPr>
          <w:rFonts w:ascii="Times New Roman" w:hAnsi="Times New Roman" w:cs="Times New Roman"/>
          <w:i/>
          <w:iCs/>
          <w:sz w:val="24"/>
          <w:szCs w:val="24"/>
        </w:rPr>
        <w:t>Child Welfare, 85</w:t>
      </w:r>
      <w:r w:rsidRPr="00880A6D">
        <w:rPr>
          <w:rFonts w:ascii="Times New Roman" w:hAnsi="Times New Roman" w:cs="Times New Roman"/>
          <w:sz w:val="24"/>
          <w:szCs w:val="24"/>
        </w:rPr>
        <w:t xml:space="preserve">(2). </w:t>
      </w:r>
    </w:p>
    <w:p w14:paraId="5AA9EF1D" w14:textId="77777777" w:rsidR="00D0519D" w:rsidRPr="00880A6D" w:rsidRDefault="00D0519D" w:rsidP="003922D4">
      <w:pPr>
        <w:spacing w:line="240" w:lineRule="auto"/>
        <w:ind w:left="720" w:hanging="720"/>
        <w:rPr>
          <w:rStyle w:val="Hyperlink"/>
          <w:rFonts w:ascii="Times New Roman" w:hAnsi="Times New Roman" w:cs="Times New Roman"/>
          <w:sz w:val="24"/>
          <w:szCs w:val="24"/>
        </w:rPr>
      </w:pPr>
      <w:r w:rsidRPr="00880A6D">
        <w:rPr>
          <w:rFonts w:ascii="Times New Roman" w:hAnsi="Times New Roman" w:cs="Times New Roman"/>
          <w:sz w:val="24"/>
          <w:szCs w:val="24"/>
        </w:rPr>
        <w:t xml:space="preserve">Schmid, K.L &amp; Lopez, S.J. (2011). Positive pathways to adulthood: </w:t>
      </w:r>
      <w:proofErr w:type="spellStart"/>
      <w:r w:rsidRPr="00880A6D">
        <w:rPr>
          <w:rFonts w:ascii="Times New Roman" w:hAnsi="Times New Roman" w:cs="Times New Roman"/>
          <w:sz w:val="24"/>
          <w:szCs w:val="24"/>
        </w:rPr>
        <w:t>Trole</w:t>
      </w:r>
      <w:proofErr w:type="spellEnd"/>
      <w:r w:rsidRPr="00880A6D">
        <w:rPr>
          <w:rFonts w:ascii="Times New Roman" w:hAnsi="Times New Roman" w:cs="Times New Roman"/>
          <w:sz w:val="24"/>
          <w:szCs w:val="24"/>
        </w:rPr>
        <w:t xml:space="preserve"> of hope in adolescents' constructions of their futures. </w:t>
      </w:r>
      <w:r w:rsidRPr="00880A6D">
        <w:rPr>
          <w:rFonts w:ascii="Times New Roman" w:hAnsi="Times New Roman" w:cs="Times New Roman"/>
          <w:i/>
          <w:iCs/>
          <w:sz w:val="24"/>
          <w:szCs w:val="24"/>
        </w:rPr>
        <w:t>Advances in Child Development and Behavior, 41</w:t>
      </w:r>
      <w:r w:rsidRPr="00880A6D">
        <w:rPr>
          <w:rFonts w:ascii="Times New Roman" w:hAnsi="Times New Roman" w:cs="Times New Roman"/>
          <w:sz w:val="24"/>
          <w:szCs w:val="24"/>
        </w:rPr>
        <w:t xml:space="preserve">. 69-88. </w:t>
      </w:r>
      <w:hyperlink r:id="rId58" w:tgtFrame="_blank" w:tooltip="Persistent link using digital object identifier" w:history="1">
        <w:r w:rsidRPr="00880A6D">
          <w:rPr>
            <w:rStyle w:val="Hyperlink"/>
            <w:rFonts w:ascii="Times New Roman" w:hAnsi="Times New Roman" w:cs="Times New Roman"/>
            <w:sz w:val="24"/>
            <w:szCs w:val="24"/>
          </w:rPr>
          <w:t>https://doi.org/10.1016/B978-0-12-386492-5.00004-X</w:t>
        </w:r>
      </w:hyperlink>
    </w:p>
    <w:p w14:paraId="44470AD8"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Schnarrs, P.W., Stone, A.L., Salcido, R., Baldwin, A., Georgiou, C., &amp; Nemeroff, C.B. (2019). Differences in Adverse Childhood Experiences (ACEs) and quality of physical and mental health between transgender and cisgender minorities. </w:t>
      </w:r>
      <w:r w:rsidRPr="00880A6D">
        <w:rPr>
          <w:rFonts w:ascii="Times New Roman" w:hAnsi="Times New Roman" w:cs="Times New Roman"/>
          <w:i/>
          <w:iCs/>
          <w:sz w:val="24"/>
          <w:szCs w:val="24"/>
        </w:rPr>
        <w:t>Journal of Psychiatric Research, 119,</w:t>
      </w:r>
      <w:r w:rsidRPr="00880A6D">
        <w:rPr>
          <w:rFonts w:ascii="Times New Roman" w:hAnsi="Times New Roman" w:cs="Times New Roman"/>
          <w:sz w:val="24"/>
          <w:szCs w:val="24"/>
        </w:rPr>
        <w:t xml:space="preserve"> 1-6. </w:t>
      </w:r>
      <w:hyperlink r:id="rId59" w:history="1">
        <w:r w:rsidRPr="00880A6D">
          <w:rPr>
            <w:rStyle w:val="Hyperlink"/>
            <w:rFonts w:ascii="Times New Roman" w:hAnsi="Times New Roman" w:cs="Times New Roman"/>
            <w:sz w:val="24"/>
            <w:szCs w:val="24"/>
          </w:rPr>
          <w:t>https://doi.org/10.1016/j.jpsychires.2019.09.001</w:t>
        </w:r>
      </w:hyperlink>
    </w:p>
    <w:p w14:paraId="7477DC1A"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lastRenderedPageBreak/>
        <w:t xml:space="preserve">Shpiegel, S., &amp; Simmel, C. (2016). Functional outcomes among sexual minority youth emancipating from the child welfare system. </w:t>
      </w:r>
      <w:r w:rsidRPr="00880A6D">
        <w:rPr>
          <w:rFonts w:ascii="Times New Roman" w:hAnsi="Times New Roman" w:cs="Times New Roman"/>
          <w:i/>
          <w:iCs/>
          <w:sz w:val="24"/>
          <w:szCs w:val="24"/>
        </w:rPr>
        <w:t>Children and Youth Services Review, 61</w:t>
      </w:r>
      <w:r w:rsidRPr="00880A6D">
        <w:rPr>
          <w:rFonts w:ascii="Times New Roman" w:hAnsi="Times New Roman" w:cs="Times New Roman"/>
          <w:sz w:val="24"/>
          <w:szCs w:val="24"/>
        </w:rPr>
        <w:t xml:space="preserve">, 101-108. </w:t>
      </w:r>
      <w:hyperlink r:id="rId60" w:history="1">
        <w:r w:rsidRPr="00880A6D">
          <w:rPr>
            <w:rStyle w:val="Hyperlink"/>
            <w:rFonts w:ascii="Times New Roman" w:hAnsi="Times New Roman" w:cs="Times New Roman"/>
            <w:sz w:val="24"/>
            <w:szCs w:val="24"/>
          </w:rPr>
          <w:t>https://doi.org/10.1016/j.childyouth.2015.12.012</w:t>
        </w:r>
      </w:hyperlink>
    </w:p>
    <w:p w14:paraId="3543D745"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Smith, B.W., Dalen, J., Wiggins, K., Tooley, E., Christopher P. &amp; Bernard, J. (2008). The brief resilience scale: Assessing the ability to bounce back.</w:t>
      </w:r>
      <w:r w:rsidRPr="00880A6D">
        <w:rPr>
          <w:rFonts w:ascii="Times New Roman" w:hAnsi="Times New Roman" w:cs="Times New Roman"/>
          <w:i/>
          <w:iCs/>
          <w:sz w:val="24"/>
          <w:szCs w:val="24"/>
        </w:rPr>
        <w:t xml:space="preserve"> International Journal of Behavioral Medicine, 15</w:t>
      </w:r>
      <w:r w:rsidRPr="00880A6D">
        <w:rPr>
          <w:rFonts w:ascii="Times New Roman" w:hAnsi="Times New Roman" w:cs="Times New Roman"/>
          <w:sz w:val="24"/>
          <w:szCs w:val="24"/>
        </w:rPr>
        <w:t xml:space="preserve">, 194-200. </w:t>
      </w:r>
      <w:hyperlink r:id="rId61" w:history="1">
        <w:r w:rsidRPr="00880A6D">
          <w:rPr>
            <w:rStyle w:val="Hyperlink"/>
            <w:rFonts w:ascii="Times New Roman" w:hAnsi="Times New Roman" w:cs="Times New Roman"/>
            <w:sz w:val="24"/>
            <w:szCs w:val="24"/>
          </w:rPr>
          <w:t>https://doi.org/10.1080/10705500802222972</w:t>
        </w:r>
      </w:hyperlink>
    </w:p>
    <w:p w14:paraId="06A6356E"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Snyder, C.R. (2000). The past and possible futures of hope.</w:t>
      </w:r>
      <w:r w:rsidRPr="00880A6D">
        <w:rPr>
          <w:rFonts w:ascii="Times New Roman" w:hAnsi="Times New Roman" w:cs="Times New Roman"/>
          <w:i/>
          <w:iCs/>
          <w:sz w:val="24"/>
          <w:szCs w:val="24"/>
        </w:rPr>
        <w:t xml:space="preserve"> Journal of Social and Clinical Psychology, 19</w:t>
      </w:r>
      <w:r w:rsidRPr="00880A6D">
        <w:rPr>
          <w:rFonts w:ascii="Times New Roman" w:hAnsi="Times New Roman" w:cs="Times New Roman"/>
          <w:sz w:val="24"/>
          <w:szCs w:val="24"/>
        </w:rPr>
        <w:t xml:space="preserve">(1), 11-28. </w:t>
      </w:r>
    </w:p>
    <w:p w14:paraId="315C7BC1"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lang w:val="fr-FR"/>
        </w:rPr>
      </w:pPr>
      <w:r w:rsidRPr="00880A6D">
        <w:rPr>
          <w:rFonts w:ascii="Times New Roman" w:hAnsi="Times New Roman" w:cs="Times New Roman"/>
          <w:sz w:val="24"/>
          <w:szCs w:val="24"/>
        </w:rPr>
        <w:t xml:space="preserve">Snyder, C.R. (2002). Hope theory: Rainbows in the mind. </w:t>
      </w:r>
      <w:proofErr w:type="spellStart"/>
      <w:r w:rsidRPr="00880A6D">
        <w:rPr>
          <w:rFonts w:ascii="Times New Roman" w:hAnsi="Times New Roman" w:cs="Times New Roman"/>
          <w:i/>
          <w:iCs/>
          <w:sz w:val="24"/>
          <w:szCs w:val="24"/>
          <w:lang w:val="fr-FR"/>
        </w:rPr>
        <w:t>Psychological</w:t>
      </w:r>
      <w:proofErr w:type="spellEnd"/>
      <w:r w:rsidRPr="00880A6D">
        <w:rPr>
          <w:rFonts w:ascii="Times New Roman" w:hAnsi="Times New Roman" w:cs="Times New Roman"/>
          <w:i/>
          <w:iCs/>
          <w:sz w:val="24"/>
          <w:szCs w:val="24"/>
          <w:lang w:val="fr-FR"/>
        </w:rPr>
        <w:t xml:space="preserve"> </w:t>
      </w:r>
      <w:proofErr w:type="spellStart"/>
      <w:r w:rsidRPr="00880A6D">
        <w:rPr>
          <w:rFonts w:ascii="Times New Roman" w:hAnsi="Times New Roman" w:cs="Times New Roman"/>
          <w:i/>
          <w:iCs/>
          <w:sz w:val="24"/>
          <w:szCs w:val="24"/>
          <w:lang w:val="fr-FR"/>
        </w:rPr>
        <w:t>Inquiry</w:t>
      </w:r>
      <w:proofErr w:type="spellEnd"/>
      <w:r w:rsidRPr="00880A6D">
        <w:rPr>
          <w:rFonts w:ascii="Times New Roman" w:hAnsi="Times New Roman" w:cs="Times New Roman"/>
          <w:i/>
          <w:iCs/>
          <w:sz w:val="24"/>
          <w:szCs w:val="24"/>
          <w:lang w:val="fr-FR"/>
        </w:rPr>
        <w:t>, 13</w:t>
      </w:r>
      <w:r w:rsidRPr="00880A6D">
        <w:rPr>
          <w:rFonts w:ascii="Times New Roman" w:hAnsi="Times New Roman" w:cs="Times New Roman"/>
          <w:sz w:val="24"/>
          <w:szCs w:val="24"/>
          <w:lang w:val="fr-FR"/>
        </w:rPr>
        <w:t xml:space="preserve">(4), 249-275. </w:t>
      </w:r>
      <w:hyperlink r:id="rId62" w:history="1">
        <w:r w:rsidRPr="00880A6D">
          <w:rPr>
            <w:rStyle w:val="Hyperlink"/>
            <w:rFonts w:ascii="Times New Roman" w:hAnsi="Times New Roman" w:cs="Times New Roman"/>
            <w:sz w:val="24"/>
            <w:szCs w:val="24"/>
            <w:lang w:val="fr-FR"/>
          </w:rPr>
          <w:t>https://doi.org/10.1207/S15327965PLI1304/01</w:t>
        </w:r>
      </w:hyperlink>
    </w:p>
    <w:p w14:paraId="440456D5"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Snyder, C.R., </w:t>
      </w:r>
      <w:proofErr w:type="spellStart"/>
      <w:r w:rsidRPr="00880A6D">
        <w:rPr>
          <w:rFonts w:ascii="Times New Roman" w:hAnsi="Times New Roman" w:cs="Times New Roman"/>
          <w:sz w:val="24"/>
          <w:szCs w:val="24"/>
        </w:rPr>
        <w:t>Cheavens</w:t>
      </w:r>
      <w:proofErr w:type="spellEnd"/>
      <w:r w:rsidRPr="00880A6D">
        <w:rPr>
          <w:rFonts w:ascii="Times New Roman" w:hAnsi="Times New Roman" w:cs="Times New Roman"/>
          <w:sz w:val="24"/>
          <w:szCs w:val="24"/>
        </w:rPr>
        <w:t xml:space="preserve">, J., &amp; Sympson, S.C. (1997). Hope: An individual motive for social commerce. </w:t>
      </w:r>
      <w:r w:rsidRPr="00880A6D">
        <w:rPr>
          <w:rFonts w:ascii="Times New Roman" w:hAnsi="Times New Roman" w:cs="Times New Roman"/>
          <w:i/>
          <w:iCs/>
          <w:sz w:val="24"/>
          <w:szCs w:val="24"/>
        </w:rPr>
        <w:t>Group Dynamics: Theory, Research, and Practice, 1</w:t>
      </w:r>
      <w:r w:rsidRPr="00880A6D">
        <w:rPr>
          <w:rFonts w:ascii="Times New Roman" w:hAnsi="Times New Roman" w:cs="Times New Roman"/>
          <w:sz w:val="24"/>
          <w:szCs w:val="24"/>
        </w:rPr>
        <w:t xml:space="preserve">, 107-118. </w:t>
      </w:r>
    </w:p>
    <w:p w14:paraId="7583FA4C"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Southwick, S.M., Bonanno, G.A., Masten, A.S., Panter-Brick, C., &amp; Yehuda, R. (2014). Resilience definitions, theory, and challenges: Interdisciplinary perspectives. </w:t>
      </w:r>
      <w:r w:rsidRPr="00880A6D">
        <w:rPr>
          <w:rFonts w:ascii="Times New Roman" w:hAnsi="Times New Roman" w:cs="Times New Roman"/>
          <w:i/>
          <w:iCs/>
          <w:sz w:val="24"/>
          <w:szCs w:val="24"/>
        </w:rPr>
        <w:t xml:space="preserve">European Journal of </w:t>
      </w:r>
      <w:proofErr w:type="spellStart"/>
      <w:r w:rsidRPr="00880A6D">
        <w:rPr>
          <w:rFonts w:ascii="Times New Roman" w:hAnsi="Times New Roman" w:cs="Times New Roman"/>
          <w:i/>
          <w:iCs/>
          <w:sz w:val="24"/>
          <w:szCs w:val="24"/>
        </w:rPr>
        <w:t>Psychotraumatology</w:t>
      </w:r>
      <w:proofErr w:type="spellEnd"/>
      <w:r w:rsidRPr="00880A6D">
        <w:rPr>
          <w:rFonts w:ascii="Times New Roman" w:hAnsi="Times New Roman" w:cs="Times New Roman"/>
          <w:i/>
          <w:iCs/>
          <w:sz w:val="24"/>
          <w:szCs w:val="24"/>
        </w:rPr>
        <w:t>, s4</w:t>
      </w:r>
      <w:r w:rsidRPr="00880A6D">
        <w:rPr>
          <w:rFonts w:ascii="Times New Roman" w:hAnsi="Times New Roman" w:cs="Times New Roman"/>
          <w:sz w:val="24"/>
          <w:szCs w:val="24"/>
        </w:rPr>
        <w:t xml:space="preserve">, 25338. </w:t>
      </w:r>
    </w:p>
    <w:p w14:paraId="63263C67"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Strolin-Goltzman, J., Kollar, S., &amp; Trinkle, J. (2010). Listening to the voices of children in foster care: Youths speak out about child </w:t>
      </w:r>
      <w:proofErr w:type="spellStart"/>
      <w:r w:rsidRPr="00880A6D">
        <w:rPr>
          <w:rFonts w:ascii="Times New Roman" w:hAnsi="Times New Roman" w:cs="Times New Roman"/>
          <w:sz w:val="24"/>
          <w:szCs w:val="24"/>
        </w:rPr>
        <w:t>welfachildren's</w:t>
      </w:r>
      <w:proofErr w:type="spellEnd"/>
      <w:r w:rsidRPr="00880A6D">
        <w:rPr>
          <w:rFonts w:ascii="Times New Roman" w:hAnsi="Times New Roman" w:cs="Times New Roman"/>
          <w:sz w:val="24"/>
          <w:szCs w:val="24"/>
        </w:rPr>
        <w:t xml:space="preserve"> voices and selection. </w:t>
      </w:r>
      <w:r w:rsidRPr="00880A6D">
        <w:rPr>
          <w:rFonts w:ascii="Times New Roman" w:hAnsi="Times New Roman" w:cs="Times New Roman"/>
          <w:i/>
          <w:iCs/>
          <w:sz w:val="24"/>
          <w:szCs w:val="24"/>
        </w:rPr>
        <w:t>Social Work, 55</w:t>
      </w:r>
      <w:r w:rsidRPr="00880A6D">
        <w:rPr>
          <w:rFonts w:ascii="Times New Roman" w:hAnsi="Times New Roman" w:cs="Times New Roman"/>
          <w:sz w:val="24"/>
          <w:szCs w:val="24"/>
        </w:rPr>
        <w:t xml:space="preserve">(1), 47-53. </w:t>
      </w:r>
    </w:p>
    <w:p w14:paraId="4CE832EE"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Sulimani-Aidan, Y., </w:t>
      </w:r>
      <w:proofErr w:type="spellStart"/>
      <w:r w:rsidRPr="00880A6D">
        <w:rPr>
          <w:rFonts w:ascii="Times New Roman" w:hAnsi="Times New Roman" w:cs="Times New Roman"/>
          <w:sz w:val="24"/>
          <w:szCs w:val="24"/>
        </w:rPr>
        <w:t>Melkman</w:t>
      </w:r>
      <w:proofErr w:type="spellEnd"/>
      <w:r w:rsidRPr="00880A6D">
        <w:rPr>
          <w:rFonts w:ascii="Times New Roman" w:hAnsi="Times New Roman" w:cs="Times New Roman"/>
          <w:sz w:val="24"/>
          <w:szCs w:val="24"/>
        </w:rPr>
        <w:t xml:space="preserve">, E., &amp; Hellman, C.M. (2019). Nurturing the hope of youth in care: The contribution of mentoring. </w:t>
      </w:r>
      <w:r w:rsidRPr="00880A6D">
        <w:rPr>
          <w:rFonts w:ascii="Times New Roman" w:hAnsi="Times New Roman" w:cs="Times New Roman"/>
          <w:i/>
          <w:iCs/>
          <w:sz w:val="24"/>
          <w:szCs w:val="24"/>
        </w:rPr>
        <w:t>American Journal of Orthopsychiatry, 89</w:t>
      </w:r>
      <w:r w:rsidRPr="00880A6D">
        <w:rPr>
          <w:rFonts w:ascii="Times New Roman" w:hAnsi="Times New Roman" w:cs="Times New Roman"/>
          <w:sz w:val="24"/>
          <w:szCs w:val="24"/>
        </w:rPr>
        <w:t xml:space="preserve">(2), 134. </w:t>
      </w:r>
      <w:hyperlink r:id="rId63" w:history="1">
        <w:r w:rsidRPr="00880A6D">
          <w:rPr>
            <w:rStyle w:val="Hyperlink"/>
            <w:rFonts w:ascii="Times New Roman" w:hAnsi="Times New Roman" w:cs="Times New Roman"/>
            <w:sz w:val="24"/>
            <w:szCs w:val="24"/>
          </w:rPr>
          <w:t>https://doi.org/10.1037/ort0000320</w:t>
        </w:r>
      </w:hyperlink>
    </w:p>
    <w:p w14:paraId="02F6A370"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Sympson, S. (1999). </w:t>
      </w:r>
      <w:r w:rsidRPr="00880A6D">
        <w:rPr>
          <w:rFonts w:ascii="Times New Roman" w:hAnsi="Times New Roman" w:cs="Times New Roman"/>
          <w:i/>
          <w:iCs/>
          <w:sz w:val="24"/>
          <w:szCs w:val="24"/>
        </w:rPr>
        <w:t xml:space="preserve">Validation of the Domain Specific Hope Scale: Exploring hope in life domains. </w:t>
      </w:r>
      <w:r w:rsidRPr="00880A6D">
        <w:rPr>
          <w:rFonts w:ascii="Times New Roman" w:hAnsi="Times New Roman" w:cs="Times New Roman"/>
          <w:sz w:val="24"/>
          <w:szCs w:val="24"/>
        </w:rPr>
        <w:t xml:space="preserve">University of Kansas. </w:t>
      </w:r>
    </w:p>
    <w:p w14:paraId="4AE8C465"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Tuck, E. (2009). Suspending damage: A letter to communities. </w:t>
      </w:r>
      <w:r w:rsidRPr="00880A6D">
        <w:rPr>
          <w:rFonts w:ascii="Times New Roman" w:hAnsi="Times New Roman" w:cs="Times New Roman"/>
          <w:i/>
          <w:iCs/>
          <w:sz w:val="24"/>
          <w:szCs w:val="24"/>
        </w:rPr>
        <w:t>Harvard Educational Review, 79</w:t>
      </w:r>
      <w:r w:rsidRPr="00880A6D">
        <w:rPr>
          <w:rFonts w:ascii="Times New Roman" w:hAnsi="Times New Roman" w:cs="Times New Roman"/>
          <w:sz w:val="24"/>
          <w:szCs w:val="24"/>
        </w:rPr>
        <w:t xml:space="preserve">(3). </w:t>
      </w:r>
      <w:hyperlink r:id="rId64" w:history="1">
        <w:r w:rsidRPr="00880A6D">
          <w:rPr>
            <w:rStyle w:val="Hyperlink"/>
            <w:rFonts w:ascii="Times New Roman" w:hAnsi="Times New Roman" w:cs="Times New Roman"/>
            <w:sz w:val="24"/>
            <w:szCs w:val="24"/>
          </w:rPr>
          <w:t>https://doi.org/10.17763/haer.79.3.n0016675661t3n15</w:t>
        </w:r>
      </w:hyperlink>
    </w:p>
    <w:p w14:paraId="5EC3462F" w14:textId="77777777" w:rsidR="00D0519D" w:rsidRPr="00880A6D" w:rsidRDefault="00D0519D" w:rsidP="003922D4">
      <w:pPr>
        <w:autoSpaceDE w:val="0"/>
        <w:autoSpaceDN w:val="0"/>
        <w:adjustRightInd w:val="0"/>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Turney, K., &amp; Wildeman, C. (2017). Adverse childhood experiences among children placed in and adopted from foster care: Evidence from a nationally representative survey. </w:t>
      </w:r>
      <w:r w:rsidRPr="00880A6D">
        <w:rPr>
          <w:rFonts w:ascii="Times New Roman" w:hAnsi="Times New Roman" w:cs="Times New Roman"/>
          <w:i/>
          <w:iCs/>
          <w:sz w:val="24"/>
          <w:szCs w:val="24"/>
        </w:rPr>
        <w:t xml:space="preserve">Child Abuse &amp; Neglect, 64, </w:t>
      </w:r>
      <w:r w:rsidRPr="00880A6D">
        <w:rPr>
          <w:rFonts w:ascii="Times New Roman" w:hAnsi="Times New Roman" w:cs="Times New Roman"/>
          <w:sz w:val="24"/>
          <w:szCs w:val="24"/>
        </w:rPr>
        <w:t xml:space="preserve">117-119. </w:t>
      </w:r>
      <w:hyperlink r:id="rId65" w:history="1">
        <w:r w:rsidRPr="00880A6D">
          <w:rPr>
            <w:rStyle w:val="Hyperlink"/>
            <w:rFonts w:ascii="Times New Roman" w:hAnsi="Times New Roman" w:cs="Times New Roman"/>
            <w:sz w:val="24"/>
            <w:szCs w:val="24"/>
          </w:rPr>
          <w:t>https://doi.org/10/1016/j.chiabu.2016.12.009</w:t>
        </w:r>
      </w:hyperlink>
    </w:p>
    <w:p w14:paraId="6D1F6C80" w14:textId="77777777" w:rsidR="00D0519D" w:rsidRPr="00880A6D" w:rsidRDefault="00D0519D" w:rsidP="003922D4">
      <w:pPr>
        <w:spacing w:line="240" w:lineRule="auto"/>
        <w:ind w:left="720" w:hanging="720"/>
        <w:rPr>
          <w:rFonts w:ascii="Times New Roman" w:hAnsi="Times New Roman" w:cs="Times New Roman"/>
          <w:sz w:val="24"/>
          <w:szCs w:val="24"/>
        </w:rPr>
      </w:pPr>
      <w:r w:rsidRPr="00880A6D">
        <w:rPr>
          <w:rFonts w:ascii="Times New Roman" w:hAnsi="Times New Roman" w:cs="Times New Roman"/>
          <w:sz w:val="24"/>
          <w:szCs w:val="24"/>
        </w:rPr>
        <w:t xml:space="preserve">Wilson, B.D.M., &amp; Kastanis, A.A. (2015). Sexual and gender minority disproportionality and disparities in child welfare: A population-based study. </w:t>
      </w:r>
      <w:r w:rsidRPr="00880A6D">
        <w:rPr>
          <w:rFonts w:ascii="Times New Roman" w:hAnsi="Times New Roman" w:cs="Times New Roman"/>
          <w:i/>
          <w:iCs/>
          <w:sz w:val="24"/>
          <w:szCs w:val="24"/>
        </w:rPr>
        <w:t>Children and Youth Services Review, 58</w:t>
      </w:r>
      <w:r w:rsidRPr="00880A6D">
        <w:rPr>
          <w:rFonts w:ascii="Times New Roman" w:hAnsi="Times New Roman" w:cs="Times New Roman"/>
          <w:sz w:val="24"/>
          <w:szCs w:val="24"/>
        </w:rPr>
        <w:t xml:space="preserve">, 11-17. </w:t>
      </w:r>
      <w:hyperlink r:id="rId66" w:history="1">
        <w:r w:rsidRPr="00880A6D">
          <w:rPr>
            <w:rStyle w:val="Hyperlink"/>
            <w:rFonts w:ascii="Times New Roman" w:hAnsi="Times New Roman" w:cs="Times New Roman"/>
            <w:sz w:val="24"/>
            <w:szCs w:val="24"/>
          </w:rPr>
          <w:t>https://doi.org/10.1016/j.childyouth.2015.08.016</w:t>
        </w:r>
      </w:hyperlink>
    </w:p>
    <w:p w14:paraId="6689FB18" w14:textId="77777777" w:rsidR="003922D4" w:rsidRPr="00880A6D" w:rsidRDefault="003922D4">
      <w:pPr>
        <w:rPr>
          <w:rFonts w:ascii="Times New Roman" w:hAnsi="Times New Roman" w:cs="Times New Roman"/>
          <w:b/>
          <w:sz w:val="24"/>
          <w:szCs w:val="24"/>
        </w:rPr>
      </w:pPr>
      <w:r w:rsidRPr="00880A6D">
        <w:rPr>
          <w:rFonts w:ascii="Times New Roman" w:hAnsi="Times New Roman" w:cs="Times New Roman"/>
          <w:b/>
          <w:sz w:val="24"/>
          <w:szCs w:val="24"/>
        </w:rPr>
        <w:br w:type="page"/>
      </w:r>
    </w:p>
    <w:p w14:paraId="42873895" w14:textId="2E8AE179" w:rsidR="00D0519D" w:rsidRPr="00880A6D" w:rsidRDefault="00D0519D" w:rsidP="00880A6D">
      <w:pPr>
        <w:spacing w:line="480" w:lineRule="auto"/>
        <w:ind w:left="720" w:hanging="720"/>
        <w:jc w:val="center"/>
        <w:rPr>
          <w:rFonts w:ascii="Times New Roman" w:hAnsi="Times New Roman" w:cs="Times New Roman"/>
          <w:sz w:val="24"/>
          <w:szCs w:val="24"/>
        </w:rPr>
      </w:pPr>
      <w:r w:rsidRPr="00880A6D">
        <w:rPr>
          <w:rFonts w:ascii="Times New Roman" w:hAnsi="Times New Roman" w:cs="Times New Roman"/>
          <w:b/>
          <w:sz w:val="24"/>
          <w:szCs w:val="24"/>
        </w:rPr>
        <w:lastRenderedPageBreak/>
        <w:t>Appendix 1</w:t>
      </w:r>
    </w:p>
    <w:p w14:paraId="58928F42" w14:textId="77777777" w:rsidR="00D0519D" w:rsidRPr="00880A6D" w:rsidRDefault="00D0519D" w:rsidP="00D0519D">
      <w:pPr>
        <w:rPr>
          <w:rFonts w:ascii="Times New Roman" w:hAnsi="Times New Roman" w:cs="Times New Roman"/>
          <w:b/>
          <w:sz w:val="24"/>
          <w:szCs w:val="24"/>
        </w:rPr>
      </w:pPr>
      <w:r w:rsidRPr="00880A6D">
        <w:rPr>
          <w:rFonts w:ascii="Times New Roman" w:hAnsi="Times New Roman" w:cs="Times New Roman"/>
          <w:b/>
          <w:sz w:val="24"/>
          <w:szCs w:val="24"/>
        </w:rPr>
        <w:t xml:space="preserve">This next section will ask you questions about your child welfare </w:t>
      </w:r>
      <w:proofErr w:type="gramStart"/>
      <w:r w:rsidRPr="00880A6D">
        <w:rPr>
          <w:rFonts w:ascii="Times New Roman" w:hAnsi="Times New Roman" w:cs="Times New Roman"/>
          <w:b/>
          <w:sz w:val="24"/>
          <w:szCs w:val="24"/>
        </w:rPr>
        <w:t>Caseworker</w:t>
      </w:r>
      <w:proofErr w:type="gramEnd"/>
    </w:p>
    <w:p w14:paraId="098EBCBC" w14:textId="77777777" w:rsidR="00D0519D" w:rsidRPr="00880A6D" w:rsidRDefault="00D0519D" w:rsidP="00D0519D">
      <w:pPr>
        <w:pStyle w:val="NoSpacing"/>
        <w:rPr>
          <w:szCs w:val="24"/>
        </w:rPr>
      </w:pPr>
      <w:r w:rsidRPr="00880A6D">
        <w:rPr>
          <w:szCs w:val="24"/>
        </w:rPr>
        <w:t>1= none of the time</w:t>
      </w:r>
    </w:p>
    <w:p w14:paraId="43EB1F09" w14:textId="77777777" w:rsidR="00D0519D" w:rsidRPr="00880A6D" w:rsidRDefault="00D0519D" w:rsidP="00D0519D">
      <w:pPr>
        <w:pStyle w:val="NoSpacing"/>
        <w:rPr>
          <w:szCs w:val="24"/>
        </w:rPr>
      </w:pPr>
      <w:r w:rsidRPr="00880A6D">
        <w:rPr>
          <w:szCs w:val="24"/>
        </w:rPr>
        <w:t>2= a little of the time</w:t>
      </w:r>
    </w:p>
    <w:p w14:paraId="2E127297" w14:textId="77777777" w:rsidR="00D0519D" w:rsidRPr="00880A6D" w:rsidRDefault="00D0519D" w:rsidP="00D0519D">
      <w:pPr>
        <w:pStyle w:val="NoSpacing"/>
        <w:rPr>
          <w:szCs w:val="24"/>
        </w:rPr>
      </w:pPr>
      <w:r w:rsidRPr="00880A6D">
        <w:rPr>
          <w:szCs w:val="24"/>
        </w:rPr>
        <w:t>3= Some of the time</w:t>
      </w:r>
    </w:p>
    <w:p w14:paraId="14C2C7ED" w14:textId="77777777" w:rsidR="00D0519D" w:rsidRPr="00880A6D" w:rsidRDefault="00D0519D" w:rsidP="00D0519D">
      <w:pPr>
        <w:pStyle w:val="NoSpacing"/>
        <w:rPr>
          <w:szCs w:val="24"/>
        </w:rPr>
      </w:pPr>
      <w:r w:rsidRPr="00880A6D">
        <w:rPr>
          <w:szCs w:val="24"/>
        </w:rPr>
        <w:t>4= A lot of the time</w:t>
      </w:r>
    </w:p>
    <w:p w14:paraId="0F7C8400" w14:textId="77777777" w:rsidR="00D0519D" w:rsidRPr="00880A6D" w:rsidRDefault="00D0519D" w:rsidP="00D0519D">
      <w:pPr>
        <w:pStyle w:val="NoSpacing"/>
        <w:rPr>
          <w:szCs w:val="24"/>
        </w:rPr>
      </w:pPr>
      <w:r w:rsidRPr="00880A6D">
        <w:rPr>
          <w:szCs w:val="24"/>
        </w:rPr>
        <w:t>5= most of the time</w:t>
      </w:r>
    </w:p>
    <w:p w14:paraId="36E0B09E" w14:textId="77777777" w:rsidR="00D0519D" w:rsidRPr="00880A6D" w:rsidRDefault="00D0519D" w:rsidP="00D0519D">
      <w:pPr>
        <w:pStyle w:val="NoSpacing"/>
        <w:rPr>
          <w:szCs w:val="24"/>
        </w:rPr>
      </w:pPr>
      <w:r w:rsidRPr="00880A6D">
        <w:rPr>
          <w:szCs w:val="24"/>
        </w:rPr>
        <w:t xml:space="preserve">6= </w:t>
      </w:r>
      <w:proofErr w:type="gramStart"/>
      <w:r w:rsidRPr="00880A6D">
        <w:rPr>
          <w:szCs w:val="24"/>
        </w:rPr>
        <w:t>all of</w:t>
      </w:r>
      <w:proofErr w:type="gramEnd"/>
      <w:r w:rsidRPr="00880A6D">
        <w:rPr>
          <w:szCs w:val="24"/>
        </w:rPr>
        <w:t xml:space="preserve"> the time</w:t>
      </w:r>
    </w:p>
    <w:p w14:paraId="64E47536" w14:textId="77777777" w:rsidR="00D0519D" w:rsidRPr="00880A6D" w:rsidRDefault="00D0519D" w:rsidP="00D0519D">
      <w:pPr>
        <w:rPr>
          <w:rFonts w:ascii="Times New Roman" w:hAnsi="Times New Roman" w:cs="Times New Roman"/>
          <w:b/>
          <w:sz w:val="24"/>
          <w:szCs w:val="24"/>
        </w:rPr>
      </w:pPr>
    </w:p>
    <w:p w14:paraId="2B719453" w14:textId="77777777" w:rsidR="00D0519D" w:rsidRPr="00880A6D" w:rsidRDefault="00D0519D" w:rsidP="00D0519D">
      <w:pPr>
        <w:pStyle w:val="ListParagraph"/>
        <w:numPr>
          <w:ilvl w:val="0"/>
          <w:numId w:val="9"/>
        </w:numPr>
        <w:rPr>
          <w:rFonts w:ascii="Times New Roman" w:hAnsi="Times New Roman" w:cs="Times New Roman"/>
          <w:bCs/>
          <w:sz w:val="24"/>
          <w:szCs w:val="24"/>
        </w:rPr>
      </w:pPr>
      <w:r w:rsidRPr="00880A6D">
        <w:rPr>
          <w:rFonts w:ascii="Times New Roman" w:hAnsi="Times New Roman" w:cs="Times New Roman"/>
          <w:bCs/>
          <w:sz w:val="24"/>
          <w:szCs w:val="24"/>
        </w:rPr>
        <w:t xml:space="preserve">My caseworker helps me identify ways to improve my well </w:t>
      </w:r>
      <w:proofErr w:type="gramStart"/>
      <w:r w:rsidRPr="00880A6D">
        <w:rPr>
          <w:rFonts w:ascii="Times New Roman" w:hAnsi="Times New Roman" w:cs="Times New Roman"/>
          <w:bCs/>
          <w:sz w:val="24"/>
          <w:szCs w:val="24"/>
        </w:rPr>
        <w:t>being</w:t>
      </w:r>
      <w:proofErr w:type="gramEnd"/>
      <w:r w:rsidRPr="00880A6D">
        <w:rPr>
          <w:rFonts w:ascii="Times New Roman" w:hAnsi="Times New Roman" w:cs="Times New Roman"/>
          <w:bCs/>
          <w:sz w:val="24"/>
          <w:szCs w:val="24"/>
        </w:rPr>
        <w:t xml:space="preserve"> </w:t>
      </w:r>
    </w:p>
    <w:p w14:paraId="3F5409B9" w14:textId="77777777" w:rsidR="00D0519D" w:rsidRPr="00880A6D" w:rsidRDefault="00D0519D" w:rsidP="00D0519D">
      <w:pPr>
        <w:pStyle w:val="ListParagraph"/>
        <w:numPr>
          <w:ilvl w:val="0"/>
          <w:numId w:val="9"/>
        </w:numPr>
        <w:rPr>
          <w:rFonts w:ascii="Times New Roman" w:hAnsi="Times New Roman" w:cs="Times New Roman"/>
          <w:bCs/>
          <w:sz w:val="24"/>
          <w:szCs w:val="24"/>
        </w:rPr>
      </w:pPr>
      <w:r w:rsidRPr="00880A6D">
        <w:rPr>
          <w:rFonts w:ascii="Times New Roman" w:hAnsi="Times New Roman" w:cs="Times New Roman"/>
          <w:bCs/>
          <w:sz w:val="24"/>
          <w:szCs w:val="24"/>
        </w:rPr>
        <w:t>My visit with the caseworker lifts my spirits or helps me to feel good about myself.</w:t>
      </w:r>
    </w:p>
    <w:p w14:paraId="1605C252" w14:textId="77777777" w:rsidR="00D0519D" w:rsidRPr="00880A6D" w:rsidRDefault="00D0519D" w:rsidP="00D0519D">
      <w:pPr>
        <w:pStyle w:val="ListParagraph"/>
        <w:numPr>
          <w:ilvl w:val="0"/>
          <w:numId w:val="9"/>
        </w:numPr>
        <w:rPr>
          <w:rFonts w:ascii="Times New Roman" w:hAnsi="Times New Roman" w:cs="Times New Roman"/>
          <w:bCs/>
          <w:sz w:val="24"/>
          <w:szCs w:val="24"/>
        </w:rPr>
      </w:pPr>
      <w:r w:rsidRPr="00880A6D">
        <w:rPr>
          <w:rFonts w:ascii="Times New Roman" w:hAnsi="Times New Roman" w:cs="Times New Roman"/>
          <w:bCs/>
          <w:sz w:val="24"/>
          <w:szCs w:val="24"/>
        </w:rPr>
        <w:t>I know what I can accomplish or the purpose of my time with my caseworker.</w:t>
      </w:r>
    </w:p>
    <w:p w14:paraId="75FC7B88" w14:textId="77777777" w:rsidR="00D0519D" w:rsidRPr="00880A6D" w:rsidRDefault="00D0519D" w:rsidP="00D0519D">
      <w:pPr>
        <w:pStyle w:val="ListParagraph"/>
        <w:numPr>
          <w:ilvl w:val="0"/>
          <w:numId w:val="9"/>
        </w:numPr>
        <w:rPr>
          <w:rFonts w:ascii="Times New Roman" w:hAnsi="Times New Roman" w:cs="Times New Roman"/>
          <w:bCs/>
          <w:sz w:val="24"/>
          <w:szCs w:val="24"/>
        </w:rPr>
      </w:pPr>
      <w:r w:rsidRPr="00880A6D">
        <w:rPr>
          <w:rFonts w:ascii="Times New Roman" w:hAnsi="Times New Roman" w:cs="Times New Roman"/>
          <w:bCs/>
          <w:sz w:val="24"/>
          <w:szCs w:val="24"/>
        </w:rPr>
        <w:t xml:space="preserve">My caseworker can help me see there are a lot of ways to solve my problems. </w:t>
      </w:r>
    </w:p>
    <w:p w14:paraId="721C1600" w14:textId="77777777" w:rsidR="00D0519D" w:rsidRPr="00880A6D" w:rsidRDefault="00D0519D" w:rsidP="00D0519D">
      <w:pPr>
        <w:pStyle w:val="ListParagraph"/>
        <w:numPr>
          <w:ilvl w:val="0"/>
          <w:numId w:val="9"/>
        </w:numPr>
        <w:rPr>
          <w:rFonts w:ascii="Times New Roman" w:hAnsi="Times New Roman" w:cs="Times New Roman"/>
          <w:bCs/>
          <w:sz w:val="24"/>
          <w:szCs w:val="24"/>
        </w:rPr>
      </w:pPr>
      <w:r w:rsidRPr="00880A6D">
        <w:rPr>
          <w:rFonts w:ascii="Times New Roman" w:hAnsi="Times New Roman" w:cs="Times New Roman"/>
          <w:bCs/>
          <w:sz w:val="24"/>
          <w:szCs w:val="24"/>
        </w:rPr>
        <w:t xml:space="preserve">My caseworker helps motivate me to solve my problems.  </w:t>
      </w:r>
    </w:p>
    <w:p w14:paraId="3A84F91C" w14:textId="77777777" w:rsidR="00D0519D" w:rsidRPr="00880A6D" w:rsidRDefault="00D0519D" w:rsidP="00D0519D">
      <w:pPr>
        <w:pStyle w:val="ListParagraph"/>
        <w:numPr>
          <w:ilvl w:val="0"/>
          <w:numId w:val="9"/>
        </w:numPr>
        <w:rPr>
          <w:rFonts w:ascii="Times New Roman" w:hAnsi="Times New Roman" w:cs="Times New Roman"/>
          <w:bCs/>
          <w:sz w:val="24"/>
          <w:szCs w:val="24"/>
        </w:rPr>
      </w:pPr>
      <w:r w:rsidRPr="00880A6D">
        <w:rPr>
          <w:rFonts w:ascii="Times New Roman" w:hAnsi="Times New Roman" w:cs="Times New Roman"/>
          <w:bCs/>
          <w:sz w:val="24"/>
          <w:szCs w:val="24"/>
        </w:rPr>
        <w:t xml:space="preserve">I can identify things I would like to improve or learn from my time with my caseworker. </w:t>
      </w:r>
    </w:p>
    <w:p w14:paraId="1A556B6F" w14:textId="77777777" w:rsidR="00D0519D" w:rsidRPr="00880A6D" w:rsidRDefault="00D0519D" w:rsidP="00D0519D">
      <w:pPr>
        <w:pStyle w:val="ListParagraph"/>
        <w:numPr>
          <w:ilvl w:val="0"/>
          <w:numId w:val="9"/>
        </w:numPr>
        <w:rPr>
          <w:rFonts w:ascii="Times New Roman" w:hAnsi="Times New Roman" w:cs="Times New Roman"/>
          <w:bCs/>
          <w:sz w:val="24"/>
          <w:szCs w:val="24"/>
        </w:rPr>
      </w:pPr>
      <w:r w:rsidRPr="00880A6D">
        <w:rPr>
          <w:rFonts w:ascii="Times New Roman" w:hAnsi="Times New Roman" w:cs="Times New Roman"/>
          <w:bCs/>
          <w:sz w:val="24"/>
          <w:szCs w:val="24"/>
        </w:rPr>
        <w:t xml:space="preserve">I am aware that my caseworker can help me in my daily life. </w:t>
      </w:r>
    </w:p>
    <w:p w14:paraId="5A074702" w14:textId="77777777" w:rsidR="00D0519D" w:rsidRPr="00880A6D" w:rsidRDefault="00D0519D" w:rsidP="00D0519D">
      <w:pPr>
        <w:pStyle w:val="ListParagraph"/>
        <w:numPr>
          <w:ilvl w:val="0"/>
          <w:numId w:val="9"/>
        </w:numPr>
        <w:rPr>
          <w:rFonts w:ascii="Times New Roman" w:hAnsi="Times New Roman" w:cs="Times New Roman"/>
          <w:bCs/>
          <w:sz w:val="24"/>
          <w:szCs w:val="24"/>
        </w:rPr>
      </w:pPr>
      <w:r w:rsidRPr="00880A6D">
        <w:rPr>
          <w:rFonts w:ascii="Times New Roman" w:hAnsi="Times New Roman" w:cs="Times New Roman"/>
          <w:bCs/>
          <w:sz w:val="24"/>
          <w:szCs w:val="24"/>
        </w:rPr>
        <w:t xml:space="preserve">Working toward a positive future with my caseworker is motivating for me. </w:t>
      </w:r>
    </w:p>
    <w:p w14:paraId="643BEEB7" w14:textId="77777777" w:rsidR="00D0519D" w:rsidRPr="00880A6D" w:rsidRDefault="00D0519D" w:rsidP="00D0519D">
      <w:pPr>
        <w:pStyle w:val="ListParagraph"/>
        <w:numPr>
          <w:ilvl w:val="0"/>
          <w:numId w:val="9"/>
        </w:numPr>
        <w:rPr>
          <w:rFonts w:ascii="Times New Roman" w:hAnsi="Times New Roman" w:cs="Times New Roman"/>
          <w:bCs/>
          <w:sz w:val="24"/>
          <w:szCs w:val="24"/>
        </w:rPr>
      </w:pPr>
      <w:r w:rsidRPr="00880A6D">
        <w:rPr>
          <w:rFonts w:ascii="Times New Roman" w:hAnsi="Times New Roman" w:cs="Times New Roman"/>
          <w:bCs/>
          <w:sz w:val="24"/>
          <w:szCs w:val="24"/>
        </w:rPr>
        <w:t>My goals for my case plan are easy for me to understand.</w:t>
      </w:r>
    </w:p>
    <w:p w14:paraId="6A41DE42" w14:textId="77777777" w:rsidR="00D0519D" w:rsidRPr="00880A6D" w:rsidRDefault="00D0519D" w:rsidP="00D0519D">
      <w:pPr>
        <w:pStyle w:val="ListParagraph"/>
        <w:numPr>
          <w:ilvl w:val="0"/>
          <w:numId w:val="9"/>
        </w:numPr>
        <w:rPr>
          <w:rFonts w:ascii="Times New Roman" w:hAnsi="Times New Roman" w:cs="Times New Roman"/>
          <w:bCs/>
          <w:sz w:val="24"/>
          <w:szCs w:val="24"/>
        </w:rPr>
      </w:pPr>
      <w:r w:rsidRPr="00880A6D">
        <w:rPr>
          <w:rFonts w:ascii="Times New Roman" w:hAnsi="Times New Roman" w:cs="Times New Roman"/>
          <w:bCs/>
          <w:sz w:val="24"/>
          <w:szCs w:val="24"/>
        </w:rPr>
        <w:t xml:space="preserve">Even when my problems feel </w:t>
      </w:r>
      <w:proofErr w:type="gramStart"/>
      <w:r w:rsidRPr="00880A6D">
        <w:rPr>
          <w:rFonts w:ascii="Times New Roman" w:hAnsi="Times New Roman" w:cs="Times New Roman"/>
          <w:bCs/>
          <w:sz w:val="24"/>
          <w:szCs w:val="24"/>
        </w:rPr>
        <w:t>really difficult</w:t>
      </w:r>
      <w:proofErr w:type="gramEnd"/>
      <w:r w:rsidRPr="00880A6D">
        <w:rPr>
          <w:rFonts w:ascii="Times New Roman" w:hAnsi="Times New Roman" w:cs="Times New Roman"/>
          <w:bCs/>
          <w:sz w:val="24"/>
          <w:szCs w:val="24"/>
        </w:rPr>
        <w:t xml:space="preserve">, I know my caseworker can help. </w:t>
      </w:r>
    </w:p>
    <w:p w14:paraId="7BF88CDF" w14:textId="77777777" w:rsidR="00D0519D" w:rsidRPr="00880A6D" w:rsidRDefault="00D0519D" w:rsidP="00D0519D">
      <w:pPr>
        <w:spacing w:line="480" w:lineRule="auto"/>
        <w:contextualSpacing/>
        <w:rPr>
          <w:rFonts w:ascii="Times New Roman" w:hAnsi="Times New Roman" w:cs="Times New Roman"/>
          <w:b/>
          <w:bCs/>
          <w:sz w:val="24"/>
          <w:szCs w:val="24"/>
        </w:rPr>
      </w:pPr>
    </w:p>
    <w:p w14:paraId="094153BB" w14:textId="77777777" w:rsidR="00D0519D" w:rsidRPr="00880A6D" w:rsidRDefault="00D0519D" w:rsidP="00D0519D">
      <w:pPr>
        <w:spacing w:line="480" w:lineRule="auto"/>
        <w:contextualSpacing/>
        <w:rPr>
          <w:rFonts w:ascii="Times New Roman" w:hAnsi="Times New Roman" w:cs="Times New Roman"/>
          <w:sz w:val="24"/>
          <w:szCs w:val="24"/>
        </w:rPr>
      </w:pPr>
    </w:p>
    <w:p w14:paraId="2A35E535" w14:textId="77777777" w:rsidR="00D0519D" w:rsidRPr="00442034" w:rsidRDefault="00D0519D" w:rsidP="00D0519D">
      <w:pPr>
        <w:spacing w:line="480" w:lineRule="auto"/>
        <w:contextualSpacing/>
        <w:rPr>
          <w:rFonts w:ascii="Times New Roman" w:hAnsi="Times New Roman" w:cs="Times New Roman"/>
          <w:b/>
          <w:bCs/>
          <w:i/>
          <w:iCs/>
        </w:rPr>
      </w:pPr>
    </w:p>
    <w:p w14:paraId="4D280289" w14:textId="77777777" w:rsidR="00CB6E45" w:rsidRPr="00442034" w:rsidRDefault="00CB6E45" w:rsidP="00CB6E45">
      <w:pPr>
        <w:spacing w:line="480" w:lineRule="auto"/>
        <w:jc w:val="center"/>
        <w:rPr>
          <w:rFonts w:ascii="Times New Roman" w:hAnsi="Times New Roman" w:cs="Times New Roman"/>
          <w:sz w:val="24"/>
          <w:szCs w:val="24"/>
        </w:rPr>
      </w:pPr>
    </w:p>
    <w:p w14:paraId="232A186F" w14:textId="77777777" w:rsidR="00CB6E45" w:rsidRPr="00442034" w:rsidRDefault="00CB6E45">
      <w:pPr>
        <w:rPr>
          <w:rFonts w:ascii="Times New Roman" w:hAnsi="Times New Roman" w:cs="Times New Roman"/>
          <w:sz w:val="24"/>
          <w:szCs w:val="24"/>
        </w:rPr>
      </w:pPr>
      <w:r w:rsidRPr="00442034">
        <w:rPr>
          <w:rFonts w:ascii="Times New Roman" w:hAnsi="Times New Roman" w:cs="Times New Roman"/>
          <w:sz w:val="24"/>
          <w:szCs w:val="24"/>
        </w:rPr>
        <w:br w:type="page"/>
      </w:r>
    </w:p>
    <w:p w14:paraId="71660657" w14:textId="77777777" w:rsidR="00CB6E45" w:rsidRPr="00442034" w:rsidRDefault="00CB6E45" w:rsidP="00CB6E45">
      <w:pPr>
        <w:spacing w:line="480" w:lineRule="auto"/>
        <w:jc w:val="center"/>
        <w:rPr>
          <w:rFonts w:ascii="Times New Roman" w:hAnsi="Times New Roman" w:cs="Times New Roman"/>
          <w:sz w:val="24"/>
          <w:szCs w:val="24"/>
        </w:rPr>
      </w:pPr>
    </w:p>
    <w:p w14:paraId="494AB980" w14:textId="77777777" w:rsidR="00A72968" w:rsidRPr="00442034" w:rsidRDefault="00A72968" w:rsidP="00CB6E45">
      <w:pPr>
        <w:spacing w:line="480" w:lineRule="auto"/>
        <w:jc w:val="center"/>
        <w:rPr>
          <w:rFonts w:ascii="Times New Roman" w:hAnsi="Times New Roman" w:cs="Times New Roman"/>
          <w:sz w:val="24"/>
          <w:szCs w:val="24"/>
        </w:rPr>
      </w:pPr>
    </w:p>
    <w:p w14:paraId="74DF3C42" w14:textId="77777777" w:rsidR="00A72968" w:rsidRPr="00442034" w:rsidRDefault="00A72968" w:rsidP="00CB6E45">
      <w:pPr>
        <w:spacing w:line="480" w:lineRule="auto"/>
        <w:jc w:val="center"/>
        <w:rPr>
          <w:rFonts w:ascii="Times New Roman" w:hAnsi="Times New Roman" w:cs="Times New Roman"/>
          <w:sz w:val="24"/>
          <w:szCs w:val="24"/>
        </w:rPr>
      </w:pPr>
    </w:p>
    <w:p w14:paraId="2AF1D2F3" w14:textId="77777777" w:rsidR="00A72968" w:rsidRPr="00442034" w:rsidRDefault="00A72968" w:rsidP="00CB6E45">
      <w:pPr>
        <w:spacing w:line="480" w:lineRule="auto"/>
        <w:jc w:val="center"/>
        <w:rPr>
          <w:rFonts w:ascii="Times New Roman" w:hAnsi="Times New Roman" w:cs="Times New Roman"/>
          <w:sz w:val="24"/>
          <w:szCs w:val="24"/>
        </w:rPr>
      </w:pPr>
    </w:p>
    <w:p w14:paraId="34EC40A3" w14:textId="77777777" w:rsidR="00A72968" w:rsidRPr="00442034" w:rsidRDefault="00A72968" w:rsidP="00CB6E45">
      <w:pPr>
        <w:spacing w:line="480" w:lineRule="auto"/>
        <w:jc w:val="center"/>
        <w:rPr>
          <w:rFonts w:ascii="Times New Roman" w:hAnsi="Times New Roman" w:cs="Times New Roman"/>
          <w:sz w:val="24"/>
          <w:szCs w:val="24"/>
        </w:rPr>
      </w:pPr>
    </w:p>
    <w:p w14:paraId="3A26C725" w14:textId="77777777" w:rsidR="00A72968" w:rsidRPr="00442034" w:rsidRDefault="00A72968" w:rsidP="00CB6E45">
      <w:pPr>
        <w:spacing w:line="480" w:lineRule="auto"/>
        <w:jc w:val="center"/>
        <w:rPr>
          <w:rFonts w:ascii="Times New Roman" w:hAnsi="Times New Roman" w:cs="Times New Roman"/>
          <w:sz w:val="24"/>
          <w:szCs w:val="24"/>
        </w:rPr>
      </w:pPr>
    </w:p>
    <w:p w14:paraId="6D4435C9" w14:textId="77777777" w:rsidR="00A72968" w:rsidRPr="00442034" w:rsidRDefault="00A72968" w:rsidP="00CB6E45">
      <w:pPr>
        <w:spacing w:line="480" w:lineRule="auto"/>
        <w:jc w:val="center"/>
        <w:rPr>
          <w:rFonts w:ascii="Times New Roman" w:hAnsi="Times New Roman" w:cs="Times New Roman"/>
          <w:sz w:val="24"/>
          <w:szCs w:val="24"/>
        </w:rPr>
      </w:pPr>
    </w:p>
    <w:p w14:paraId="5B86DF41" w14:textId="77777777" w:rsidR="005A70F9" w:rsidRDefault="00A72968" w:rsidP="00CB6E45">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t xml:space="preserve">Chapter Five: </w:t>
      </w:r>
    </w:p>
    <w:p w14:paraId="0CC9AD58" w14:textId="0DDFBDF4" w:rsidR="00DA6B5F" w:rsidRDefault="00A72968" w:rsidP="00CB6E45">
      <w:pPr>
        <w:spacing w:line="480" w:lineRule="auto"/>
        <w:jc w:val="center"/>
        <w:rPr>
          <w:rFonts w:ascii="Times New Roman" w:hAnsi="Times New Roman" w:cs="Times New Roman"/>
          <w:sz w:val="24"/>
          <w:szCs w:val="24"/>
        </w:rPr>
      </w:pPr>
      <w:r w:rsidRPr="00442034">
        <w:rPr>
          <w:rFonts w:ascii="Times New Roman" w:hAnsi="Times New Roman" w:cs="Times New Roman"/>
          <w:sz w:val="24"/>
          <w:szCs w:val="24"/>
        </w:rPr>
        <w:t>Conclusion</w:t>
      </w:r>
    </w:p>
    <w:p w14:paraId="461FCC40" w14:textId="77777777" w:rsidR="00DA6B5F" w:rsidRDefault="00DA6B5F">
      <w:pPr>
        <w:rPr>
          <w:rFonts w:ascii="Times New Roman" w:hAnsi="Times New Roman" w:cs="Times New Roman"/>
          <w:sz w:val="24"/>
          <w:szCs w:val="24"/>
        </w:rPr>
      </w:pPr>
      <w:r>
        <w:rPr>
          <w:rFonts w:ascii="Times New Roman" w:hAnsi="Times New Roman" w:cs="Times New Roman"/>
          <w:sz w:val="24"/>
          <w:szCs w:val="24"/>
        </w:rPr>
        <w:br w:type="page"/>
      </w:r>
    </w:p>
    <w:p w14:paraId="189E90E4" w14:textId="30C24AF5" w:rsidR="004F22A2" w:rsidRPr="00C031AF" w:rsidRDefault="004F22A2" w:rsidP="004F22A2">
      <w:pPr>
        <w:spacing w:line="480" w:lineRule="auto"/>
        <w:ind w:firstLine="720"/>
        <w:contextualSpacing/>
        <w:rPr>
          <w:rFonts w:ascii="Times New Roman" w:hAnsi="Times New Roman" w:cs="Times New Roman"/>
          <w:sz w:val="24"/>
          <w:szCs w:val="24"/>
        </w:rPr>
      </w:pPr>
      <w:r w:rsidRPr="00C031AF">
        <w:rPr>
          <w:rFonts w:ascii="Times New Roman" w:hAnsi="Times New Roman" w:cs="Times New Roman"/>
          <w:sz w:val="24"/>
          <w:szCs w:val="24"/>
        </w:rPr>
        <w:lastRenderedPageBreak/>
        <w:t xml:space="preserve">This dissertation explores the lives of lesbian, gay, bisexual, and queer (LGBQ) youth in the child welfare system. Each of these chapters </w:t>
      </w:r>
      <w:r w:rsidR="00C70BCE">
        <w:rPr>
          <w:rFonts w:ascii="Times New Roman" w:hAnsi="Times New Roman" w:cs="Times New Roman"/>
          <w:sz w:val="24"/>
          <w:szCs w:val="24"/>
        </w:rPr>
        <w:t xml:space="preserve">explores the role of </w:t>
      </w:r>
      <w:r w:rsidRPr="00C031AF">
        <w:rPr>
          <w:rFonts w:ascii="Times New Roman" w:hAnsi="Times New Roman" w:cs="Times New Roman"/>
          <w:sz w:val="24"/>
          <w:szCs w:val="24"/>
        </w:rPr>
        <w:t xml:space="preserve">social </w:t>
      </w:r>
      <w:proofErr w:type="gramStart"/>
      <w:r w:rsidRPr="00C031AF">
        <w:rPr>
          <w:rFonts w:ascii="Times New Roman" w:hAnsi="Times New Roman" w:cs="Times New Roman"/>
          <w:sz w:val="24"/>
          <w:szCs w:val="24"/>
        </w:rPr>
        <w:t>supports</w:t>
      </w:r>
      <w:proofErr w:type="gramEnd"/>
      <w:r w:rsidRPr="00C031AF">
        <w:rPr>
          <w:rFonts w:ascii="Times New Roman" w:hAnsi="Times New Roman" w:cs="Times New Roman"/>
          <w:sz w:val="24"/>
          <w:szCs w:val="24"/>
        </w:rPr>
        <w:t xml:space="preserve"> </w:t>
      </w:r>
      <w:r w:rsidR="00C71938">
        <w:rPr>
          <w:rFonts w:ascii="Times New Roman" w:hAnsi="Times New Roman" w:cs="Times New Roman"/>
          <w:sz w:val="24"/>
          <w:szCs w:val="24"/>
        </w:rPr>
        <w:t xml:space="preserve">for </w:t>
      </w:r>
      <w:r w:rsidR="00C71938" w:rsidRPr="00C031AF">
        <w:rPr>
          <w:rFonts w:ascii="Times New Roman" w:hAnsi="Times New Roman" w:cs="Times New Roman"/>
          <w:sz w:val="24"/>
          <w:szCs w:val="24"/>
        </w:rPr>
        <w:t>LGBQ</w:t>
      </w:r>
      <w:r w:rsidRPr="00C031AF">
        <w:rPr>
          <w:rFonts w:ascii="Times New Roman" w:hAnsi="Times New Roman" w:cs="Times New Roman"/>
          <w:sz w:val="24"/>
          <w:szCs w:val="24"/>
        </w:rPr>
        <w:t xml:space="preserve"> youth in the child welfare system </w:t>
      </w:r>
      <w:r w:rsidR="00C70BCE">
        <w:rPr>
          <w:rFonts w:ascii="Times New Roman" w:hAnsi="Times New Roman" w:cs="Times New Roman"/>
          <w:sz w:val="24"/>
          <w:szCs w:val="24"/>
        </w:rPr>
        <w:t>and its influence on different facets of</w:t>
      </w:r>
      <w:r w:rsidRPr="00C031AF">
        <w:rPr>
          <w:rFonts w:ascii="Times New Roman" w:hAnsi="Times New Roman" w:cs="Times New Roman"/>
          <w:sz w:val="24"/>
          <w:szCs w:val="24"/>
        </w:rPr>
        <w:t xml:space="preserve"> well-being. </w:t>
      </w:r>
      <w:r w:rsidR="00930F35">
        <w:rPr>
          <w:rFonts w:ascii="Times New Roman" w:hAnsi="Times New Roman" w:cs="Times New Roman"/>
          <w:sz w:val="24"/>
          <w:szCs w:val="24"/>
        </w:rPr>
        <w:t>Social support</w:t>
      </w:r>
      <w:r w:rsidR="00B248EF">
        <w:rPr>
          <w:rFonts w:ascii="Times New Roman" w:hAnsi="Times New Roman" w:cs="Times New Roman"/>
          <w:sz w:val="24"/>
          <w:szCs w:val="24"/>
        </w:rPr>
        <w:t>,</w:t>
      </w:r>
      <w:r w:rsidR="00041CBF">
        <w:rPr>
          <w:rFonts w:ascii="Times New Roman" w:hAnsi="Times New Roman" w:cs="Times New Roman"/>
          <w:sz w:val="24"/>
          <w:szCs w:val="24"/>
        </w:rPr>
        <w:t xml:space="preserve"> such as support from caregivers, peers, and professional staff</w:t>
      </w:r>
      <w:r w:rsidR="00C70BCE">
        <w:rPr>
          <w:rFonts w:ascii="Times New Roman" w:hAnsi="Times New Roman" w:cs="Times New Roman"/>
          <w:sz w:val="24"/>
          <w:szCs w:val="24"/>
        </w:rPr>
        <w:t>,</w:t>
      </w:r>
      <w:r w:rsidR="00041CBF">
        <w:rPr>
          <w:rFonts w:ascii="Times New Roman" w:hAnsi="Times New Roman" w:cs="Times New Roman"/>
          <w:sz w:val="24"/>
          <w:szCs w:val="24"/>
        </w:rPr>
        <w:t xml:space="preserve"> including caseworkers</w:t>
      </w:r>
      <w:r w:rsidR="00C70BCE">
        <w:rPr>
          <w:rFonts w:ascii="Times New Roman" w:hAnsi="Times New Roman" w:cs="Times New Roman"/>
          <w:sz w:val="24"/>
          <w:szCs w:val="24"/>
        </w:rPr>
        <w:t>,</w:t>
      </w:r>
      <w:r w:rsidR="00930F35">
        <w:rPr>
          <w:rFonts w:ascii="Times New Roman" w:hAnsi="Times New Roman" w:cs="Times New Roman"/>
          <w:sz w:val="24"/>
          <w:szCs w:val="24"/>
        </w:rPr>
        <w:t xml:space="preserve"> has been found to improve </w:t>
      </w:r>
      <w:r w:rsidR="00041CBF">
        <w:rPr>
          <w:rFonts w:ascii="Times New Roman" w:hAnsi="Times New Roman" w:cs="Times New Roman"/>
          <w:sz w:val="24"/>
          <w:szCs w:val="24"/>
        </w:rPr>
        <w:t xml:space="preserve">the </w:t>
      </w:r>
      <w:r w:rsidR="00930F35">
        <w:rPr>
          <w:rFonts w:ascii="Times New Roman" w:hAnsi="Times New Roman" w:cs="Times New Roman"/>
          <w:sz w:val="24"/>
          <w:szCs w:val="24"/>
        </w:rPr>
        <w:t xml:space="preserve">well-being </w:t>
      </w:r>
      <w:r w:rsidR="00041CBF">
        <w:rPr>
          <w:rFonts w:ascii="Times New Roman" w:hAnsi="Times New Roman" w:cs="Times New Roman"/>
          <w:sz w:val="24"/>
          <w:szCs w:val="24"/>
        </w:rPr>
        <w:t>of</w:t>
      </w:r>
      <w:r w:rsidR="00930F35">
        <w:rPr>
          <w:rFonts w:ascii="Times New Roman" w:hAnsi="Times New Roman" w:cs="Times New Roman"/>
          <w:sz w:val="24"/>
          <w:szCs w:val="24"/>
        </w:rPr>
        <w:t xml:space="preserve"> youth in the child welfare system</w:t>
      </w:r>
      <w:r w:rsidR="00B248EF">
        <w:rPr>
          <w:rFonts w:ascii="Times New Roman" w:hAnsi="Times New Roman" w:cs="Times New Roman"/>
          <w:sz w:val="24"/>
          <w:szCs w:val="24"/>
        </w:rPr>
        <w:t>. It can serve as a</w:t>
      </w:r>
      <w:r w:rsidR="000A50E8">
        <w:rPr>
          <w:rFonts w:ascii="Times New Roman" w:hAnsi="Times New Roman" w:cs="Times New Roman"/>
          <w:sz w:val="24"/>
          <w:szCs w:val="24"/>
        </w:rPr>
        <w:t xml:space="preserve"> protective factor</w:t>
      </w:r>
      <w:r w:rsidR="006B1B57">
        <w:rPr>
          <w:rFonts w:ascii="Times New Roman" w:hAnsi="Times New Roman" w:cs="Times New Roman"/>
          <w:sz w:val="24"/>
          <w:szCs w:val="24"/>
        </w:rPr>
        <w:t xml:space="preserve">, particularly for mental health </w:t>
      </w:r>
      <w:r w:rsidR="006F2D71">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{"citationID":"2vdll86Y","properties":{"formattedCitation":"(Evans et al. 2022)","plainCitation":"(Evans et al. 2022)","noteIndex":0},"citationItems":[{"id":691,"uris":["http://zotero.org/users/7501598/items/ADLRA5YG"],"itemData":{"id":691,"type":"article-journal","abstract":"Young adults with a history of out-of-home care report poorer mental health and life satisfaction compared to non-care-experienced peers. Social support is a known protective factor for mental health. There is limited evidence, however, on the relationship between sources (e.g., family members) and types (e.g., information) of social support and mental health symptoms and life satisfaction in this population. Reporting cross-sectional survey data from 215 young adults aged 18–22 years with a history of out-of-home care, the current study conducted descriptive, bivariate, and linear regression analysis to examine the different sources and types of support young adults receive and their relation to mental health symptoms and life satisfaction. Participants had high levels of support from family members, friends, and other adults. Most participants had informational support, but less than half had consistent material support. Regression analyses demonstrated that having enough informational and material support were associated with fewer mental health symptoms. Having family support and material support were associated with greater life satisfaction. Further longitudinal research is needed to understand the trajectory between social supports and mental health functioning and life satisfaction.","container-title":"Children","DOI":"10.3390/children9040520","ISSN":"2227-9067","issue":"4","language":"en","license":"http://creativecommons.org/licenses/by/3.0/","note":"number: 4\npublisher: Multidisciplinary Digital Publishing Institute","page":"520","source":"www.mdpi.com","title":"Sources and Types of Social Supports and Their Association with Mental Health Symptoms and Life Satisfaction among Young Adults with a History of Out-of-Home Care","volume":"9","author":[{"family":"Evans","given":"Rhiannon"},{"family":"Katz","given":"Colleen C."},{"family":"Fulginiti","given":"Anthony"},{"family":"Taussig","given":"Heather"}],"issued":{"date-parts":[["2022",4]]}}}],"schema":"https://github.com/citation-style-language/schema/raw/master/csl-citation.json"} </w:instrText>
      </w:r>
      <w:r w:rsidR="006F2D71">
        <w:rPr>
          <w:rFonts w:ascii="Times New Roman" w:hAnsi="Times New Roman" w:cs="Times New Roman"/>
          <w:sz w:val="24"/>
          <w:szCs w:val="24"/>
        </w:rPr>
        <w:fldChar w:fldCharType="separate"/>
      </w:r>
      <w:r w:rsidR="006B1B57">
        <w:rPr>
          <w:rFonts w:ascii="Times New Roman" w:hAnsi="Times New Roman" w:cs="Times New Roman"/>
          <w:noProof/>
          <w:sz w:val="24"/>
          <w:szCs w:val="24"/>
        </w:rPr>
        <w:t>(Evans et al. 2022)</w:t>
      </w:r>
      <w:r w:rsidR="006F2D71">
        <w:rPr>
          <w:rFonts w:ascii="Times New Roman" w:hAnsi="Times New Roman" w:cs="Times New Roman"/>
          <w:sz w:val="24"/>
          <w:szCs w:val="24"/>
        </w:rPr>
        <w:fldChar w:fldCharType="end"/>
      </w:r>
      <w:r w:rsidR="006B1B57">
        <w:rPr>
          <w:rFonts w:ascii="Times New Roman" w:hAnsi="Times New Roman" w:cs="Times New Roman"/>
          <w:sz w:val="24"/>
          <w:szCs w:val="24"/>
        </w:rPr>
        <w:t>. However,</w:t>
      </w:r>
      <w:r w:rsidR="00930F35">
        <w:rPr>
          <w:rFonts w:ascii="Times New Roman" w:hAnsi="Times New Roman" w:cs="Times New Roman"/>
          <w:sz w:val="24"/>
          <w:szCs w:val="24"/>
        </w:rPr>
        <w:t xml:space="preserve"> </w:t>
      </w:r>
      <w:r w:rsidR="00E05E20">
        <w:rPr>
          <w:rFonts w:ascii="Times New Roman" w:hAnsi="Times New Roman" w:cs="Times New Roman"/>
          <w:sz w:val="24"/>
          <w:szCs w:val="24"/>
        </w:rPr>
        <w:t>little research to date has examined</w:t>
      </w:r>
      <w:r w:rsidR="00930F35">
        <w:rPr>
          <w:rFonts w:ascii="Times New Roman" w:hAnsi="Times New Roman" w:cs="Times New Roman"/>
          <w:sz w:val="24"/>
          <w:szCs w:val="24"/>
        </w:rPr>
        <w:t xml:space="preserve"> these support</w:t>
      </w:r>
      <w:r w:rsidR="006B1B57">
        <w:rPr>
          <w:rFonts w:ascii="Times New Roman" w:hAnsi="Times New Roman" w:cs="Times New Roman"/>
          <w:sz w:val="24"/>
          <w:szCs w:val="24"/>
        </w:rPr>
        <w:t>s</w:t>
      </w:r>
      <w:r w:rsidR="00930F35">
        <w:rPr>
          <w:rFonts w:ascii="Times New Roman" w:hAnsi="Times New Roman" w:cs="Times New Roman"/>
          <w:sz w:val="24"/>
          <w:szCs w:val="24"/>
        </w:rPr>
        <w:t xml:space="preserve"> for LGBQ youth</w:t>
      </w:r>
      <w:r w:rsidR="000D0EEA">
        <w:rPr>
          <w:rFonts w:ascii="Times New Roman" w:hAnsi="Times New Roman" w:cs="Times New Roman"/>
          <w:sz w:val="24"/>
          <w:szCs w:val="24"/>
        </w:rPr>
        <w:t xml:space="preserve"> in child welfare who may experience additional social support challenges</w:t>
      </w:r>
      <w:r w:rsidR="00885526">
        <w:rPr>
          <w:rFonts w:ascii="Times New Roman" w:hAnsi="Times New Roman" w:cs="Times New Roman"/>
          <w:sz w:val="24"/>
          <w:szCs w:val="24"/>
        </w:rPr>
        <w:t>.</w:t>
      </w:r>
    </w:p>
    <w:p w14:paraId="4B1FEAAE" w14:textId="20EAB7EA" w:rsidR="004F22A2" w:rsidRPr="00C031AF" w:rsidRDefault="004F22A2" w:rsidP="004F22A2">
      <w:pPr>
        <w:spacing w:line="480" w:lineRule="auto"/>
        <w:ind w:firstLine="720"/>
        <w:contextualSpacing/>
        <w:rPr>
          <w:rFonts w:ascii="Times New Roman" w:hAnsi="Times New Roman" w:cs="Times New Roman"/>
          <w:sz w:val="24"/>
          <w:szCs w:val="24"/>
        </w:rPr>
      </w:pPr>
      <w:r w:rsidRPr="00D16862">
        <w:rPr>
          <w:rFonts w:ascii="Times New Roman" w:hAnsi="Times New Roman" w:cs="Times New Roman"/>
          <w:sz w:val="24"/>
          <w:szCs w:val="24"/>
        </w:rPr>
        <w:t xml:space="preserve">My research expands on </w:t>
      </w:r>
      <w:r w:rsidR="004E4B71">
        <w:rPr>
          <w:rFonts w:ascii="Times New Roman" w:hAnsi="Times New Roman" w:cs="Times New Roman"/>
          <w:sz w:val="24"/>
          <w:szCs w:val="24"/>
        </w:rPr>
        <w:t>existing</w:t>
      </w:r>
      <w:r w:rsidR="008D5F2A">
        <w:rPr>
          <w:rFonts w:ascii="Times New Roman" w:hAnsi="Times New Roman" w:cs="Times New Roman"/>
          <w:sz w:val="24"/>
          <w:szCs w:val="24"/>
        </w:rPr>
        <w:t xml:space="preserve"> research</w:t>
      </w:r>
      <w:r w:rsidRPr="00D16862">
        <w:rPr>
          <w:rFonts w:ascii="Times New Roman" w:hAnsi="Times New Roman" w:cs="Times New Roman"/>
          <w:sz w:val="24"/>
          <w:szCs w:val="24"/>
        </w:rPr>
        <w:t xml:space="preserve"> by</w:t>
      </w:r>
      <w:r w:rsidR="00D16862">
        <w:rPr>
          <w:rFonts w:ascii="Times New Roman" w:hAnsi="Times New Roman" w:cs="Times New Roman"/>
          <w:sz w:val="24"/>
          <w:szCs w:val="24"/>
        </w:rPr>
        <w:t xml:space="preserve"> focusing on LGBQ youth as it pertains to social support and influences on well-being</w:t>
      </w:r>
      <w:r w:rsidR="008B4886">
        <w:rPr>
          <w:rFonts w:ascii="Times New Roman" w:hAnsi="Times New Roman" w:cs="Times New Roman"/>
          <w:sz w:val="24"/>
          <w:szCs w:val="24"/>
        </w:rPr>
        <w:t xml:space="preserve">, including hope and future expectations. </w:t>
      </w:r>
      <w:r w:rsidR="00702A4D">
        <w:rPr>
          <w:rFonts w:ascii="Times New Roman" w:hAnsi="Times New Roman" w:cs="Times New Roman"/>
          <w:sz w:val="24"/>
          <w:szCs w:val="24"/>
        </w:rPr>
        <w:t xml:space="preserve">Much of the social support research has not looked at this population, and research on the experiences of LGBQ youth in child welfare that is strengths-based is sparse. </w:t>
      </w:r>
      <w:r w:rsidR="002632DD">
        <w:rPr>
          <w:rFonts w:ascii="Times New Roman" w:hAnsi="Times New Roman" w:cs="Times New Roman"/>
          <w:sz w:val="24"/>
          <w:szCs w:val="24"/>
        </w:rPr>
        <w:t>My research seeks to identify areas where policy and programs can be improved to</w:t>
      </w:r>
      <w:r w:rsidR="00311425">
        <w:rPr>
          <w:rFonts w:ascii="Times New Roman" w:hAnsi="Times New Roman" w:cs="Times New Roman"/>
          <w:sz w:val="24"/>
          <w:szCs w:val="24"/>
        </w:rPr>
        <w:t xml:space="preserve"> alleviate the stress related to identifying as a sexual </w:t>
      </w:r>
      <w:r w:rsidR="00553FC4">
        <w:rPr>
          <w:rFonts w:ascii="Times New Roman" w:hAnsi="Times New Roman" w:cs="Times New Roman"/>
          <w:sz w:val="24"/>
          <w:szCs w:val="24"/>
        </w:rPr>
        <w:t>minority</w:t>
      </w:r>
      <w:r w:rsidR="00311425">
        <w:rPr>
          <w:rFonts w:ascii="Times New Roman" w:hAnsi="Times New Roman" w:cs="Times New Roman"/>
          <w:sz w:val="24"/>
          <w:szCs w:val="24"/>
        </w:rPr>
        <w:t xml:space="preserve"> </w:t>
      </w:r>
      <w:r w:rsidR="00553FC4">
        <w:rPr>
          <w:rFonts w:ascii="Times New Roman" w:hAnsi="Times New Roman" w:cs="Times New Roman"/>
          <w:sz w:val="24"/>
          <w:szCs w:val="24"/>
        </w:rPr>
        <w:t xml:space="preserve">for youth in the child welfare system. </w:t>
      </w:r>
      <w:r w:rsidRPr="00D16862">
        <w:rPr>
          <w:rFonts w:ascii="Times New Roman" w:hAnsi="Times New Roman" w:cs="Times New Roman"/>
          <w:sz w:val="24"/>
          <w:szCs w:val="24"/>
        </w:rPr>
        <w:t xml:space="preserve">Next, I </w:t>
      </w:r>
      <w:r w:rsidR="0082566E">
        <w:rPr>
          <w:rFonts w:ascii="Times New Roman" w:hAnsi="Times New Roman" w:cs="Times New Roman"/>
          <w:sz w:val="24"/>
          <w:szCs w:val="24"/>
        </w:rPr>
        <w:t>briefly summarize</w:t>
      </w:r>
      <w:r w:rsidR="0082566E" w:rsidRPr="00D16862">
        <w:rPr>
          <w:rFonts w:ascii="Times New Roman" w:hAnsi="Times New Roman" w:cs="Times New Roman"/>
          <w:sz w:val="24"/>
          <w:szCs w:val="24"/>
        </w:rPr>
        <w:t xml:space="preserve"> </w:t>
      </w:r>
      <w:r w:rsidRPr="00D16862">
        <w:rPr>
          <w:rFonts w:ascii="Times New Roman" w:hAnsi="Times New Roman" w:cs="Times New Roman"/>
          <w:sz w:val="24"/>
          <w:szCs w:val="24"/>
        </w:rPr>
        <w:t>the empirical chapters of my dissertation and their findings.</w:t>
      </w:r>
    </w:p>
    <w:p w14:paraId="227B017C" w14:textId="66F1A7B0" w:rsidR="004F22A2" w:rsidRPr="00C031AF" w:rsidRDefault="004F22A2" w:rsidP="004F22A2">
      <w:pPr>
        <w:spacing w:line="480" w:lineRule="auto"/>
        <w:ind w:firstLine="720"/>
        <w:contextualSpacing/>
        <w:rPr>
          <w:rFonts w:ascii="Times New Roman" w:hAnsi="Times New Roman" w:cs="Times New Roman"/>
          <w:sz w:val="24"/>
          <w:szCs w:val="24"/>
        </w:rPr>
      </w:pPr>
      <w:r w:rsidRPr="00C031AF">
        <w:rPr>
          <w:rFonts w:ascii="Times New Roman" w:hAnsi="Times New Roman" w:cs="Times New Roman"/>
          <w:sz w:val="24"/>
          <w:szCs w:val="24"/>
        </w:rPr>
        <w:t xml:space="preserve">Chapter Two is co-authored with Dr. Erin Maher and </w:t>
      </w:r>
      <w:proofErr w:type="gramStart"/>
      <w:r w:rsidRPr="00C031AF">
        <w:rPr>
          <w:rFonts w:ascii="Times New Roman" w:hAnsi="Times New Roman" w:cs="Times New Roman"/>
          <w:sz w:val="24"/>
          <w:szCs w:val="24"/>
        </w:rPr>
        <w:t>examine</w:t>
      </w:r>
      <w:r w:rsidR="00553FC4">
        <w:rPr>
          <w:rFonts w:ascii="Times New Roman" w:hAnsi="Times New Roman" w:cs="Times New Roman"/>
          <w:sz w:val="24"/>
          <w:szCs w:val="24"/>
        </w:rPr>
        <w:t>d</w:t>
      </w:r>
      <w:proofErr w:type="gramEnd"/>
      <w:r w:rsidRPr="00C031AF">
        <w:rPr>
          <w:rFonts w:ascii="Times New Roman" w:hAnsi="Times New Roman" w:cs="Times New Roman"/>
          <w:sz w:val="24"/>
          <w:szCs w:val="24"/>
        </w:rPr>
        <w:t xml:space="preserve"> the supportiveness of LBGQ youth's relationships with their caregivers. Supportive caregiver relationships are among one of the most effective protective factors for youth in foster care. This protective factor is critical to examine because LBGQ youth are disproportionately represented in the foster care system and face substantial marginalization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{"citationID":"ehAjDacW","properties":{"formattedCitation":"(Fish et al. 2019; Wilson and Kastanis 2015)","plainCitation":"(Fish et al. 2019; Wilson and Kastanis 2015)","noteIndex":0},"citationItems":[{"id":150,"uris":["http://zotero.org/users/7501598/items/LFVXHAYH"],"itemData":{"id":150,"type":"article-journal","abstract":"Background\nPreliminary evidence suggests that sexual minority (e.g. lesbian, gay, bisexual, and same-sex attracted) youth are overrepresented in child welfare services. Yet, no study to date has been able to test this hypothesis with national data.\nObjective\nUsing a two-study design, we test whether sexual minority youth are overrepresented in child welfare, foster care, and out-of-home placement using nationally representative data from the United States.\nParticipants and setting\nStudy 1 data are from the National Longitudinal Study of Adolescent to Adult Health (n = 14,154; Mean age = 15.4). Study 2 data are from wave three of the National Survey of Child and Adolescent Well-Being II (n = 1309; Mean age = 15.0).\nMethods\nFor Study 1, we use adjusted logistic regression models to test differences in lifetime foster care involvement between sexual minority and heterosexual youth. In Study 2, we calculate a Disproportionality Representation Index (DRI) – a ratio of sample prevalence relative to the general population – to estimate whether sexual minority youth were overrepresented in child welfare and out-of-home care.\nResults\nStudy 1 results indicate that sexual minority youth are nearly 2.5 times as likely as heterosexual youth to experience foster care placement (aOR = 2.43, 95% CI 1.40, 4.21, p = .002). Results from Study 2 show that sexual minority youth were largely overrepresented in child welfare services (DRI = 1.95–2.48) and out-of-home placement (DRI = 3.69–4.68).\nConclusions\nFindings are the first to demonstrate sexual minority youth’s overrepresentation in child welfare, foster care, and out-of-home placement using nationally representative data and emphasizes the need for focused research on sexual minority youth involved in the child welfare system.","container-title":"Child Abuse &amp; Neglect","DOI":"10.1016/j.chiabu.2019.01.005","ISSN":"0145-2134","journalAbbreviation":"Child Abuse &amp; Neglect","page":"203-211","title":"Are sexual minority youth overrepresented in foster care, child welfare, and out-of-home placement? Findings from nationally representative data","volume":"89","author":[{"family":"Fish","given":"Jessica N."},{"family":"Baams","given":"Laura"},{"family":"Wojciak","given":"Armeda Stevenson"},{"family":"Russell","given":"Stephen T."}],"issued":{"date-parts":[["2019",3,1]]}}},{"id":242,"uris":["http://zotero.org/users/7501598/items/5IKH5KVD"],"itemData":{"id":242,"type":"article-journal","abstract":"Empirical research is needed to support ongoing efforts to improve services for sexual and gender minority youth in foster care. Further, data on the presence of sexual and gender minority youth within the child welfare system are needed to encourage counties that have not yet begun to engage in any efforts to address the unique needs and barriers to permanency for these youth. The current study reports on the ﬁndings of the Los Angeles Foster Youth Survey (LAFYS) which was designed to assess the proportion of youth placed in the Los Angeles County public child welfare system who are LGBTQ and to examine their experiences in communities, schools, and foster care. Findings indicate that approximately 19% of Los Angeles foster youth are LGBTQ. This proportion of youth is signiﬁcantly higher than estimates of adolescent and young adult sexual and gender minority identiﬁcation rates in the general population. Further, analyses also indicate that sexual and gender minority youth in this study are less satisﬁed with their child welfare system experience, are more likely to experience homelessness, are moved around to more placements, and are experiencing higher levels of emotional distress compared to their nonLGBTQ counterparts.","container-title":"Children and Youth Services Review","DOI":"10.1016/j.childyouth.2015.08.016","ISSN":"01907409","journalAbbreviation":"Children and Youth Services Review","language":"en","page":"11-17","source":"DOI.org (Crossref)","title":"Sexual and gender minority disproportionality and disparities in child welfare: A population-based study","title-short":"Sexual and gender minority disproportionality and disparities in child welfare","volume":"58","author":[{"family":"Wilson","given":"Bianca D.M."},{"family":"Kastanis","given":"Angeliki A."}],"issued":{"date-parts":[["2015",11]]}}}],"schema":"https://github.com/citation-style-language/schema/raw/master/csl-citation.json"}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(Fish et al. 2019; Wilson and Kastanis 2015)</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This chapter dr</w:t>
      </w:r>
      <w:r w:rsidR="00553FC4">
        <w:rPr>
          <w:rFonts w:ascii="Times New Roman" w:hAnsi="Times New Roman" w:cs="Times New Roman"/>
          <w:sz w:val="24"/>
          <w:szCs w:val="24"/>
        </w:rPr>
        <w:t>aws</w:t>
      </w:r>
      <w:r w:rsidRPr="00C031AF">
        <w:rPr>
          <w:rFonts w:ascii="Times New Roman" w:hAnsi="Times New Roman" w:cs="Times New Roman"/>
          <w:sz w:val="24"/>
          <w:szCs w:val="24"/>
        </w:rPr>
        <w:t xml:space="preserve"> upon the sexual minority stress theory as a framework to understand the physical and mental health outcomes among LGBQ youth</w:t>
      </w:r>
      <w:r w:rsidR="00BD00EF">
        <w:rPr>
          <w:rFonts w:ascii="Times New Roman" w:hAnsi="Times New Roman" w:cs="Times New Roman"/>
          <w:sz w:val="24"/>
          <w:szCs w:val="24"/>
        </w:rPr>
        <w:t xml:space="preserve"> and</w:t>
      </w:r>
      <w:r w:rsidRPr="00C031AF">
        <w:rPr>
          <w:rFonts w:ascii="Times New Roman" w:hAnsi="Times New Roman" w:cs="Times New Roman"/>
          <w:sz w:val="24"/>
          <w:szCs w:val="24"/>
        </w:rPr>
        <w:t xml:space="preserve"> illustrate</w:t>
      </w:r>
      <w:r w:rsidR="00553FC4">
        <w:rPr>
          <w:rFonts w:ascii="Times New Roman" w:hAnsi="Times New Roman" w:cs="Times New Roman"/>
          <w:sz w:val="24"/>
          <w:szCs w:val="24"/>
        </w:rPr>
        <w:t>s</w:t>
      </w:r>
      <w:r w:rsidRPr="00C031AF">
        <w:rPr>
          <w:rFonts w:ascii="Times New Roman" w:hAnsi="Times New Roman" w:cs="Times New Roman"/>
          <w:sz w:val="24"/>
          <w:szCs w:val="24"/>
        </w:rPr>
        <w:t xml:space="preserve"> how cultural and social stressors such as discriminatory behaviors can threaten the self-esteem and basic security of LGBQ </w:t>
      </w:r>
      <w:r w:rsidRPr="00C031AF">
        <w:rPr>
          <w:rFonts w:ascii="Times New Roman" w:hAnsi="Times New Roman" w:cs="Times New Roman"/>
          <w:sz w:val="24"/>
          <w:szCs w:val="24"/>
        </w:rPr>
        <w:lastRenderedPageBreak/>
        <w:t>individuals, thereby induc</w:t>
      </w:r>
      <w:r w:rsidR="00BD00EF">
        <w:rPr>
          <w:rFonts w:ascii="Times New Roman" w:hAnsi="Times New Roman" w:cs="Times New Roman"/>
          <w:sz w:val="24"/>
          <w:szCs w:val="24"/>
        </w:rPr>
        <w:t>ing</w:t>
      </w:r>
      <w:r w:rsidRPr="00C031AF">
        <w:rPr>
          <w:rFonts w:ascii="Times New Roman" w:hAnsi="Times New Roman" w:cs="Times New Roman"/>
          <w:sz w:val="24"/>
          <w:szCs w:val="24"/>
        </w:rPr>
        <w:t xml:space="preserve"> states of stress</w:t>
      </w:r>
      <w:r w:rsidR="001215C9">
        <w:rPr>
          <w:rFonts w:ascii="Times New Roman" w:hAnsi="Times New Roman" w:cs="Times New Roman"/>
          <w:sz w:val="24"/>
          <w:szCs w:val="24"/>
        </w:rPr>
        <w:t xml:space="preserve">. </w:t>
      </w:r>
      <w:r w:rsidRPr="00C031AF">
        <w:rPr>
          <w:rFonts w:ascii="Times New Roman" w:hAnsi="Times New Roman" w:cs="Times New Roman"/>
          <w:sz w:val="24"/>
          <w:szCs w:val="24"/>
        </w:rPr>
        <w:t xml:space="preserve">Parental or caregiver support, however, can be a means to lower a child's level of stress, which in turn can reduce psychobehavioral symptoms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{"citationID":"sSzhNf6F","properties":{"formattedCitation":"(Quamma and Greenberg 1994)","plainCitation":"(Quamma and Greenberg 1994)","noteIndex":0},"citationItems":[{"id":386,"uris":["http://zotero.org/users/7501598/items/S647HSMZ"],"itemData":{"id":386,"type":"article-journal","abstract":"Examined the role of family social support and social problem-solving skills in moderating the effects of children's stressful life events on behavioral adjustment. Participants were 322 fourth and fifth graders who reported on their stressful experiences during the past year. Children from both regular education (RE) or special education (SE) classrooms were included in the sample. Additional self-report data from children also included measures related to perceived level of family social support, a personality questionnaire, and a social problem-solving measure. In addition, teachers provided reports of the children's behavior and adjustment. Main effects were found for total stress, school/peer stress, family social support, and social problem solving. Significant moderator effects were found for family support on total stress for the teacher-reported internalizing problems of RE students and for family support on school/peer stress on the teacher-reported externalizing problems and self-reported anxiety problems of SE students. Specific, theory-generated hypotheses are discussed as a more effective method of examining relations between stress and various moderator variables.","container-title":"Journal of Clinical Child Psychology","DOI":"10.1207/s15374424jccp2303_7","ISSN":"0047-228X","issue":"3","note":"publisher: Routledge\n_eprint: https://doi.org/10.1207/s15374424jccp2303_7","page":"295-305","source":"Taylor and Francis+NEJM","title":"Children's experience of life stress: The role of family social support and social problem-solving skills as protective factors","title-short":"Children's experience of life stress","volume":"23","author":[{"family":"Quamma","given":"Julie Perkins"},{"family":"Greenberg","given":"Mark T."}],"issued":{"date-parts":[["1994",9,1]]}}}],"schema":"https://github.com/citation-style-language/schema/raw/master/csl-citation.json"}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noProof/>
          <w:sz w:val="24"/>
          <w:szCs w:val="24"/>
        </w:rPr>
        <w:t>(Quamma and Greenberg 1994)</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Supportive relationships can serve as a protective factor against substance abuse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{"citationID":"TwWokb8C","properties":{"formattedCitation":"(Traube et al. 2012)","plainCitation":"(Traube et al. 2012)","noteIndex":0},"citationItems":[{"id":254,"uris":["http://zotero.org/users/7501598/items/4DLQDS4M"],"itemData":{"id":254,"type":"article-journal","abstract":"While child welfare services are intended, in part, to diminish maltreatment's negative impact on adolescents' development, there is evidence that receiving child welfare services affects adolescents' substance use adversely. The literature on the extent and correlates of this problem is still emerging. The present study aims to fill part of this gap by examining the association between baseline psychosocial risk and protective factors on engagement in substance use behavior over a period of 36months for child welfare involved youth. It further compares substance use behavior between youth placed in out-of-home care and those who remained with their biological families. Data come from the National Survey of Child and Adolescent Well-Being (NSCAW), a national probability study of children and adolescents undergoing investigation for abuse or neglect. The sample for this analysis was restricted to 827 youth who were 11years or older at baseline data collection. Key findings include a high rate of social substance use (47.7%) and illicit substance use (17.4%). There was a limited role of protective factors in mitigating risk behavior for social substance use (caregiver connectedness; OR=0.51, p&lt;0.05). Avoiding foster care placement was a protective factor for illicit substance use (OR=0.43, p&lt;0.05). Delinquency was a risk factor associated with both social substance use (OR=1.06, p&lt;0.01) and hard substance use (OR=1.10, p&lt;0.001). Given the high prevalence of substance use among child welfare involved youth, prevention efforts for this population require a better understanding of biological, psychological, and social protective factors. The child welfare system is an untapped resource that has the potential to be a gateway to and a platform for substance abuse prevention services that should be incorporated into child welfare safety and permanency interventions.","container-title":"Addictive Behaviors","DOI":"10.1016/j.addbeh.2012.01.015","ISSN":"0306-4603","issue":"5","journalAbbreviation":"Addictive Behaviors","language":"en","page":"641-650","source":"ScienceDirect","title":"A national study of risk and protective factors for substance use among youth in the child welfare system","volume":"37","author":[{"family":"Traube","given":"Dorian E."},{"family":"James","given":"Sigrid"},{"family":"Zhang","given":"Jinjin"},{"family":"Landsverk","given":"John"}],"issued":{"date-parts":[["2012",5,1]]}}}],"schema":"https://github.com/citation-style-language/schema/raw/master/csl-citation.json"}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noProof/>
          <w:sz w:val="24"/>
          <w:szCs w:val="24"/>
        </w:rPr>
        <w:t>(Traube et al. 2012)</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behavioral concerns such as withdrawal and opposition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{"citationID":"DJ61DAuR","properties":{"formattedCitation":"(Dozier et al. 2002)","plainCitation":"(Dozier et al. 2002)","noteIndex":0},"citationItems":[{"id":382,"uris":["http://zotero.org/users/7501598/items/YEZ9UQU6"],"itemData":{"id":382,"type":"article-journal","abstract":"This article presents the theoretical and empirical rationale for an intervention that targets three critical needs of infants and young children in foster care. First, foster children tend to give behavioral signals that lead even nurturing caregivers to provide non-nurturing care. Foster parents, therefore, need services that help them to reinterpret children's behavioral signals. Second, some caregivers are not comfortable providing nurturance. When surrogate caregivers do not provide nurturance to foster children, their children are at risk for a range of problematic outcomes. The second intervention component, therefore, targets caregiver difficulties in providing nurturance. Third, foster children are at risk for behavioral and biobehavioral dysregulation as the result of disrupted relationships with previous caregivers. The final intervention component helps caregivers provide children with a predictable interpersonal environment such that children develop better regulatory capabilities. (PsycINFO Database Record (c) 2016 APA, all rights reserved)","container-title":"Infant Mental Health Journal","DOI":"10.1002/imhj.10032","ISSN":"1097-0355","issue":"5","note":"publisher-place: US\npublisher: John Wiley &amp; Sons","page":"541-554","source":"APA PsycNet","title":"Intervening with foster infants' caregivers: Targeting three critical needs","title-short":"Intervening with foster infants' caregivers","volume":"23","author":[{"family":"Dozier","given":"Mary"},{"family":"Higley","given":"Elizabeth"},{"family":"Albus","given":"Kathleen E."},{"family":"Nutter","given":"Anna"}],"issued":{"date-parts":[["2002"]]}}}],"schema":"https://github.com/citation-style-language/schema/raw/master/csl-citation.json"}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noProof/>
          <w:sz w:val="24"/>
          <w:szCs w:val="24"/>
        </w:rPr>
        <w:t>(Dozier et al. 2002)</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and improve the likelihood of obtaining permanency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{"citationID":"5d6vhxMD","properties":{"formattedCitation":"(Summersett-Ringgold et al. 2018)","plainCitation":"(Summersett-Ringgold et al. 2018)","noteIndex":0},"citationItems":[{"id":256,"uris":["http://zotero.org/users/7501598/items/XW3ASQYI"],"itemData":{"id":256,"type":"article-journal","abstract":"While all children deserve a stable living environment, national data illustrate that many states struggle to achieve placement stability for youth in the child welfare system as a significant number of children in foster care continue to experience multiple placements while in state custody. Prior research has not considered the impact of youth protective factors or strengths on the frequency of placement changes that youth experience while in the child welfare system. This study examined the association between strengths measured at multiple levels (i.e., individual, family, and community) and placement stability among 4022 minority youth (aged 10–18) using administrative and clinical data from the Illinois child welfare system. Negative binomial regressions at the family level revealed that youth with at least one loving and supportive family member experienced 16% fewer placement changes than youth without family strengths. At the community level, youth attending schools that work to create an environment that meets its students’ needs experienced 13% fewer placement changes than youth without educational supports. These findings can inform the quality of treatment and services provided to minority youth in the child welfare system.","container-title":"Child Abuse &amp; Neglect","DOI":"10.1016/j.chiabu.2017.09.014","ISSN":"0145-2134","journalAbbreviation":"Child Abuse &amp; Neglect","language":"en","page":"561-572","source":"ScienceDirect","title":"Child strengths and placement stability among racial/ethnic minority youth in the child welfare system","volume":"76","author":[{"family":"Summersett-Ringgold","given":"Faith"},{"family":"Jordan","given":"Neil"},{"family":"Kisiel","given":"Cassandra"},{"family":"Sax","given":"Rachel M."},{"family":"McClelland","given":"Gary"}],"issued":{"date-parts":[["2018",2,1]]}}}],"schema":"https://github.com/citation-style-language/schema/raw/master/csl-citation.json"}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noProof/>
          <w:sz w:val="24"/>
          <w:szCs w:val="24"/>
        </w:rPr>
        <w:t>(Summersett-Ringgold et al. 2018)</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Although supportive caregiver relationships are a strong protective factor against stress, and LGBQ foster youth may be exposed to higher rates of stress than other youth in foster care, this relationship remains understudied. </w:t>
      </w:r>
    </w:p>
    <w:p w14:paraId="63F4B794" w14:textId="10D8C902" w:rsidR="004F22A2" w:rsidRPr="00C031AF" w:rsidRDefault="004F22A2" w:rsidP="004F22A2">
      <w:pPr>
        <w:spacing w:line="480" w:lineRule="auto"/>
        <w:ind w:firstLine="720"/>
        <w:contextualSpacing/>
        <w:rPr>
          <w:rFonts w:ascii="Times New Roman" w:hAnsi="Times New Roman" w:cs="Times New Roman"/>
          <w:sz w:val="24"/>
          <w:szCs w:val="24"/>
        </w:rPr>
      </w:pPr>
      <w:r w:rsidRPr="00C031AF">
        <w:rPr>
          <w:rFonts w:ascii="Times New Roman" w:hAnsi="Times New Roman" w:cs="Times New Roman"/>
          <w:sz w:val="24"/>
          <w:szCs w:val="24"/>
        </w:rPr>
        <w:t>To study this relationship, I use</w:t>
      </w:r>
      <w:r w:rsidR="002F5C13">
        <w:rPr>
          <w:rFonts w:ascii="Times New Roman" w:hAnsi="Times New Roman" w:cs="Times New Roman"/>
          <w:sz w:val="24"/>
          <w:szCs w:val="24"/>
        </w:rPr>
        <w:t>d</w:t>
      </w:r>
      <w:r w:rsidRPr="00C031AF">
        <w:rPr>
          <w:rFonts w:ascii="Times New Roman" w:hAnsi="Times New Roman" w:cs="Times New Roman"/>
          <w:sz w:val="24"/>
          <w:szCs w:val="24"/>
        </w:rPr>
        <w:t xml:space="preserve"> </w:t>
      </w:r>
      <w:r w:rsidR="00DB6099">
        <w:rPr>
          <w:rFonts w:ascii="Times New Roman" w:hAnsi="Times New Roman" w:cs="Times New Roman"/>
          <w:sz w:val="24"/>
          <w:szCs w:val="24"/>
        </w:rPr>
        <w:t>logistic regression analyses</w:t>
      </w:r>
      <w:r w:rsidRPr="00C031AF">
        <w:rPr>
          <w:rFonts w:ascii="Times New Roman" w:hAnsi="Times New Roman" w:cs="Times New Roman"/>
          <w:sz w:val="24"/>
          <w:szCs w:val="24"/>
        </w:rPr>
        <w:t xml:space="preserve"> to examine the relationship between </w:t>
      </w:r>
      <w:r w:rsidR="00DB6099">
        <w:rPr>
          <w:rFonts w:ascii="Times New Roman" w:hAnsi="Times New Roman" w:cs="Times New Roman"/>
          <w:sz w:val="24"/>
          <w:szCs w:val="24"/>
        </w:rPr>
        <w:t xml:space="preserve">sexual orientation, the youth’s </w:t>
      </w:r>
      <w:r w:rsidRPr="00C031AF">
        <w:rPr>
          <w:rFonts w:ascii="Times New Roman" w:hAnsi="Times New Roman" w:cs="Times New Roman"/>
          <w:sz w:val="24"/>
          <w:szCs w:val="24"/>
        </w:rPr>
        <w:t>caregiver relationship quality</w:t>
      </w:r>
      <w:r w:rsidR="00DB6099">
        <w:rPr>
          <w:rFonts w:ascii="Times New Roman" w:hAnsi="Times New Roman" w:cs="Times New Roman"/>
          <w:sz w:val="24"/>
          <w:szCs w:val="24"/>
        </w:rPr>
        <w:t>,</w:t>
      </w:r>
      <w:r w:rsidRPr="00C031AF">
        <w:rPr>
          <w:rFonts w:ascii="Times New Roman" w:hAnsi="Times New Roman" w:cs="Times New Roman"/>
          <w:sz w:val="24"/>
          <w:szCs w:val="24"/>
        </w:rPr>
        <w:t xml:space="preserve"> and internalizing and externalizing behavioral symptoms. I then assess</w:t>
      </w:r>
      <w:r w:rsidR="00DB6099">
        <w:rPr>
          <w:rFonts w:ascii="Times New Roman" w:hAnsi="Times New Roman" w:cs="Times New Roman"/>
          <w:sz w:val="24"/>
          <w:szCs w:val="24"/>
        </w:rPr>
        <w:t>ed</w:t>
      </w:r>
      <w:r w:rsidRPr="00C031AF">
        <w:rPr>
          <w:rFonts w:ascii="Times New Roman" w:hAnsi="Times New Roman" w:cs="Times New Roman"/>
          <w:sz w:val="24"/>
          <w:szCs w:val="24"/>
        </w:rPr>
        <w:t xml:space="preserve"> the interaction between sexual orientation and </w:t>
      </w:r>
      <w:r w:rsidR="00DB6099">
        <w:rPr>
          <w:rFonts w:ascii="Times New Roman" w:hAnsi="Times New Roman" w:cs="Times New Roman"/>
          <w:sz w:val="24"/>
          <w:szCs w:val="24"/>
        </w:rPr>
        <w:t xml:space="preserve">the youth’s </w:t>
      </w:r>
      <w:r w:rsidRPr="00C031AF">
        <w:rPr>
          <w:rFonts w:ascii="Times New Roman" w:hAnsi="Times New Roman" w:cs="Times New Roman"/>
          <w:sz w:val="24"/>
          <w:szCs w:val="24"/>
        </w:rPr>
        <w:t xml:space="preserve">relationship with their </w:t>
      </w:r>
      <w:proofErr w:type="gramStart"/>
      <w:r w:rsidRPr="00C031AF">
        <w:rPr>
          <w:rFonts w:ascii="Times New Roman" w:hAnsi="Times New Roman" w:cs="Times New Roman"/>
          <w:sz w:val="24"/>
          <w:szCs w:val="24"/>
        </w:rPr>
        <w:t>caregiver</w:t>
      </w:r>
      <w:proofErr w:type="gramEnd"/>
      <w:r w:rsidRPr="00C031AF">
        <w:rPr>
          <w:rFonts w:ascii="Times New Roman" w:hAnsi="Times New Roman" w:cs="Times New Roman"/>
          <w:sz w:val="24"/>
          <w:szCs w:val="24"/>
        </w:rPr>
        <w:t>. I f</w:t>
      </w:r>
      <w:r w:rsidR="002F5C13">
        <w:rPr>
          <w:rFonts w:ascii="Times New Roman" w:hAnsi="Times New Roman" w:cs="Times New Roman"/>
          <w:sz w:val="24"/>
          <w:szCs w:val="24"/>
        </w:rPr>
        <w:t>oun</w:t>
      </w:r>
      <w:r w:rsidRPr="00C031AF">
        <w:rPr>
          <w:rFonts w:ascii="Times New Roman" w:hAnsi="Times New Roman" w:cs="Times New Roman"/>
          <w:sz w:val="24"/>
          <w:szCs w:val="24"/>
        </w:rPr>
        <w:t xml:space="preserve">d that </w:t>
      </w:r>
      <w:r w:rsidR="002F5C13">
        <w:rPr>
          <w:rFonts w:ascii="Times New Roman" w:hAnsi="Times New Roman" w:cs="Times New Roman"/>
          <w:sz w:val="24"/>
          <w:szCs w:val="24"/>
        </w:rPr>
        <w:t xml:space="preserve">the </w:t>
      </w:r>
      <w:r w:rsidRPr="00C031AF">
        <w:rPr>
          <w:rFonts w:ascii="Times New Roman" w:hAnsi="Times New Roman" w:cs="Times New Roman"/>
          <w:sz w:val="24"/>
          <w:szCs w:val="24"/>
        </w:rPr>
        <w:t>caregiver relationship is a protective factor for heterosexual youth's well-being, but this is not</w:t>
      </w:r>
      <w:r w:rsidR="00666AE6">
        <w:rPr>
          <w:rFonts w:ascii="Times New Roman" w:hAnsi="Times New Roman" w:cs="Times New Roman"/>
          <w:sz w:val="24"/>
          <w:szCs w:val="24"/>
        </w:rPr>
        <w:t xml:space="preserve"> </w:t>
      </w:r>
      <w:r w:rsidRPr="00C031AF">
        <w:rPr>
          <w:rFonts w:ascii="Times New Roman" w:hAnsi="Times New Roman" w:cs="Times New Roman"/>
          <w:sz w:val="24"/>
          <w:szCs w:val="24"/>
        </w:rPr>
        <w:t>the case for LGBQ youth. Interestingly, as the perceived quality of caregiver relationship increase</w:t>
      </w:r>
      <w:r w:rsidR="002F5C13">
        <w:rPr>
          <w:rFonts w:ascii="Times New Roman" w:hAnsi="Times New Roman" w:cs="Times New Roman"/>
          <w:sz w:val="24"/>
          <w:szCs w:val="24"/>
        </w:rPr>
        <w:t>d</w:t>
      </w:r>
      <w:r w:rsidRPr="00C031AF">
        <w:rPr>
          <w:rFonts w:ascii="Times New Roman" w:hAnsi="Times New Roman" w:cs="Times New Roman"/>
          <w:sz w:val="24"/>
          <w:szCs w:val="24"/>
        </w:rPr>
        <w:t xml:space="preserve"> for LGBQ youth, </w:t>
      </w:r>
      <w:proofErr w:type="gramStart"/>
      <w:r w:rsidRPr="00C031AF">
        <w:rPr>
          <w:rFonts w:ascii="Times New Roman" w:hAnsi="Times New Roman" w:cs="Times New Roman"/>
          <w:sz w:val="24"/>
          <w:szCs w:val="24"/>
        </w:rPr>
        <w:t>so too</w:t>
      </w:r>
      <w:proofErr w:type="gramEnd"/>
      <w:r w:rsidRPr="00C031AF">
        <w:rPr>
          <w:rFonts w:ascii="Times New Roman" w:hAnsi="Times New Roman" w:cs="Times New Roman"/>
          <w:sz w:val="24"/>
          <w:szCs w:val="24"/>
        </w:rPr>
        <w:t xml:space="preserve"> d</w:t>
      </w:r>
      <w:r w:rsidR="002F5C13">
        <w:rPr>
          <w:rFonts w:ascii="Times New Roman" w:hAnsi="Times New Roman" w:cs="Times New Roman"/>
          <w:sz w:val="24"/>
          <w:szCs w:val="24"/>
        </w:rPr>
        <w:t>id</w:t>
      </w:r>
      <w:r w:rsidRPr="00C031AF">
        <w:rPr>
          <w:rFonts w:ascii="Times New Roman" w:hAnsi="Times New Roman" w:cs="Times New Roman"/>
          <w:sz w:val="24"/>
          <w:szCs w:val="24"/>
        </w:rPr>
        <w:t xml:space="preserve"> their probability of reported behavioral problems. This finding may indicate that caregivers with good relationships with LGBQ youth may be able to better identify and more accurately report their well-being. Youth who perceive</w:t>
      </w:r>
      <w:r w:rsidR="002F5C13">
        <w:rPr>
          <w:rFonts w:ascii="Times New Roman" w:hAnsi="Times New Roman" w:cs="Times New Roman"/>
          <w:sz w:val="24"/>
          <w:szCs w:val="24"/>
        </w:rPr>
        <w:t>d</w:t>
      </w:r>
      <w:r w:rsidRPr="00C031AF">
        <w:rPr>
          <w:rFonts w:ascii="Times New Roman" w:hAnsi="Times New Roman" w:cs="Times New Roman"/>
          <w:sz w:val="24"/>
          <w:szCs w:val="24"/>
        </w:rPr>
        <w:t xml:space="preserve"> they ha</w:t>
      </w:r>
      <w:r w:rsidR="002F5C13">
        <w:rPr>
          <w:rFonts w:ascii="Times New Roman" w:hAnsi="Times New Roman" w:cs="Times New Roman"/>
          <w:sz w:val="24"/>
          <w:szCs w:val="24"/>
        </w:rPr>
        <w:t>d</w:t>
      </w:r>
      <w:r w:rsidRPr="00C031AF">
        <w:rPr>
          <w:rFonts w:ascii="Times New Roman" w:hAnsi="Times New Roman" w:cs="Times New Roman"/>
          <w:sz w:val="24"/>
          <w:szCs w:val="24"/>
        </w:rPr>
        <w:t xml:space="preserve"> a better relationship with their caregiver may be more likely to talk openly about issues than youth who do not perceive a strong relationship. </w:t>
      </w:r>
      <w:r w:rsidR="00CC06BE">
        <w:rPr>
          <w:rFonts w:ascii="Times New Roman" w:hAnsi="Times New Roman" w:cs="Times New Roman"/>
          <w:sz w:val="24"/>
          <w:szCs w:val="24"/>
        </w:rPr>
        <w:t>Alternatively, this finding could indicate the caregiver</w:t>
      </w:r>
      <w:r w:rsidR="00522E54">
        <w:rPr>
          <w:rFonts w:ascii="Times New Roman" w:hAnsi="Times New Roman" w:cs="Times New Roman"/>
          <w:sz w:val="24"/>
          <w:szCs w:val="24"/>
        </w:rPr>
        <w:t xml:space="preserve">s’ prejudicial attitudes toward LGBQ youth </w:t>
      </w:r>
      <w:r w:rsidR="004704A1">
        <w:rPr>
          <w:rFonts w:ascii="Times New Roman" w:hAnsi="Times New Roman" w:cs="Times New Roman"/>
          <w:sz w:val="24"/>
          <w:szCs w:val="24"/>
        </w:rPr>
        <w:t>by reporting behavioral problems at higher rates compared to caregivers of heterosexual youth.  In either case, these findings highlight</w:t>
      </w:r>
      <w:r w:rsidRPr="00C031AF">
        <w:rPr>
          <w:rFonts w:ascii="Times New Roman" w:hAnsi="Times New Roman" w:cs="Times New Roman"/>
          <w:sz w:val="24"/>
          <w:szCs w:val="24"/>
        </w:rPr>
        <w:t xml:space="preserve"> the importance of fostering relationships </w:t>
      </w:r>
      <w:r w:rsidR="004704A1">
        <w:rPr>
          <w:rFonts w:ascii="Times New Roman" w:hAnsi="Times New Roman" w:cs="Times New Roman"/>
          <w:sz w:val="24"/>
          <w:szCs w:val="24"/>
        </w:rPr>
        <w:t>between</w:t>
      </w:r>
      <w:r w:rsidR="004704A1" w:rsidRPr="00C031AF">
        <w:rPr>
          <w:rFonts w:ascii="Times New Roman" w:hAnsi="Times New Roman" w:cs="Times New Roman"/>
          <w:sz w:val="24"/>
          <w:szCs w:val="24"/>
        </w:rPr>
        <w:t xml:space="preserve"> </w:t>
      </w:r>
      <w:r w:rsidRPr="00C031AF">
        <w:rPr>
          <w:rFonts w:ascii="Times New Roman" w:hAnsi="Times New Roman" w:cs="Times New Roman"/>
          <w:sz w:val="24"/>
          <w:szCs w:val="24"/>
        </w:rPr>
        <w:t xml:space="preserve">LGBQ youth </w:t>
      </w:r>
      <w:r w:rsidR="004704A1">
        <w:rPr>
          <w:rFonts w:ascii="Times New Roman" w:hAnsi="Times New Roman" w:cs="Times New Roman"/>
          <w:sz w:val="24"/>
          <w:szCs w:val="24"/>
        </w:rPr>
        <w:t>and their</w:t>
      </w:r>
      <w:r w:rsidR="004704A1" w:rsidRPr="00C031AF">
        <w:rPr>
          <w:rFonts w:ascii="Times New Roman" w:hAnsi="Times New Roman" w:cs="Times New Roman"/>
          <w:sz w:val="24"/>
          <w:szCs w:val="24"/>
        </w:rPr>
        <w:t xml:space="preserve"> </w:t>
      </w:r>
      <w:r w:rsidRPr="00C031AF">
        <w:rPr>
          <w:rFonts w:ascii="Times New Roman" w:hAnsi="Times New Roman" w:cs="Times New Roman"/>
          <w:sz w:val="24"/>
          <w:szCs w:val="24"/>
        </w:rPr>
        <w:t xml:space="preserve">caregivers so they can find meaningful support as they face additional stressors as a sexual minority. Evidence-supported interventions are </w:t>
      </w:r>
      <w:r w:rsidRPr="00C031AF">
        <w:rPr>
          <w:rFonts w:ascii="Times New Roman" w:hAnsi="Times New Roman" w:cs="Times New Roman"/>
          <w:sz w:val="24"/>
          <w:szCs w:val="24"/>
        </w:rPr>
        <w:lastRenderedPageBreak/>
        <w:t xml:space="preserve">successful in improving their relationships with their caregivers, such as the AFFIRM caregiver model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{"citationID":"5vxZhwLA","properties":{"formattedCitation":"(Austin et al. 2021)","plainCitation":"(Austin et al. 2021)","noteIndex":0},"citationItems":[{"id":347,"uris":["http://zotero.org/users/7501598/items/8WLIDVHL"],"itemData":{"id":347,"type":"article-journal","abstract":"Lesbian, gay, bisexual, transgender, or questioning (LGBTQ+) youth are notably overrepresented in the foster care system, often entering the child welfare system because of abuse or neglect associated with familial rejection of youths’ sexual orientation, gender identity, and/or gender expression. LGBTQ+ foster youth are often exposed to identity-based victimization within the foster care system. There is a call for evidence-informed interventions aimed at improving the well-being of LGBTQ+ youth in systems of care. This study examines the initial effec­ tiveness of AFFIRM Caregiver, a 7-session, manualized intervention aimed at enhancing affirmative parenting practices among foster parents. AFFIRM Caregiver was delivered to foster parents (n = 103) at two U.S. sites. Findings indicate significant improvements in affirmative caregiving attitudes, behaviors, and self-efficacy at post-test, as well as at the 3-month follow-up assessment. Given positive preliminary results, AFFIRM Caregiver represents a promising option to address a particularly notable challenge to the safety and well-being of LGBTQ+ youth in care.","container-title":"Children and Youth Services Review","DOI":"10.1016/j.childyouth.2021.106107","ISSN":"01907409","journalAbbreviation":"Children and Youth Services Review","language":"en","page":"106107","source":"DOI.org (Crossref)","title":"Preliminary effectiveness of an LGBTQ+ affirmative parenting intervention with foster parents","volume":"127","author":[{"family":"Austin","given":"Ashley"},{"family":"Craig","given":"Shelley L."},{"family":"Matarese","given":"Marlene"},{"family":"Greeno","given":"Elizabeth J."},{"family":"Weeks","given":"Angela"},{"family":"Betsinger","given":"S. Aaron"}],"issued":{"date-parts":[["2021",8]]}}}],"schema":"https://github.com/citation-style-language/schema/raw/master/csl-citation.json"}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noProof/>
          <w:sz w:val="24"/>
          <w:szCs w:val="24"/>
        </w:rPr>
        <w:t>(Austin et al. 2021)</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and the </w:t>
      </w:r>
      <w:r w:rsidRPr="00C031AF">
        <w:rPr>
          <w:rFonts w:ascii="Times New Roman" w:hAnsi="Times New Roman" w:cs="Times New Roman"/>
          <w:i/>
          <w:iCs/>
          <w:sz w:val="24"/>
          <w:szCs w:val="24"/>
        </w:rPr>
        <w:t>Connecting</w:t>
      </w:r>
      <w:r w:rsidRPr="00C031AF">
        <w:rPr>
          <w:rFonts w:ascii="Times New Roman" w:hAnsi="Times New Roman" w:cs="Times New Roman"/>
          <w:sz w:val="24"/>
          <w:szCs w:val="24"/>
        </w:rPr>
        <w:t xml:space="preserve"> program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{"citationID":"FAH3c5Sn","properties":{"formattedCitation":"(Salazar et al. 2020)","plainCitation":"(Salazar et al. 2020)","noteIndex":0},"citationItems":[{"id":348,"uris":["http://zotero.org/users/7501598/items/3G6IPJPV"],"itemData":{"id":348,"type":"article-journal","abstract":"LGBTQ+ youth are over-represented in the foster care system. Child welfare systems across the country have been struggling with how to make their systems work better for the LGBTQ+ youth they serve. One strategy is developing foster caregiver trainings that bolster caregivers’ knowledge and support of LGBTQ+ youth in their care. This study has three aims: (1) to provide an overview of a module designed to support relationship building between LGBTQ+ youth in foster care and their caregivers, (2) to describe the theater testing procedure used to assess usability of the developed module with foster caregivers and adults, and (3) to share the results of the theater test. Overall, participants provided positive usability feedback about the module activities, as well as a wide variety of recommendations for strengthening the content for widespread use. Participants felt the module should be directed specifically toward caregiver skill development rather than toward both caregiver and youth support. This module represents one example of how materials focused on building foster caregivers’ knowledge and support have the potential to help LGBTQ+ teens who are overrepresented in the foster care system.","container-title":"Sexuality research &amp; social policy : journal of NSRC : SR &amp; SP","DOI":"10.1007/s13178-019-00387-z","ISSN":"1868-9884","issue":"2","journalAbbreviation":"Sex Res Social Policy","note":"PMID: 32431761\nPMCID: PMC7236553","page":"239-251","source":"PubMed Central","title":"Supporting LGBTQ+ Foster Teens: Development of a Relationship-Focused, Self-Guided Curriculum for Foster Families","title-short":"Supporting LGBTQ+ Foster Teens","volume":"17","author":[{"family":"Salazar","given":"Amy M."},{"family":"Haggerty","given":"Kevin P."},{"family":"Barkan","given":"Susan E."},{"family":"Peterson","given":"Rachel"},{"family":"Furlong","given":"Madeline E."},{"family":"Kim","given":"Eunsaem"},{"family":"Cole","given":"Janice J."},{"family":"Colito","given":"Jessica M."}],"issued":{"date-parts":[["2020",6]]}}}],"schema":"https://github.com/citation-style-language/schema/raw/master/csl-citation.json"}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noProof/>
          <w:sz w:val="24"/>
          <w:szCs w:val="24"/>
        </w:rPr>
        <w:t>(Salazar et al. 2020)</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As LGBQ youth in foster care are among some of the most vulnerable youth in the nation, more programs and services should work to foster supportive relationships with them and alleviate stressors when possible.</w:t>
      </w:r>
    </w:p>
    <w:p w14:paraId="3E33982F" w14:textId="28829EA7" w:rsidR="004F22A2" w:rsidRPr="00C031AF" w:rsidRDefault="004F22A2" w:rsidP="004F22A2">
      <w:pPr>
        <w:spacing w:line="480" w:lineRule="auto"/>
        <w:ind w:firstLine="720"/>
        <w:contextualSpacing/>
        <w:rPr>
          <w:rFonts w:ascii="Times New Roman" w:hAnsi="Times New Roman" w:cs="Times New Roman"/>
          <w:sz w:val="24"/>
          <w:szCs w:val="24"/>
        </w:rPr>
      </w:pPr>
      <w:r w:rsidRPr="00C031AF">
        <w:rPr>
          <w:rFonts w:ascii="Times New Roman" w:hAnsi="Times New Roman" w:cs="Times New Roman"/>
          <w:sz w:val="24"/>
          <w:szCs w:val="24"/>
        </w:rPr>
        <w:t xml:space="preserve">Chapter Three is co-authored </w:t>
      </w:r>
      <w:r w:rsidR="00A87CDC">
        <w:rPr>
          <w:rFonts w:ascii="Times New Roman" w:hAnsi="Times New Roman" w:cs="Times New Roman"/>
          <w:sz w:val="24"/>
          <w:szCs w:val="24"/>
        </w:rPr>
        <w:t>with</w:t>
      </w:r>
      <w:r w:rsidR="00A87CDC" w:rsidRPr="00C031AF">
        <w:rPr>
          <w:rFonts w:ascii="Times New Roman" w:hAnsi="Times New Roman" w:cs="Times New Roman"/>
          <w:sz w:val="24"/>
          <w:szCs w:val="24"/>
        </w:rPr>
        <w:t xml:space="preserve"> </w:t>
      </w:r>
      <w:r w:rsidRPr="00C031AF">
        <w:rPr>
          <w:rFonts w:ascii="Times New Roman" w:hAnsi="Times New Roman" w:cs="Times New Roman"/>
          <w:sz w:val="24"/>
          <w:szCs w:val="24"/>
        </w:rPr>
        <w:t>Rin Ferraro and Dr. Erin Maher and look</w:t>
      </w:r>
      <w:r w:rsidR="002F5C13">
        <w:rPr>
          <w:rFonts w:ascii="Times New Roman" w:hAnsi="Times New Roman" w:cs="Times New Roman"/>
          <w:sz w:val="24"/>
          <w:szCs w:val="24"/>
        </w:rPr>
        <w:t>ed</w:t>
      </w:r>
      <w:r w:rsidRPr="00C031AF">
        <w:rPr>
          <w:rFonts w:ascii="Times New Roman" w:hAnsi="Times New Roman" w:cs="Times New Roman"/>
          <w:sz w:val="24"/>
          <w:szCs w:val="24"/>
        </w:rPr>
        <w:t xml:space="preserve"> at youth’s relationship with their caregiver as well as peer support, measured by peer satisfaction, to examine how this support influences future expectations for marriage, family, and mortality. To our knowledge, there has been no research that has focused on future expectations for LGBQ youth. We use the theory of social-ecological development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{"citationID":"0qbIwOBe","properties":{"formattedCitation":"(Bronfenbrenner 1979)","plainCitation":"(Bronfenbrenner 1979)","noteIndex":0},"citationItems":[{"id":183,"uris":["http://zotero.org/users/7501598/items/XETY7K64"],"itemData":{"id":183,"type":"book","abstract":"Here is a book that challenges the very basis of the way psychologists have studied child development. According to Urie Bronfenbrenner, one of the world’s foremost developmental psychologists, laboratory studies of the child’s behavior sacrifice too much in order to gain experimental control and analytic rigor. Laboratory observations, he argues, too often lead to “the science of the strange behavior of children in strange situations with strange adults for the briefest possible periods of time.” To understand the way children actually develop, Bronfenbrenner believes that it will be necessary to observe their behavior in natural settings, while they are interacting with familiar adults over prolonged periods of time. This book offers an important blueprint for constructing such a new and ecologically valid psychology of development. The blueprint includes a complete conceptual framework for analysing the layers of the environment that have a formative influence on the child. This framework is applied to a variety of settings in which children commonly develop, ranging from the pediatric ward to daycare, school, and various family configurations. The result is a rich set of hypotheses about the developmental consequences of various types of environments. Where current research bears on these hypotheses, Bronfenbrenner marshals the data to show how an ecological theory can be tested. Where no relevant data exist, he suggests new and interesting ecological experiments that might be undertaken to resolve current unknowns. Bronfenbrenner’s groundbreaking program for reform in developmental psychology is certain to be controversial. His argument flies in the face of standard psychological procedures and challenges psychology to become more relevant to the ways in which children actually develop. It is a challenge psychology can ill-afford to ignore.","ISBN":"978-0-674-22457-5","language":"en","note":"Google-Books-ID: OCmbzWka6xUC","number-of-pages":"352","publisher":"Harvard University Press","source":"Google Books","title":"The Ecology of Human Development: Experiments by Nature and Design","title-short":"The Ecology of Human Development","author":[{"family":"Bronfenbrenner","given":"Urie"}],"issued":{"date-parts":[["1979"]]}}}],"schema":"https://github.com/citation-style-language/schema/raw/master/csl-citation.json"}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(Bronfenbrenner 1979)</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and the linked lives principle of life course theory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{"citationID":"N6NP55sL","properties":{"formattedCitation":"(Landes and Settersten 2019)","plainCitation":"(Landes and Settersten 2019)","noteIndex":0},"citationItems":[{"id":525,"uris":["http://zotero.org/users/7501598/items/48QAQ6VG"],"itemData":{"id":525,"type":"article-journal","abstract":"The notion that people make choices and take actions that determine the outcomes of their lives – human agency – is a central principle of the life course paradigm. Unfortunately, conceptualizations of agency, like larger developmental and sociological theories, often assume that agency is limited to individuals who are “developmentally normal.” We draw upon the thought of social scientists and disability scholars, as well as the life history of a woman with intellectual disability, to address the logical, ethical, and empirical flaws of this assumption. To rectify these problems, life course theory and research should pay greater attention to how agency is interwoven with another central principle of the life course paradigm: linked lives. This principle is that an individual’s life cannot be understood in isolation of their interdependencies with other persons. Although human agency and linked lives are discussed as separate principles of the life course, they are not separate in lived experience. We demonstrate that, for all people and at all times in life, human agency is dependent upon interpersonal relationships. It is therefore imperative to examine intersections of agency and linked lives in order to more fully and accurately understand life course dynamics in diverse populations. Human agency is profoundly affected by interpersonal relationships and other social factors. Because agency and linked lives are inseparable, agency cannot be conceptualized as an individual characteristic of ‘independent’ actors. We conclude by discussing how life course research can more fully attend to the relationship between agency and linked lives.","container-title":"Advances in Life Course Research","DOI":"10.1016/j.alcr.2019.100306","ISSN":"1040-2608","journalAbbreviation":"Advances in Life Course Research","language":"en","page":"100306","source":"ScienceDirect","title":"The inseparability of human agency and linked lives","volume":"42","author":[{"family":"Landes","given":"Scott D."},{"family":"Settersten","given":"Richard A."}],"issued":{"date-parts":[["2019",12,1]]}}}],"schema":"https://github.com/citation-style-language/schema/raw/master/csl-citation.json"}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(Landes and Settersten 2019)</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to examine how family and friends influence youth’s sociocultural environment and their development of future expectations for getting married by twenty-five, having a family, and living to thirty-five. </w:t>
      </w:r>
    </w:p>
    <w:p w14:paraId="5C6220BC" w14:textId="43B64144" w:rsidR="004F22A2" w:rsidRPr="00C031AF" w:rsidRDefault="004F22A2" w:rsidP="004F22A2">
      <w:pPr>
        <w:spacing w:line="480" w:lineRule="auto"/>
        <w:ind w:firstLine="720"/>
        <w:contextualSpacing/>
        <w:rPr>
          <w:rFonts w:ascii="Times New Roman" w:hAnsi="Times New Roman" w:cs="Times New Roman"/>
          <w:sz w:val="24"/>
          <w:szCs w:val="24"/>
        </w:rPr>
      </w:pPr>
      <w:r w:rsidRPr="00C031AF">
        <w:rPr>
          <w:rFonts w:ascii="Times New Roman" w:hAnsi="Times New Roman" w:cs="Times New Roman"/>
          <w:sz w:val="24"/>
          <w:szCs w:val="24"/>
        </w:rPr>
        <w:t>To examine the future expectations for both LGBQ youth and heterosexual youth, we use</w:t>
      </w:r>
      <w:r w:rsidR="00092B19">
        <w:rPr>
          <w:rFonts w:ascii="Times New Roman" w:hAnsi="Times New Roman" w:cs="Times New Roman"/>
          <w:sz w:val="24"/>
          <w:szCs w:val="24"/>
        </w:rPr>
        <w:t>d</w:t>
      </w:r>
      <w:r w:rsidRPr="00C031AF">
        <w:rPr>
          <w:rFonts w:ascii="Times New Roman" w:hAnsi="Times New Roman" w:cs="Times New Roman"/>
          <w:sz w:val="24"/>
          <w:szCs w:val="24"/>
        </w:rPr>
        <w:t xml:space="preserve"> bivariate comparisons and f</w:t>
      </w:r>
      <w:r w:rsidR="00092B19">
        <w:rPr>
          <w:rFonts w:ascii="Times New Roman" w:hAnsi="Times New Roman" w:cs="Times New Roman"/>
          <w:sz w:val="24"/>
          <w:szCs w:val="24"/>
        </w:rPr>
        <w:t>ound</w:t>
      </w:r>
      <w:r w:rsidRPr="00C031AF">
        <w:rPr>
          <w:rFonts w:ascii="Times New Roman" w:hAnsi="Times New Roman" w:cs="Times New Roman"/>
          <w:sz w:val="24"/>
          <w:szCs w:val="24"/>
        </w:rPr>
        <w:t xml:space="preserve"> that LGBQ youth had significantly lower future expectations for getting married by twenty-five, and marginally significant lower expectations for having a family. LGBQ youth also had lower peer support and relationship with caregiver scores, both significant. We then analyze</w:t>
      </w:r>
      <w:r w:rsidR="00092B19">
        <w:rPr>
          <w:rFonts w:ascii="Times New Roman" w:hAnsi="Times New Roman" w:cs="Times New Roman"/>
          <w:sz w:val="24"/>
          <w:szCs w:val="24"/>
        </w:rPr>
        <w:t>d</w:t>
      </w:r>
      <w:r w:rsidRPr="00C031AF">
        <w:rPr>
          <w:rFonts w:ascii="Times New Roman" w:hAnsi="Times New Roman" w:cs="Times New Roman"/>
          <w:sz w:val="24"/>
          <w:szCs w:val="24"/>
        </w:rPr>
        <w:t xml:space="preserve"> three multinomial logistic regression models, one model each for getting married by twenty-five, having a family, and living to thirty-five. We also include</w:t>
      </w:r>
      <w:r w:rsidR="00092B19">
        <w:rPr>
          <w:rFonts w:ascii="Times New Roman" w:hAnsi="Times New Roman" w:cs="Times New Roman"/>
          <w:sz w:val="24"/>
          <w:szCs w:val="24"/>
        </w:rPr>
        <w:t>d</w:t>
      </w:r>
      <w:r w:rsidRPr="00C031AF">
        <w:rPr>
          <w:rFonts w:ascii="Times New Roman" w:hAnsi="Times New Roman" w:cs="Times New Roman"/>
          <w:sz w:val="24"/>
          <w:szCs w:val="24"/>
        </w:rPr>
        <w:t xml:space="preserve"> models that study the interaction effects </w:t>
      </w:r>
      <w:r w:rsidR="00092B19">
        <w:rPr>
          <w:rFonts w:ascii="Times New Roman" w:hAnsi="Times New Roman" w:cs="Times New Roman"/>
          <w:sz w:val="24"/>
          <w:szCs w:val="24"/>
        </w:rPr>
        <w:t>of</w:t>
      </w:r>
      <w:r w:rsidRPr="00C031AF">
        <w:rPr>
          <w:rFonts w:ascii="Times New Roman" w:hAnsi="Times New Roman" w:cs="Times New Roman"/>
          <w:sz w:val="24"/>
          <w:szCs w:val="24"/>
        </w:rPr>
        <w:t xml:space="preserve"> youth’s relationship with their caregiver and their level of peer support</w:t>
      </w:r>
      <w:r w:rsidR="00092B19">
        <w:rPr>
          <w:rFonts w:ascii="Times New Roman" w:hAnsi="Times New Roman" w:cs="Times New Roman"/>
          <w:sz w:val="24"/>
          <w:szCs w:val="24"/>
        </w:rPr>
        <w:t xml:space="preserve"> </w:t>
      </w:r>
      <w:r w:rsidR="00AA17F6">
        <w:rPr>
          <w:rFonts w:ascii="Times New Roman" w:hAnsi="Times New Roman" w:cs="Times New Roman"/>
          <w:sz w:val="24"/>
          <w:szCs w:val="24"/>
        </w:rPr>
        <w:t>with the youth’s sexual orientation</w:t>
      </w:r>
      <w:r w:rsidRPr="00C031AF">
        <w:rPr>
          <w:rFonts w:ascii="Times New Roman" w:hAnsi="Times New Roman" w:cs="Times New Roman"/>
          <w:sz w:val="24"/>
          <w:szCs w:val="24"/>
        </w:rPr>
        <w:t>. In our main effect models, we f</w:t>
      </w:r>
      <w:r w:rsidR="00AA17F6">
        <w:rPr>
          <w:rFonts w:ascii="Times New Roman" w:hAnsi="Times New Roman" w:cs="Times New Roman"/>
          <w:sz w:val="24"/>
          <w:szCs w:val="24"/>
        </w:rPr>
        <w:t>oun</w:t>
      </w:r>
      <w:r w:rsidRPr="00C031AF">
        <w:rPr>
          <w:rFonts w:ascii="Times New Roman" w:hAnsi="Times New Roman" w:cs="Times New Roman"/>
          <w:sz w:val="24"/>
          <w:szCs w:val="24"/>
        </w:rPr>
        <w:t xml:space="preserve">d that LGBQ youth had significantly lower log odds for feeling that having a family was </w:t>
      </w:r>
      <w:proofErr w:type="gramStart"/>
      <w:r w:rsidRPr="00C031AF">
        <w:rPr>
          <w:rFonts w:ascii="Times New Roman" w:hAnsi="Times New Roman" w:cs="Times New Roman"/>
          <w:sz w:val="24"/>
          <w:szCs w:val="24"/>
        </w:rPr>
        <w:t>pretty likely</w:t>
      </w:r>
      <w:proofErr w:type="gramEnd"/>
      <w:r w:rsidRPr="00C031AF">
        <w:rPr>
          <w:rFonts w:ascii="Times New Roman" w:hAnsi="Times New Roman" w:cs="Times New Roman"/>
          <w:sz w:val="24"/>
          <w:szCs w:val="24"/>
        </w:rPr>
        <w:t xml:space="preserve"> or would happen for them compared to their heterosexual peers. In the models </w:t>
      </w:r>
      <w:r w:rsidRPr="00C031AF">
        <w:rPr>
          <w:rFonts w:ascii="Times New Roman" w:hAnsi="Times New Roman" w:cs="Times New Roman"/>
          <w:sz w:val="24"/>
          <w:szCs w:val="24"/>
        </w:rPr>
        <w:lastRenderedPageBreak/>
        <w:t>examining the interactions between sexual orientation and relationship with caregiver, we f</w:t>
      </w:r>
      <w:r w:rsidR="00AA17F6">
        <w:rPr>
          <w:rFonts w:ascii="Times New Roman" w:hAnsi="Times New Roman" w:cs="Times New Roman"/>
          <w:sz w:val="24"/>
          <w:szCs w:val="24"/>
        </w:rPr>
        <w:t>ou</w:t>
      </w:r>
      <w:r w:rsidRPr="00C031AF">
        <w:rPr>
          <w:rFonts w:ascii="Times New Roman" w:hAnsi="Times New Roman" w:cs="Times New Roman"/>
          <w:sz w:val="24"/>
          <w:szCs w:val="24"/>
        </w:rPr>
        <w:t xml:space="preserve">nd marginal significance in that LGBQ youth with better relationships with their caregivers are more likely to report ever having a family was </w:t>
      </w:r>
      <w:proofErr w:type="gramStart"/>
      <w:r w:rsidRPr="00C031AF">
        <w:rPr>
          <w:rFonts w:ascii="Times New Roman" w:hAnsi="Times New Roman" w:cs="Times New Roman"/>
          <w:sz w:val="24"/>
          <w:szCs w:val="24"/>
        </w:rPr>
        <w:t>pretty likely</w:t>
      </w:r>
      <w:proofErr w:type="gramEnd"/>
      <w:r w:rsidRPr="00C031AF">
        <w:rPr>
          <w:rFonts w:ascii="Times New Roman" w:hAnsi="Times New Roman" w:cs="Times New Roman"/>
          <w:sz w:val="24"/>
          <w:szCs w:val="24"/>
        </w:rPr>
        <w:t xml:space="preserve"> compared to no chance, in comparison to heterosexual youth. </w:t>
      </w:r>
      <w:r w:rsidR="00402480">
        <w:rPr>
          <w:rFonts w:ascii="Times New Roman" w:hAnsi="Times New Roman" w:cs="Times New Roman"/>
          <w:sz w:val="24"/>
          <w:szCs w:val="24"/>
        </w:rPr>
        <w:t xml:space="preserve">This was a positive finding in that LGBQ youth with supportive caregiver relationships may be more likely to </w:t>
      </w:r>
      <w:r w:rsidR="00E56F9D">
        <w:rPr>
          <w:rFonts w:ascii="Times New Roman" w:hAnsi="Times New Roman" w:cs="Times New Roman"/>
          <w:sz w:val="24"/>
          <w:szCs w:val="24"/>
        </w:rPr>
        <w:t>have expectations for their future for having a family</w:t>
      </w:r>
      <w:r w:rsidR="00E0545F">
        <w:rPr>
          <w:rFonts w:ascii="Times New Roman" w:hAnsi="Times New Roman" w:cs="Times New Roman"/>
          <w:sz w:val="24"/>
          <w:szCs w:val="24"/>
        </w:rPr>
        <w:t>, considered a normative aspect of adulthood.</w:t>
      </w:r>
      <w:r w:rsidR="00E56F9D">
        <w:rPr>
          <w:rFonts w:ascii="Times New Roman" w:hAnsi="Times New Roman" w:cs="Times New Roman"/>
          <w:sz w:val="24"/>
          <w:szCs w:val="24"/>
        </w:rPr>
        <w:t xml:space="preserve"> </w:t>
      </w:r>
      <w:r w:rsidRPr="00C031AF">
        <w:rPr>
          <w:rFonts w:ascii="Times New Roman" w:hAnsi="Times New Roman" w:cs="Times New Roman"/>
          <w:sz w:val="24"/>
          <w:szCs w:val="24"/>
        </w:rPr>
        <w:t>For expectations of getting married by twenty-five, we f</w:t>
      </w:r>
      <w:r w:rsidR="000A0D41">
        <w:rPr>
          <w:rFonts w:ascii="Times New Roman" w:hAnsi="Times New Roman" w:cs="Times New Roman"/>
          <w:sz w:val="24"/>
          <w:szCs w:val="24"/>
        </w:rPr>
        <w:t>ou</w:t>
      </w:r>
      <w:r w:rsidRPr="00C031AF">
        <w:rPr>
          <w:rFonts w:ascii="Times New Roman" w:hAnsi="Times New Roman" w:cs="Times New Roman"/>
          <w:sz w:val="24"/>
          <w:szCs w:val="24"/>
        </w:rPr>
        <w:t xml:space="preserve">nd that peer support is significant in predicting future expectations for this outcome for both LGBQ and heterosexual youth. For living to thirty-five, both peer support and relationship with </w:t>
      </w:r>
      <w:proofErr w:type="gramStart"/>
      <w:r w:rsidRPr="00C031AF">
        <w:rPr>
          <w:rFonts w:ascii="Times New Roman" w:hAnsi="Times New Roman" w:cs="Times New Roman"/>
          <w:sz w:val="24"/>
          <w:szCs w:val="24"/>
        </w:rPr>
        <w:t>caregiver</w:t>
      </w:r>
      <w:proofErr w:type="gramEnd"/>
      <w:r w:rsidRPr="00C031AF">
        <w:rPr>
          <w:rFonts w:ascii="Times New Roman" w:hAnsi="Times New Roman" w:cs="Times New Roman"/>
          <w:sz w:val="24"/>
          <w:szCs w:val="24"/>
        </w:rPr>
        <w:t xml:space="preserve"> </w:t>
      </w:r>
      <w:r w:rsidR="000A0D41">
        <w:rPr>
          <w:rFonts w:ascii="Times New Roman" w:hAnsi="Times New Roman" w:cs="Times New Roman"/>
          <w:sz w:val="24"/>
          <w:szCs w:val="24"/>
        </w:rPr>
        <w:t>was</w:t>
      </w:r>
      <w:r w:rsidRPr="00C031AF">
        <w:rPr>
          <w:rFonts w:ascii="Times New Roman" w:hAnsi="Times New Roman" w:cs="Times New Roman"/>
          <w:sz w:val="24"/>
          <w:szCs w:val="24"/>
        </w:rPr>
        <w:t xml:space="preserve"> significant in predicting higher log odds for reporting it will happen. However, when examining the interaction effects of sexual orientation and peer support, we f</w:t>
      </w:r>
      <w:r w:rsidR="000A0D41">
        <w:rPr>
          <w:rFonts w:ascii="Times New Roman" w:hAnsi="Times New Roman" w:cs="Times New Roman"/>
          <w:sz w:val="24"/>
          <w:szCs w:val="24"/>
        </w:rPr>
        <w:t>ou</w:t>
      </w:r>
      <w:r w:rsidRPr="00C031AF">
        <w:rPr>
          <w:rFonts w:ascii="Times New Roman" w:hAnsi="Times New Roman" w:cs="Times New Roman"/>
          <w:sz w:val="24"/>
          <w:szCs w:val="24"/>
        </w:rPr>
        <w:t xml:space="preserve">nd that peer support negatively </w:t>
      </w:r>
      <w:r w:rsidR="00A87CDC">
        <w:rPr>
          <w:rFonts w:ascii="Times New Roman" w:hAnsi="Times New Roman" w:cs="Times New Roman"/>
          <w:sz w:val="24"/>
          <w:szCs w:val="24"/>
        </w:rPr>
        <w:t>influenced</w:t>
      </w:r>
      <w:r w:rsidR="00A87CDC" w:rsidRPr="00C031AF">
        <w:rPr>
          <w:rFonts w:ascii="Times New Roman" w:hAnsi="Times New Roman" w:cs="Times New Roman"/>
          <w:sz w:val="24"/>
          <w:szCs w:val="24"/>
        </w:rPr>
        <w:t xml:space="preserve"> </w:t>
      </w:r>
      <w:r w:rsidRPr="00C031AF">
        <w:rPr>
          <w:rFonts w:ascii="Times New Roman" w:hAnsi="Times New Roman" w:cs="Times New Roman"/>
          <w:sz w:val="24"/>
          <w:szCs w:val="24"/>
        </w:rPr>
        <w:t>the expectations for living to thirty-five, indicating that LGBQ youth with higher levels of peer support had lower log odds of reporting living to thirty-five would happen. To study this effect further, we analyze</w:t>
      </w:r>
      <w:r w:rsidR="00C407E8">
        <w:rPr>
          <w:rFonts w:ascii="Times New Roman" w:hAnsi="Times New Roman" w:cs="Times New Roman"/>
          <w:sz w:val="24"/>
          <w:szCs w:val="24"/>
        </w:rPr>
        <w:t>d</w:t>
      </w:r>
      <w:r w:rsidRPr="00C031AF">
        <w:rPr>
          <w:rFonts w:ascii="Times New Roman" w:hAnsi="Times New Roman" w:cs="Times New Roman"/>
          <w:sz w:val="24"/>
          <w:szCs w:val="24"/>
        </w:rPr>
        <w:t xml:space="preserve"> the predicted probabilities and f</w:t>
      </w:r>
      <w:r w:rsidR="00C407E8">
        <w:rPr>
          <w:rFonts w:ascii="Times New Roman" w:hAnsi="Times New Roman" w:cs="Times New Roman"/>
          <w:sz w:val="24"/>
          <w:szCs w:val="24"/>
        </w:rPr>
        <w:t>ou</w:t>
      </w:r>
      <w:r w:rsidRPr="00C031AF">
        <w:rPr>
          <w:rFonts w:ascii="Times New Roman" w:hAnsi="Times New Roman" w:cs="Times New Roman"/>
          <w:sz w:val="24"/>
          <w:szCs w:val="24"/>
        </w:rPr>
        <w:t xml:space="preserve">nd that LGBQ youth with </w:t>
      </w:r>
      <w:r w:rsidR="00E0545F">
        <w:rPr>
          <w:rFonts w:ascii="Times New Roman" w:hAnsi="Times New Roman" w:cs="Times New Roman"/>
          <w:sz w:val="24"/>
          <w:szCs w:val="24"/>
        </w:rPr>
        <w:t xml:space="preserve">high peer support scores had lower predicted probabilities that living to thirty-five would happen for them. </w:t>
      </w:r>
      <w:r w:rsidR="00C407E8">
        <w:rPr>
          <w:rFonts w:ascii="Times New Roman" w:hAnsi="Times New Roman" w:cs="Times New Roman"/>
          <w:sz w:val="24"/>
          <w:szCs w:val="24"/>
        </w:rPr>
        <w:t xml:space="preserve">This finding did not support our </w:t>
      </w:r>
      <w:r w:rsidR="00A87CDC">
        <w:rPr>
          <w:rFonts w:ascii="Times New Roman" w:hAnsi="Times New Roman" w:cs="Times New Roman"/>
          <w:sz w:val="24"/>
          <w:szCs w:val="24"/>
        </w:rPr>
        <w:t>hypothesis and</w:t>
      </w:r>
      <w:r w:rsidR="00C407E8">
        <w:rPr>
          <w:rFonts w:ascii="Times New Roman" w:hAnsi="Times New Roman" w:cs="Times New Roman"/>
          <w:sz w:val="24"/>
          <w:szCs w:val="24"/>
        </w:rPr>
        <w:t xml:space="preserve"> is counterintuitive to the theory that peer support would serve as a protective factor. It may be that peer support specifically may highlight or exacerbate the stress LGBQ youth experience.</w:t>
      </w:r>
    </w:p>
    <w:p w14:paraId="3B8EA816" w14:textId="744D414B" w:rsidR="004F22A2" w:rsidRPr="00C031AF" w:rsidRDefault="004F22A2" w:rsidP="004F22A2">
      <w:pPr>
        <w:spacing w:line="480" w:lineRule="auto"/>
        <w:ind w:firstLine="720"/>
        <w:contextualSpacing/>
        <w:rPr>
          <w:rFonts w:ascii="Times New Roman" w:hAnsi="Times New Roman" w:cs="Times New Roman"/>
          <w:sz w:val="24"/>
          <w:szCs w:val="24"/>
        </w:rPr>
      </w:pPr>
      <w:r w:rsidRPr="00C031AF">
        <w:rPr>
          <w:rFonts w:ascii="Times New Roman" w:hAnsi="Times New Roman" w:cs="Times New Roman"/>
          <w:sz w:val="24"/>
          <w:szCs w:val="24"/>
        </w:rPr>
        <w:t xml:space="preserve">The findings from Chapter Three highlight the importance of caregiver and peer relationships in promoting positive or normative future expectations for youth as they navigate the child welfare system and their transition into adulthood. To improve these relationships, programs such as PII-RISE have been established to advocate for affirmative parenting practices and caregiver attitudes for LGBQ youth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{"citationID":"6LMDYE9Q","properties":{"formattedCitation":"(Austin et al. 2021)","plainCitation":"(Austin et al. 2021)","noteIndex":0},"citationItems":[{"id":347,"uris":["http://zotero.org/users/7501598/items/8WLIDVHL"],"itemData":{"id":347,"type":"article-journal","abstract":"Lesbian, gay, bisexual, transgender, or questioning (LGBTQ+) youth are notably overrepresented in the foster care system, often entering the child welfare system because of abuse or neglect associated with familial rejection of youths’ sexual orientation, gender identity, and/or gender expression. LGBTQ+ foster youth are often exposed to identity-based victimization within the foster care system. There is a call for evidence-informed interventions aimed at improving the well-being of LGBTQ+ youth in systems of care. This study examines the initial effec­ tiveness of AFFIRM Caregiver, a 7-session, manualized intervention aimed at enhancing affirmative parenting practices among foster parents. AFFIRM Caregiver was delivered to foster parents (n = 103) at two U.S. sites. Findings indicate significant improvements in affirmative caregiving attitudes, behaviors, and self-efficacy at post-test, as well as at the 3-month follow-up assessment. Given positive preliminary results, AFFIRM Caregiver represents a promising option to address a particularly notable challenge to the safety and well-being of LGBTQ+ youth in care.","container-title":"Children and Youth Services Review","DOI":"10.1016/j.childyouth.2021.106107","ISSN":"01907409","journalAbbreviation":"Children and Youth Services Review","language":"en","page":"106107","source":"DOI.org (Crossref)","title":"Preliminary effectiveness of an LGBTQ+ affirmative parenting intervention with foster parents","volume":"127","author":[{"family":"Austin","given":"Ashley"},{"family":"Craig","given":"Shelley L."},{"family":"Matarese","given":"Marlene"},{"family":"Greeno","given":"Elizabeth J."},{"family":"Weeks","given":"Angela"},{"family":"Betsinger","given":"S. Aaron"}],"issued":{"date-parts":[["2021",8]]}}}],"schema":"https://github.com/citation-style-language/schema/raw/master/csl-citation.json"}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(Austin et al. 2021)</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that could be implemented </w:t>
      </w:r>
      <w:r w:rsidRPr="00C031AF">
        <w:rPr>
          <w:rFonts w:ascii="Times New Roman" w:hAnsi="Times New Roman" w:cs="Times New Roman"/>
          <w:sz w:val="24"/>
          <w:szCs w:val="24"/>
        </w:rPr>
        <w:lastRenderedPageBreak/>
        <w:t xml:space="preserve">nationwide. For peer relationships, programs and policies could be implemented in schools to reduce harassment and bullying and increase supportive relationships among youth, such as gay-straight alliances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{"citationID":"qZ4hgoIZ","properties":{"formattedCitation":"(Johns et al. 2019)","plainCitation":"(Johns et al. 2019)","noteIndex":0},"citationItems":[{"id":145,"uris":["http://zotero.org/users/7501598/items/PR38J4J6"],"itemData":{"id":145,"type":"article-journal","abstract":"Lesbian, gay, bisexual, transgender, and queer/questioning (LGBTQ) adolescents face well-documented health disparities in suicide risk, substance use, and sexual health. These disparities are known to stem, in part, from stigma directed toward LGBTQ youth in the form of minority stressors such as violence, discrimination, and harassment. Given the proportion of time that LGBTQ students spend in school, schools provide a critical context within which protective factors may be developed and leveraged to improve the health and wellbeing of these populations. This article provides a summary of key findings from a discussion among researchers, practitioners, and community members who participated in “\nThe State of LGBTQ Youth Health and Wellbeing: Strengthening Schools and Families to Build Resilience,”\na public symposium held in June 2017. We detail emerging science on and future priorities for school-based research with LGBTQ youth which were identified by attendees at this meeting, with a particular focus on intersectionality, supportive adults in schools, and in-school programs. We call for more school-based research on priority gaps such as how LGBTQ students' intersecting identities affect their in-school experiences, how to design professional development programs that cultivate supportive educators, and how to leverage gay–straight alliances/gender and sexuality alliances as sites of health programming for LGBTQ students.","container-title":"LGBT health","DOI":"10.1089/lgbt.2018.0109","ISSN":"2325-8292","issue":"4","note":"publisher-place: United States\npublisher: United States: Mary Ann Liebert, Inc., publishers","page":"146-155","title":"Strengthening Our Schools to Promote Resilience and Health Among LGBTQ Youth: Emerging Evidence and Research Priorities from The State of LGBTQ Youth Health and Wellbeing Symposium","volume":"6","author":[{"family":"Johns","given":"Michelle M"},{"family":"Poteat","given":"V. Paul"},{"family":"Horn","given":"Stacey S"},{"family":"Kosciw","given":"Joseph"}],"issued":{"date-parts":[["2019"]]}}}],"schema":"https://github.com/citation-style-language/schema/raw/master/csl-citation.json"}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(Johns et al. 2019)</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w:t>
      </w:r>
    </w:p>
    <w:p w14:paraId="6AD31B06" w14:textId="02CBD81E" w:rsidR="004F22A2" w:rsidRPr="00C031AF" w:rsidRDefault="004F22A2" w:rsidP="004F22A2">
      <w:pPr>
        <w:spacing w:line="480" w:lineRule="auto"/>
        <w:ind w:firstLine="720"/>
        <w:contextualSpacing/>
        <w:rPr>
          <w:rFonts w:ascii="Times New Roman" w:hAnsi="Times New Roman" w:cs="Times New Roman"/>
          <w:sz w:val="24"/>
          <w:szCs w:val="24"/>
        </w:rPr>
      </w:pPr>
      <w:r w:rsidRPr="00C031AF">
        <w:rPr>
          <w:rFonts w:ascii="Times New Roman" w:hAnsi="Times New Roman" w:cs="Times New Roman"/>
          <w:sz w:val="24"/>
          <w:szCs w:val="24"/>
        </w:rPr>
        <w:t xml:space="preserve">Chapter Four is co-authored </w:t>
      </w:r>
      <w:r w:rsidR="00A87CDC">
        <w:rPr>
          <w:rFonts w:ascii="Times New Roman" w:hAnsi="Times New Roman" w:cs="Times New Roman"/>
          <w:sz w:val="24"/>
          <w:szCs w:val="24"/>
        </w:rPr>
        <w:t>with</w:t>
      </w:r>
      <w:r w:rsidRPr="00C031AF">
        <w:rPr>
          <w:rFonts w:ascii="Times New Roman" w:hAnsi="Times New Roman" w:cs="Times New Roman"/>
          <w:sz w:val="24"/>
          <w:szCs w:val="24"/>
        </w:rPr>
        <w:t xml:space="preserve"> Dr. Angela Pharris, Dr. Erin Maher, and Dr. Anthony Natale and was published in the </w:t>
      </w:r>
      <w:r w:rsidRPr="00C031AF">
        <w:rPr>
          <w:rFonts w:ascii="Times New Roman" w:hAnsi="Times New Roman" w:cs="Times New Roman"/>
          <w:i/>
          <w:iCs/>
          <w:sz w:val="24"/>
          <w:szCs w:val="24"/>
        </w:rPr>
        <w:t xml:space="preserve">Journal of Public Child Welfare </w:t>
      </w:r>
      <w:r w:rsidRPr="00C031AF">
        <w:rPr>
          <w:rFonts w:ascii="Times New Roman" w:hAnsi="Times New Roman" w:cs="Times New Roman"/>
          <w:sz w:val="24"/>
          <w:szCs w:val="24"/>
        </w:rPr>
        <w:t>in 2023. This chapter examine</w:t>
      </w:r>
      <w:r w:rsidR="00C407E8">
        <w:rPr>
          <w:rFonts w:ascii="Times New Roman" w:hAnsi="Times New Roman" w:cs="Times New Roman"/>
          <w:sz w:val="24"/>
          <w:szCs w:val="24"/>
        </w:rPr>
        <w:t>d</w:t>
      </w:r>
      <w:r w:rsidRPr="00C031AF">
        <w:rPr>
          <w:rFonts w:ascii="Times New Roman" w:hAnsi="Times New Roman" w:cs="Times New Roman"/>
          <w:sz w:val="24"/>
          <w:szCs w:val="24"/>
        </w:rPr>
        <w:t xml:space="preserve"> the severity of adverse childhood experiences (ACEs) among LGB youth in foster care and how professional support such as the caseworker influence</w:t>
      </w:r>
      <w:r w:rsidR="00C407E8">
        <w:rPr>
          <w:rFonts w:ascii="Times New Roman" w:hAnsi="Times New Roman" w:cs="Times New Roman"/>
          <w:sz w:val="24"/>
          <w:szCs w:val="24"/>
        </w:rPr>
        <w:t>d</w:t>
      </w:r>
      <w:r w:rsidRPr="00C031AF">
        <w:rPr>
          <w:rFonts w:ascii="Times New Roman" w:hAnsi="Times New Roman" w:cs="Times New Roman"/>
          <w:sz w:val="24"/>
          <w:szCs w:val="24"/>
        </w:rPr>
        <w:t xml:space="preserve"> LGB youth’s hope. Youth in child welfare, and particularly those placed in foster care, report higher ACEs than the general population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{"citationID":"hIJV8uzt","properties":{"formattedCitation":"(Turney and Wildeman 2016)","plainCitation":"(Turney and Wildeman 2016)","noteIndex":0},"citationItems":[{"id":142,"uris":["http://zotero.org/users/7501598/items/CSJ6ML6N"],"itemData":{"id":142,"type":"article-journal","abstract":"Abstract Despite good reason to believe that children in foster care are disproportionately exposed to adverse childhood experiences (ACEs), relatively little research considers exposure to ACEs among this group of vulnerable children. In this article, we use data from the 2011–2012 National Survey of Children’s Health (NSCH), a nationally representative sample of non-institutionalized children ages 0–17 in the United States, to estimate the association between foster care placement and exposure to an array of ACEs. In adjusted logistic regression models, we find that children placed in foster care or adopted from foster care, compared to their counterparts, were more likely to experience parental divorce or separation, parental death, parental incarceration, parental abuse, violence exposure, household member mental illness, and household member substance abuse. These children were also more likely to experience ACEs than children across different thresholds of socioeconomic disadvantage (e.g., children in households with incomes below the poverty line) and across different family structures (e.g., children in single-mother families). These results advance our understanding of how children in foster care, an already vulnerable population, are disproportionately exposed to ACEs. This exposure, given the link between ACEs and health, may have implications for children’s health and wellbeing throughout the life course.","container-title":"Child abuse &amp; neglect","DOI":"10.1016/j.chiabu.2016.12.009","ISSN":"0145-2134","note":"publisher-place: England\npublisher: England: Elsevier Ltd","page":"117-129","title":"Adverse childhood experiences among children placed in and adopted from foster care: Evidence from a nationally representative survey","volume":"64","author":[{"family":"Turney","given":"Kristin"},{"family":"Wildeman","given":"Christopher"}],"issued":{"date-parts":[["2016"]]}}}],"schema":"https://github.com/citation-style-language/schema/raw/master/csl-citation.json"}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(Turney and Wildeman 2016)</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Sexual minority youth are also more likely to experience ACEs such as verbal and physical harassment and sexual abuse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{"citationID":"4mGD5xxq","properties":{"formattedCitation":"(Fish et al. 2019)","plainCitation":"(Fish et al. 2019)","noteIndex":0},"citationItems":[{"id":150,"uris":["http://zotero.org/users/7501598/items/LFVXHAYH"],"itemData":{"id":150,"type":"article-journal","abstract":"Background\nPreliminary evidence suggests that sexual minority (e.g. lesbian, gay, bisexual, and same-sex attracted) youth are overrepresented in child welfare services. Yet, no study to date has been able to test this hypothesis with national data.\nObjective\nUsing a two-study design, we test whether sexual minority youth are overrepresented in child welfare, foster care, and out-of-home placement using nationally representative data from the United States.\nParticipants and setting\nStudy 1 data are from the National Longitudinal Study of Adolescent to Adult Health (n = 14,154; Mean age = 15.4). Study 2 data are from wave three of the National Survey of Child and Adolescent Well-Being II (n = 1309; Mean age = 15.0).\nMethods\nFor Study 1, we use adjusted logistic regression models to test differences in lifetime foster care involvement between sexual minority and heterosexual youth. In Study 2, we calculate a Disproportionality Representation Index (DRI) – a ratio of sample prevalence relative to the general population – to estimate whether sexual minority youth were overrepresented in child welfare and out-of-home care.\nResults\nStudy 1 results indicate that sexual minority youth are nearly 2.5 times as likely as heterosexual youth to experience foster care placement (aOR = 2.43, 95% CI 1.40, 4.21, p = .002). Results from Study 2 show that sexual minority youth were largely overrepresented in child welfare services (DRI = 1.95–2.48) and out-of-home placement (DRI = 3.69–4.68).\nConclusions\nFindings are the first to demonstrate sexual minority youth’s overrepresentation in child welfare, foster care, and out-of-home placement using nationally representative data and emphasizes the need for focused research on sexual minority youth involved in the child welfare system.","container-title":"Child Abuse &amp; Neglect","DOI":"10.1016/j.chiabu.2019.01.005","ISSN":"0145-2134","journalAbbreviation":"Child Abuse &amp; Neglect","page":"203-211","title":"Are sexual minority youth overrepresented in foster care, child welfare, and out-of-home placement? Findings from nationally representative data","volume":"89","author":[{"family":"Fish","given":"Jessica N."},{"family":"Baams","given":"Laura"},{"family":"Wojciak","given":"Armeda Stevenson"},{"family":"Russell","given":"Stephen T."}],"issued":{"date-parts":[["2019",3,1]]}}}],"schema":"https://github.com/citation-style-language/schema/raw/master/csl-citation.json"}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(Fish et al. 2019)</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Hope theory suggests that individuals who have experienced ACEs but have high hope can use hope as a buffer and may mediate the effects of ACEs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{"citationID":"Bz3S1IYt","properties":{"formattedCitation":"(Munoz et al. 2018; Snyder 2002)","plainCitation":"(Munoz et al. 2018; Snyder 2002)","noteIndex":0},"citationItems":[{"id":107,"uris":["http://zotero.org/users/7501598/items/NEEHKN7W"],"itemData":{"id":107,"type":"article-journal","container-title":"Traumatology","DOI":"10.1037/trm0000149","ISSN":"1085-9373","issue":"3","note":"publisher: US: Educational Publishing Foundation","page":"209","source":"psycnet.apa.org","title":"Adverse childhood experiences and posttraumatic stress as an antecedent of anxiety and lower hope.","volume":"24","author":[{"family":"Munoz","given":"Ricky T."},{"family":"Pearson","given":"Lydia C."},{"family":"Hellman","given":"Chan M."},{"family":"McIntosh","given":"Heather Chancellor"},{"family":"Khojasteh","given":"Jam"},{"family":"Fox","given":"Mark D."}],"issued":{"date-parts":[["2018"]]}}},{"id":154,"uris":["http://zotero.org/users/7501598/items/QSEP4FPI"],"itemData":{"id":154,"type":"article-journal","container-title":"Psychological Inquiry","DOI":"10.1207/S15327965PLI1304_01","ISSN":"1047-840X","issue":"4","journalAbbreviation":"null","note":"publisher: Routledge","page":"249-275","title":"TARGET ARTICLE: Hope Theory: Rainbows in the Mind","volume":"13","author":[{"family":"Snyder","given":"C. R."}],"issued":{"date-parts":[["2002",10,1]]}}}],"schema":"https://github.com/citation-style-language/schema/raw/master/csl-citation.json"}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(Munoz et al. 2018; Snyder 2002)</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Individuals with higher hope indicate better social support, suggesting that hopeful thinking is developed partly through connections with others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{"citationID":"yShHXgCW","properties":{"formattedCitation":"(Barnum et al. 1998; Merka\\uc0\\u353{} and Braj\\uc0\\u353{}a-\\uc0\\u381{}ganec 2011)","plainCitation":"(Barnum et al. 1998; Merkaš and Brajša-Žganec 2011)","noteIndex":0},"citationItems":[{"id":2060,"uris":["http://zotero.org/users/7501598/items/RLM7L72H"],"itemData":{"id":2060,"type":"article-journal","abstract":"Examined the predictor variables of hope and social support in relation to the criterion variables of psychosocial outcome in 15 13–19 yr olds who survived burn injuries and a matched peer sample of 14 adolescents. Participants completed an instrument packet including the Self-Perception Profile, the Profile of Mood States, The Social Support Rating Scale, the Hope Scale, the Functional Disability Inventory, and the Child Behavior Checklist. Few differences were detected between the burn survivor and peer comparison groups. The one exception to this conclusion was that adolescents in the comparison group were reported to exhibit greater behavioral disturbances than the burn survivor group. Higher hope contributed to unique variance to the prediction of less externalizing behaviors (disruptive behavior disorders) and increased global self-worth. More social support contributed unique variance to the prediction of global self-worth. Theoretical and practical implications of hope as well as social support are discussed with regard to children in general and children recovering from burns in particular. (PsycInfo Database Record (c) 2022 APA, all rights reserved)","container-title":"Children's Health Care","DOI":"10.1207/s15326888chc2701_2","ISSN":"1532-6888","issue":"1","note":"publisher-place: US\npublisher: Lawrence Erlbaum","page":"15-30","source":"APA PsycNet","title":"Hope and social support in the psychological adjustment of children who have survived burn injuries and their matched controls","volume":"27","author":[{"family":"Barnum","given":"David D."},{"family":"Snyder","given":"C. R."},{"family":"Rapoff","given":"Michael A."},{"family":"Mani","given":"Mani M."},{"family":"Thompson","given":"Rosie"}],"issued":{"date-parts":[["1998"]]}}},{"id":2062,"uris":["http://zotero.org/users/7501598/items/2DIFXRWF"],"itemData":{"id":2062,"type":"article-journal","abstract":"The purpose of the present study was to compare children with different levels of hope on measures of life satisfaction, self-esteem, family cohesion, and social support. Two hundred and ninety-eight children filled out measures of hope, life satisfaction, self-esteem, family cohesion, and perceived social support. The results revealed no age or gender differences in hope. A hierarchical cluster analysis was preformed on the Children’s Hope Scale scores (Snyder et al. Journal of Pediatric Psychology 22(3):399–421, 1997). Results from a cluster analysis placed children into either a low- or high-hope group. In line with the predictions of hope theory, children with high hope were more satisfied with their life and had higher self-esteem when compared to children with low hope. Additionally, children with high hope, when compared to children with low hope, reported greater support from others and higher level of family cohesion. The usefulness of children’s hope as a positive indicator that differentiates children on various measures is explored in this paper.","container-title":"Child Indicators Research","DOI":"10.1007/s12187-011-9105-7","ISSN":"1874-8988","issue":"3","journalAbbreviation":"Child Ind Res","language":"en","page":"499-514","source":"Springer Link","title":"Children with Different Levels of Hope: Are There Differences in Their Self-esteem, Life Satisfaction, Social Support, and Family Cohesion?","title-short":"Children with Different Levels of Hope","volume":"4","author":[{"family":"Merkaš","given":"Marina"},{"family":"Brajša-Žganec","given":"Andreja"}],"issued":{"date-parts":[["2011",7,1]]}}}],"schema":"https://github.com/citation-style-language/schema/raw/master/csl-citation.json"}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(Barnum et al. 1998; Merkaš and Brajša-Žganec 2011)</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Given that youth in foster care may lack stable, continuous, and supportive relationships, this chapter explores caseworkers as a source of support that can influence youth’s hope and therefore well-being.</w:t>
      </w:r>
    </w:p>
    <w:p w14:paraId="3FC09683" w14:textId="2A5C0C63" w:rsidR="004F22A2" w:rsidRPr="00C031AF" w:rsidRDefault="004F22A2" w:rsidP="00F80680">
      <w:pPr>
        <w:spacing w:line="480" w:lineRule="auto"/>
        <w:ind w:firstLine="720"/>
        <w:contextualSpacing/>
        <w:rPr>
          <w:rFonts w:ascii="Times New Roman" w:hAnsi="Times New Roman" w:cs="Times New Roman"/>
          <w:sz w:val="24"/>
          <w:szCs w:val="24"/>
        </w:rPr>
      </w:pPr>
      <w:r w:rsidRPr="00C031AF">
        <w:rPr>
          <w:rFonts w:ascii="Times New Roman" w:hAnsi="Times New Roman" w:cs="Times New Roman"/>
          <w:sz w:val="24"/>
          <w:szCs w:val="24"/>
        </w:rPr>
        <w:t>To examine the relationship between LGB status, ACEs, and the caseworker as a source of hope, we use</w:t>
      </w:r>
      <w:r w:rsidR="00F80680">
        <w:rPr>
          <w:rFonts w:ascii="Times New Roman" w:hAnsi="Times New Roman" w:cs="Times New Roman"/>
          <w:sz w:val="24"/>
          <w:szCs w:val="24"/>
        </w:rPr>
        <w:t>d</w:t>
      </w:r>
      <w:r w:rsidRPr="00C031AF">
        <w:rPr>
          <w:rFonts w:ascii="Times New Roman" w:hAnsi="Times New Roman" w:cs="Times New Roman"/>
          <w:sz w:val="24"/>
          <w:szCs w:val="24"/>
        </w:rPr>
        <w:t xml:space="preserve"> survey data collected from young people aged 14-19 who were in state-managed foster care services, including kinship care, foster care, or residential settings. This data was collected as part of a larger study examining well-being through hopeful thinking among older youth in foster care in the state of Oklahoma. Our sample consist</w:t>
      </w:r>
      <w:r w:rsidR="00F80680">
        <w:rPr>
          <w:rFonts w:ascii="Times New Roman" w:hAnsi="Times New Roman" w:cs="Times New Roman"/>
          <w:sz w:val="24"/>
          <w:szCs w:val="24"/>
        </w:rPr>
        <w:t>ed</w:t>
      </w:r>
      <w:r w:rsidRPr="00C031AF">
        <w:rPr>
          <w:rFonts w:ascii="Times New Roman" w:hAnsi="Times New Roman" w:cs="Times New Roman"/>
          <w:sz w:val="24"/>
          <w:szCs w:val="24"/>
        </w:rPr>
        <w:t xml:space="preserve"> of 145 youth, 28 of wh</w:t>
      </w:r>
      <w:r w:rsidR="00F80680">
        <w:rPr>
          <w:rFonts w:ascii="Times New Roman" w:hAnsi="Times New Roman" w:cs="Times New Roman"/>
          <w:sz w:val="24"/>
          <w:szCs w:val="24"/>
        </w:rPr>
        <w:t>om</w:t>
      </w:r>
      <w:r w:rsidRPr="00C031AF">
        <w:rPr>
          <w:rFonts w:ascii="Times New Roman" w:hAnsi="Times New Roman" w:cs="Times New Roman"/>
          <w:sz w:val="24"/>
          <w:szCs w:val="24"/>
        </w:rPr>
        <w:t xml:space="preserve"> identified as lesbian, gay, or bisexual (19%). We first examine</w:t>
      </w:r>
      <w:r w:rsidR="00F80680">
        <w:rPr>
          <w:rFonts w:ascii="Times New Roman" w:hAnsi="Times New Roman" w:cs="Times New Roman"/>
          <w:sz w:val="24"/>
          <w:szCs w:val="24"/>
        </w:rPr>
        <w:t>d</w:t>
      </w:r>
      <w:r w:rsidRPr="00C031AF">
        <w:rPr>
          <w:rFonts w:ascii="Times New Roman" w:hAnsi="Times New Roman" w:cs="Times New Roman"/>
          <w:sz w:val="24"/>
          <w:szCs w:val="24"/>
        </w:rPr>
        <w:t xml:space="preserve"> the bivariate comparisons </w:t>
      </w:r>
      <w:r w:rsidRPr="00C031AF">
        <w:rPr>
          <w:rFonts w:ascii="Times New Roman" w:hAnsi="Times New Roman" w:cs="Times New Roman"/>
          <w:sz w:val="24"/>
          <w:szCs w:val="24"/>
        </w:rPr>
        <w:lastRenderedPageBreak/>
        <w:t>of both ACEs and hope in their caseworker between LGB and non-LGB youth, then conduct</w:t>
      </w:r>
      <w:r w:rsidR="00F80680">
        <w:rPr>
          <w:rFonts w:ascii="Times New Roman" w:hAnsi="Times New Roman" w:cs="Times New Roman"/>
          <w:sz w:val="24"/>
          <w:szCs w:val="24"/>
        </w:rPr>
        <w:t>ed</w:t>
      </w:r>
      <w:r w:rsidRPr="00C031AF">
        <w:rPr>
          <w:rFonts w:ascii="Times New Roman" w:hAnsi="Times New Roman" w:cs="Times New Roman"/>
          <w:sz w:val="24"/>
          <w:szCs w:val="24"/>
        </w:rPr>
        <w:t xml:space="preserve"> three stepwise OLS regression analyses to examine whether sexual orientation and high ACE scores predict differences in hope in the youth’s caseworker. Our bivariate comparisons reveal</w:t>
      </w:r>
      <w:r w:rsidR="00F80680">
        <w:rPr>
          <w:rFonts w:ascii="Times New Roman" w:hAnsi="Times New Roman" w:cs="Times New Roman"/>
          <w:sz w:val="24"/>
          <w:szCs w:val="24"/>
        </w:rPr>
        <w:t>ed</w:t>
      </w:r>
      <w:r w:rsidRPr="00C031AF">
        <w:rPr>
          <w:rFonts w:ascii="Times New Roman" w:hAnsi="Times New Roman" w:cs="Times New Roman"/>
          <w:sz w:val="24"/>
          <w:szCs w:val="24"/>
        </w:rPr>
        <w:t xml:space="preserve"> that over one-third of LGB youth in our sample (39%) have experienced eight or more ACEs, indicating a high level of exposure to childhood trauma, though not significantly different from non-LGB youth (27%). In our multivariate analyses, we f</w:t>
      </w:r>
      <w:r w:rsidR="00F80680">
        <w:rPr>
          <w:rFonts w:ascii="Times New Roman" w:hAnsi="Times New Roman" w:cs="Times New Roman"/>
          <w:sz w:val="24"/>
          <w:szCs w:val="24"/>
        </w:rPr>
        <w:t>ou</w:t>
      </w:r>
      <w:r w:rsidRPr="00C031AF">
        <w:rPr>
          <w:rFonts w:ascii="Times New Roman" w:hAnsi="Times New Roman" w:cs="Times New Roman"/>
          <w:sz w:val="24"/>
          <w:szCs w:val="24"/>
        </w:rPr>
        <w:t xml:space="preserve">nd that there is an interaction effect between sexual orientation and having experienced eight or more ACEs, indicating that LGB youth who have experienced such adversity (high ACEs and a marginalized sexual identity) have increased hope in their caseworker. </w:t>
      </w:r>
    </w:p>
    <w:p w14:paraId="5A5AF7A1" w14:textId="77777777" w:rsidR="004F22A2" w:rsidRPr="00C031AF" w:rsidRDefault="004F22A2" w:rsidP="004F22A2">
      <w:pPr>
        <w:spacing w:line="480" w:lineRule="auto"/>
        <w:ind w:firstLine="720"/>
        <w:contextualSpacing/>
        <w:rPr>
          <w:rFonts w:ascii="Times New Roman" w:hAnsi="Times New Roman" w:cs="Times New Roman"/>
          <w:sz w:val="24"/>
          <w:szCs w:val="24"/>
        </w:rPr>
      </w:pPr>
      <w:r w:rsidRPr="00C031AF">
        <w:rPr>
          <w:rFonts w:ascii="Times New Roman" w:hAnsi="Times New Roman" w:cs="Times New Roman"/>
          <w:sz w:val="24"/>
          <w:szCs w:val="24"/>
        </w:rPr>
        <w:t>The findings from Chapter Four demonstrate how vulnerable LGBQ youth in child welfare, and particularly those placed in foster care, truly are. Felitti et al (1998) indicated in their study on ACEs and adulthood outcomes that respondents with 4 or more ACEs had higher risk for alcoholism, drug abuse, depression, suicide, and diseases such as obesity, heart disease, and cancer. Our finding that nearly 40% of LGB youth experienced 8 or more ACEs is a cause for concern that these youth are at great risk for early mortality and detrimental health and well-being outcomes as they enter adulthood. However, our finding that these youth had higher hope in their caseworker should point to the strength of positive mentoring relationships that can be developed within the child welfare system. The implications of these findings point to a need for training caseworkers on the unique needs and circumstances surrounding LGB youth and their disproportionate representation in the child welfare system, as well as programming to incorporate hope-centered values that give attention to youth’s goals and planning for their future.</w:t>
      </w:r>
    </w:p>
    <w:p w14:paraId="0554EF35" w14:textId="34D4D4CA" w:rsidR="00171D74" w:rsidRDefault="004F22A2" w:rsidP="004F22A2">
      <w:pPr>
        <w:spacing w:line="480" w:lineRule="auto"/>
        <w:ind w:firstLine="720"/>
        <w:contextualSpacing/>
        <w:rPr>
          <w:rFonts w:ascii="Times New Roman" w:hAnsi="Times New Roman" w:cs="Times New Roman"/>
          <w:sz w:val="24"/>
          <w:szCs w:val="24"/>
        </w:rPr>
      </w:pPr>
      <w:r w:rsidRPr="00C031AF">
        <w:rPr>
          <w:rFonts w:ascii="Times New Roman" w:hAnsi="Times New Roman" w:cs="Times New Roman"/>
          <w:sz w:val="24"/>
          <w:szCs w:val="24"/>
        </w:rPr>
        <w:lastRenderedPageBreak/>
        <w:t xml:space="preserve">Given the disproportionate representation of sexual minority youth in the child welfare system and placed into foster care and based on the limited research available, their poorer outcomes, the findings from this research have important implications. First, by recognizing the disparate outcomes for LGBQ youth within child welfare, policies and programs could be developed to improve their well-being. The current field of research in child welfare indicates the importance of child welfare professionals in determining the type of placements youth are placed in, the services they receive, and the trajectory of their cases while involved in the welfare system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{"citationID":"ZNZE1Heg","properties":{"formattedCitation":"(Glisson and Green 2011; Smith et al. 2019)","plainCitation":"(Glisson and Green 2011; Smith et al. 2019)","noteIndex":0},"citationItems":[{"id":1574,"uris":["http://zotero.org/groups/4698059/items/7UJ6IX6Y"],"itemData":{"id":1574,"type":"article-journal","abstract":"Objective\nThis study examines the association of organizational climate, casework services, and youth outcomes in child welfare systems. Building on preliminary findings linking organizational climate to youth outcomes over a 3-year follow-up period, the current study extends the follow-up period to 7 years and tests main, moderating and mediating effects of organizational climate and casework services on outcomes.\nMethods\nThe study applies hierarchical linear models (HLMs) analyses to all 5 waves of the National Survey of Child and Adolescent Well-being (NSCAW) with a US nationwide sample of 1,678 maltreated youth aged 4–16 years and 1,696 caseworkers from 88 child welfare systems. Organizational climate is assessed on 2 dimensions, Engagement and Stress, with scales from the well established measure, Organizational Social Context (OSC); youth outcomes are measured as problems in psychosocial functioning with the Child Behavior Checklist (CBCL); and casework services are assessed with original scales developed for the study and completed by the maltreated youths’ primary caregivers and caseworkers.\nResults\nMaltreated youth served by child welfare systems with more engaged organizational climates have significantly better outcomes. Moreover, the quantity and quality of casework services neither mediate nor interact with the effects of organizational climate on youth outcomes.\nConclusions\nOrganizational climate is associated with youth outcomes in child welfare systems, but a better understanding is needed of the mechanisms that link organizational climate to outcomes. In addition, there is a need for evidence-based organizational interventions that can improve the organizational climates and effectiveness of child welfare systems.","container-title":"Child Abuse &amp; Neglect","DOI":"10.1016/j.chiabu.2011.04.009","ISSN":"0145-2134","issue":"8","journalAbbreviation":"Child Abuse &amp; Neglect","language":"en","page":"582-591","source":"ScienceDirect","title":"Organizational climate, services, and outcomes in child welfare systems","volume":"35","author":[{"family":"Glisson","given":"Charles"},{"family":"Green","given":"Philip"}],"issued":{"date-parts":[["2011",8,1]]}}},{"id":77,"uris":["http://zotero.org/users/7501598/items/8HGR5Y93"],"itemData":{"id":77,"type":"article-journal","abstract":"This study examined the impact of the structure of child welfare organizations (i.e., worker specialization and service integration) on the decision to provide ongoing services. A subsample of 4,949 investigations from 16 agencies that participated in the Ontario Incidence Study of Reported Child Abuse and Neglect – 2013 was included. Specialization and service integration did not predict ongoing service provision in the final models. Based on an examination of the variance at the organizational level, it is clear that organizational factors impact decision making, but the nature of this impact remains unexplained.","container-title":"Human Service Organizations: Management, Leadership &amp; Governance","DOI":"10.1080/23303131.2019.1661928","ISSN":"2330-3131","issue":"5","note":"publisher: Routledge\n_eprint: https://doi.org/10.1080/23303131.2019.1661928","page":"375-391","source":"Taylor and Francis+NEJM","title":"Organizational Structure and the Ongoing Service Decision: The Influence of Role Specialization and Service Integration","title-short":"Organizational Structure and the Ongoing Service Decision","volume":"43","author":[{"family":"Smith","given":"Carrie"},{"family":"Fallon","given":"Barbara"},{"family":"Fluke","given":"John D."},{"family":"Mishna","given":"Faye"},{"family":"Decker Pierce","given":"Barbara"}],"issued":{"date-parts":[["2019",10,20]]}}}],"schema":"https://github.com/citation-style-language/schema/raw/master/csl-citation.json"}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(Glisson and Green 2011; Smith et al. 2019)</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Unfortunately, many child welfare professionals are not trained in LGBQ-youth specific issues that can lead to inadequate service provision, more restrictive placements, and lack of permanency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{"citationID":"lrMx1MRl","properties":{"formattedCitation":"(Mallon 1998; Wilson and Kastanis 2015)","plainCitation":"(Mallon 1998; Wilson and Kastanis 2015)","noteIndex":0},"citationItems":[{"id":244,"uris":["http://zotero.org/users/7501598/items/JCSP75VP"],"itemData":{"id":244,"type":"paper-conference","title":"We Don't Exactly Get the Welcome Wagon: The Experiences of Gay and Lesbian Adolescents in Child Welfare Systems","author":[{"family":"Mallon","given":"Gerald P."}],"issued":{"date-parts":[["1998"]]}}},{"id":242,"uris":["http://zotero.org/users/7501598/items/5IKH5KVD"],"itemData":{"id":242,"type":"article-journal","abstract":"Empirical research is needed to support ongoing efforts to improve services for sexual and gender minority youth in foster care. Further, data on the presence of sexual and gender minority youth within the child welfare system are needed to encourage counties that have not yet begun to engage in any efforts to address the unique needs and barriers to permanency for these youth. The current study reports on the ﬁndings of the Los Angeles Foster Youth Survey (LAFYS) which was designed to assess the proportion of youth placed in the Los Angeles County public child welfare system who are LGBTQ and to examine their experiences in communities, schools, and foster care. Findings indicate that approximately 19% of Los Angeles foster youth are LGBTQ. This proportion of youth is signiﬁcantly higher than estimates of adolescent and young adult sexual and gender minority identiﬁcation rates in the general population. Further, analyses also indicate that sexual and gender minority youth in this study are less satisﬁed with their child welfare system experience, are more likely to experience homelessness, are moved around to more placements, and are experiencing higher levels of emotional distress compared to their nonLGBTQ counterparts.","container-title":"Children and Youth Services Review","DOI":"10.1016/j.childyouth.2015.08.016","ISSN":"01907409","journalAbbreviation":"Children and Youth Services Review","language":"en","page":"11-17","source":"DOI.org (Crossref)","title":"Sexual and gender minority disproportionality and disparities in child welfare: A population-based study","title-short":"Sexual and gender minority disproportionality and disparities in child welfare","volume":"58","author":[{"family":"Wilson","given":"Bianca D.M."},{"family":"Kastanis","given":"Angeliki A."}],"issued":{"date-parts":[["2015",11]]}}}],"schema":"https://github.com/citation-style-language/schema/raw/master/csl-citation.json"}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(Mallon 1998; Wilson and Kastanis 2015)</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They could bring bias and discrimination into their work, as well. The development of new interventions could include policies aimed at reducing bias and discriminatory practices by child welfare professionals and strengthening supportive practices</w:t>
      </w:r>
      <w:r w:rsidR="00937C67">
        <w:rPr>
          <w:rFonts w:ascii="Times New Roman" w:hAnsi="Times New Roman" w:cs="Times New Roman"/>
          <w:sz w:val="24"/>
          <w:szCs w:val="24"/>
        </w:rPr>
        <w:t xml:space="preserve"> </w:t>
      </w:r>
      <w:r w:rsidR="00A66E65">
        <w:rPr>
          <w:rFonts w:ascii="Times New Roman" w:hAnsi="Times New Roman" w:cs="Times New Roman"/>
          <w:sz w:val="24"/>
          <w:szCs w:val="24"/>
        </w:rPr>
        <w:t xml:space="preserve">geared toward inclusion and acceptance for LGBQ youth, such as </w:t>
      </w:r>
      <w:r w:rsidR="006A69C3">
        <w:rPr>
          <w:rFonts w:ascii="Times New Roman" w:hAnsi="Times New Roman" w:cs="Times New Roman"/>
          <w:sz w:val="24"/>
          <w:szCs w:val="24"/>
        </w:rPr>
        <w:t>affirming and nondiscriminatory placements and services</w:t>
      </w:r>
      <w:r w:rsidRPr="00C031AF">
        <w:rPr>
          <w:rFonts w:ascii="Times New Roman" w:hAnsi="Times New Roman" w:cs="Times New Roman"/>
          <w:sz w:val="24"/>
          <w:szCs w:val="24"/>
        </w:rPr>
        <w:t xml:space="preserve">. </w:t>
      </w:r>
    </w:p>
    <w:p w14:paraId="38B58080" w14:textId="72C950DF" w:rsidR="00171D74" w:rsidRDefault="004F22A2" w:rsidP="004F22A2">
      <w:pPr>
        <w:spacing w:line="480" w:lineRule="auto"/>
        <w:ind w:firstLine="720"/>
        <w:contextualSpacing/>
        <w:rPr>
          <w:rFonts w:ascii="Times New Roman" w:hAnsi="Times New Roman" w:cs="Times New Roman"/>
          <w:sz w:val="24"/>
          <w:szCs w:val="24"/>
        </w:rPr>
      </w:pPr>
      <w:r w:rsidRPr="00C031AF">
        <w:rPr>
          <w:rFonts w:ascii="Times New Roman" w:hAnsi="Times New Roman" w:cs="Times New Roman"/>
          <w:sz w:val="24"/>
          <w:szCs w:val="24"/>
        </w:rPr>
        <w:t xml:space="preserve">Second, in identifying the mechanisms that can improve well-being outcomes for LGBQ youth, targeted interventions can be developed to promote hope, self-esteem, and positive future expectations. Programs focused on improving relationships between LGBQ youth and their caregivers can provide benefits that include developing caregiver knowledge and skills and increasing youth’s self-esteem and sense of support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{"citationID":"QZpVS2bZ","properties":{"formattedCitation":"(Austin et al. 2021; Collins, Spencer, and Ward 2010; Salazar et al. 2020)","plainCitation":"(Austin et al. 2021; Collins, Spencer, and Ward 2010; Salazar et al. 2020)","dontUpdate":true,"noteIndex":0},"citationItems":[{"id":347,"uris":["http://zotero.org/users/7501598/items/8WLIDVHL"],"itemData":{"id":347,"type":"article-journal","abstract":"Lesbian, gay, bisexual, transgender, or questioning (LGBTQ+) youth are notably overrepresented in the foster care system, often entering the child welfare system because of abuse or neglect associated with familial rejection of youths’ sexual orientation, gender identity, and/or gender expression. LGBTQ+ foster youth are often exposed to identity-based victimization within the foster care system. There is a call for evidence-informed interventions aimed at improving the well-being of LGBTQ+ youth in systems of care. This study examines the initial effec­ tiveness of AFFIRM Caregiver, a 7-session, manualized intervention aimed at enhancing affirmative parenting practices among foster parents. AFFIRM Caregiver was delivered to foster parents (n = 103) at two U.S. sites. Findings indicate significant improvements in affirmative caregiving attitudes, behaviors, and self-efficacy at post-test, as well as at the 3-month follow-up assessment. Given positive preliminary results, AFFIRM Caregiver represents a promising option to address a particularly notable challenge to the safety and well-being of LGBTQ+ youth in care.","container-title":"Children and Youth Services Review","DOI":"10.1016/j.childyouth.2021.106107","ISSN":"01907409","journalAbbreviation":"Children and Youth Services Review","language":"en","page":"106107","source":"DOI.org (Crossref)","title":"Preliminary effectiveness of an LGBTQ+ affirmative parenting intervention with foster parents","volume":"127","author":[{"family":"Austin","given":"Ashley"},{"family":"Craig","given":"Shelley L."},{"family":"Matarese","given":"Marlene"},{"family":"Greeno","given":"Elizabeth J."},{"family":"Weeks","given":"Angela"},{"family":"Betsinger","given":"S. Aaron"}],"issued":{"date-parts":[["2021",8]]}}},{"id":434,"uris":["http://zotero.org/users/7501598/items/8FTLU6W7"],"itemData":{"id":434,"type":"article-journal","abstract":"Social support is needed by everyone, but particularly by vulnerable populations at times of transition. This study utilizes data collected from 96 former foster youth regarding supports they received during the transition from care. The report addresses three questions: (1) What types of supportive relationships did the sample report? (2) What are the characteristics of supportive relationships? (3) What is the relationship of social support to outcomes? Based on the analysis, the authors draw implications for intervention and research.","container-title":"Child welfare","journalAbbreviation":"Child welfare","page":"125-43","source":"ResearchGate","title":"Supporting Youth in the Transition from Foster Care: Formal and Informal Connections","title-short":"Supporting Youth in the Transition from Foster Care","volume":"89","author":[{"family":"Collins","given":"Mary"},{"family":"Spencer","given":"Renée"},{"family":"Ward","given":"Rolanda"}],"issued":{"date-parts":[["2010",1,1]]}}},{"id":348,"uris":["http://zotero.org/users/7501598/items/3G6IPJPV"],"itemData":{"id":348,"type":"article-journal","abstract":"LGBTQ+ youth are over-represented in the foster care system. Child welfare systems across the country have been struggling with how to make their systems work better for the LGBTQ+ youth they serve. One strategy is developing foster caregiver trainings that bolster caregivers’ knowledge and support of LGBTQ+ youth in their care. This study has three aims: (1) to provide an overview of a module designed to support relationship building between LGBTQ+ youth in foster care and their caregivers, (2) to describe the theater testing procedure used to assess usability of the developed module with foster caregivers and adults, and (3) to share the results of the theater test. Overall, participants provided positive usability feedback about the module activities, as well as a wide variety of recommendations for strengthening the content for widespread use. Participants felt the module should be directed specifically toward caregiver skill development rather than toward both caregiver and youth support. This module represents one example of how materials focused on building foster caregivers’ knowledge and support have the potential to help LGBTQ+ teens who are overrepresented in the foster care system.","container-title":"Sexuality research &amp; social policy : journal of NSRC : SR &amp; SP","DOI":"10.1007/s13178-019-00387-z","ISSN":"1868-9884","issue":"2","journalAbbreviation":"Sex Res Social Policy","note":"PMID: 32431761\nPMCID: PMC7236553","page":"239-251","source":"PubMed Central","title":"Supporting LGBTQ+ Foster Teens: Development of a Relationship-Focused, Self-Guided Curriculum for Foster Families","title-short":"Supporting LGBTQ+ Foster Teens","volume":"17","author":[{"family":"Salazar","given":"Amy M."},{"family":"Haggerty","given":"Kevin P."},{"family":"Barkan","given":"Susan E."},{"family":"Peterson","given":"Rachel"},{"family":"Furlong","given":"Madeline E."},{"family":"Kim","given":"Eunsaem"},{"family":"Cole","given":"Janice J."},{"family":"Colito","given":"Jessica M."}],"issued":{"date-parts":[["2020",6]]}}}],"schema":"https://github.com/citation-style-language/schema/raw/master/csl-citation.json"}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(Collins, Spencer, and Ward 2010)</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These programs, such as AFFIRM, PII-RISE, and </w:t>
      </w:r>
      <w:r w:rsidRPr="00C031AF">
        <w:rPr>
          <w:rFonts w:ascii="Times New Roman" w:hAnsi="Times New Roman" w:cs="Times New Roman"/>
          <w:i/>
          <w:iCs/>
          <w:sz w:val="24"/>
          <w:szCs w:val="24"/>
        </w:rPr>
        <w:t>Connecting,</w:t>
      </w:r>
      <w:r w:rsidRPr="00C031AF">
        <w:rPr>
          <w:rFonts w:ascii="Times New Roman" w:hAnsi="Times New Roman" w:cs="Times New Roman"/>
          <w:sz w:val="24"/>
          <w:szCs w:val="24"/>
        </w:rPr>
        <w:t xml:space="preserve"> have all demonstrated their effectiveness in providing caregivers with knowledge and skills to support LGBQ youth and increasing </w:t>
      </w:r>
      <w:r w:rsidRPr="00C031AF">
        <w:rPr>
          <w:rFonts w:ascii="Times New Roman" w:hAnsi="Times New Roman" w:cs="Times New Roman"/>
          <w:sz w:val="24"/>
          <w:szCs w:val="24"/>
        </w:rPr>
        <w:lastRenderedPageBreak/>
        <w:t xml:space="preserve">affirming, supportive relationships that improve LGBQ youth’s mental health and well-being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{"citationID":"IVQBgQ96","properties":{"formattedCitation":"(Austin et al. 2021; Salazar et al. 2020)","plainCitation":"(Austin et al. 2021; Salazar et al. 2020)","noteIndex":0},"citationItems":[{"id":347,"uris":["http://zotero.org/users/7501598/items/8WLIDVHL"],"itemData":{"id":347,"type":"article-journal","abstract":"Lesbian, gay, bisexual, transgender, or questioning (LGBTQ+) youth are notably overrepresented in the foster care system, often entering the child welfare system because of abuse or neglect associated with familial rejection of youths’ sexual orientation, gender identity, and/or gender expression. LGBTQ+ foster youth are often exposed to identity-based victimization within the foster care system. There is a call for evidence-informed interventions aimed at improving the well-being of LGBTQ+ youth in systems of care. This study examines the initial effec­ tiveness of AFFIRM Caregiver, a 7-session, manualized intervention aimed at enhancing affirmative parenting practices among foster parents. AFFIRM Caregiver was delivered to foster parents (n = 103) at two U.S. sites. Findings indicate significant improvements in affirmative caregiving attitudes, behaviors, and self-efficacy at post-test, as well as at the 3-month follow-up assessment. Given positive preliminary results, AFFIRM Caregiver represents a promising option to address a particularly notable challenge to the safety and well-being of LGBTQ+ youth in care.","container-title":"Children and Youth Services Review","DOI":"10.1016/j.childyouth.2021.106107","ISSN":"01907409","journalAbbreviation":"Children and Youth Services Review","language":"en","page":"106107","source":"DOI.org (Crossref)","title":"Preliminary effectiveness of an LGBTQ+ affirmative parenting intervention with foster parents","volume":"127","author":[{"family":"Austin","given":"Ashley"},{"family":"Craig","given":"Shelley L."},{"family":"Matarese","given":"Marlene"},{"family":"Greeno","given":"Elizabeth J."},{"family":"Weeks","given":"Angela"},{"family":"Betsinger","given":"S. Aaron"}],"issued":{"date-parts":[["2021",8]]}}},{"id":348,"uris":["http://zotero.org/users/7501598/items/3G6IPJPV"],"itemData":{"id":348,"type":"article-journal","abstract":"LGBTQ+ youth are over-represented in the foster care system. Child welfare systems across the country have been struggling with how to make their systems work better for the LGBTQ+ youth they serve. One strategy is developing foster caregiver trainings that bolster caregivers’ knowledge and support of LGBTQ+ youth in their care. This study has three aims: (1) to provide an overview of a module designed to support relationship building between LGBTQ+ youth in foster care and their caregivers, (2) to describe the theater testing procedure used to assess usability of the developed module with foster caregivers and adults, and (3) to share the results of the theater test. Overall, participants provided positive usability feedback about the module activities, as well as a wide variety of recommendations for strengthening the content for widespread use. Participants felt the module should be directed specifically toward caregiver skill development rather than toward both caregiver and youth support. This module represents one example of how materials focused on building foster caregivers’ knowledge and support have the potential to help LGBTQ+ teens who are overrepresented in the foster care system.","container-title":"Sexuality research &amp; social policy : journal of NSRC : SR &amp; SP","DOI":"10.1007/s13178-019-00387-z","ISSN":"1868-9884","issue":"2","journalAbbreviation":"Sex Res Social Policy","note":"PMID: 32431761\nPMCID: PMC7236553","page":"239-251","source":"PubMed Central","title":"Supporting LGBTQ+ Foster Teens: Development of a Relationship-Focused, Self-Guided Curriculum for Foster Families","title-short":"Supporting LGBTQ+ Foster Teens","volume":"17","author":[{"family":"Salazar","given":"Amy M."},{"family":"Haggerty","given":"Kevin P."},{"family":"Barkan","given":"Susan E."},{"family":"Peterson","given":"Rachel"},{"family":"Furlong","given":"Madeline E."},{"family":"Kim","given":"Eunsaem"},{"family":"Cole","given":"Janice J."},{"family":"Colito","given":"Jessica M."}],"issued":{"date-parts":[["2020",6]]}}}],"schema":"https://github.com/citation-style-language/schema/raw/master/csl-citation.json"}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(Austin et al. 2021; Salazar et al. 2020)</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w:t>
      </w:r>
    </w:p>
    <w:p w14:paraId="7D48AAB6" w14:textId="534879CC" w:rsidR="00AC168C" w:rsidRDefault="00785031" w:rsidP="00A8638A">
      <w:pPr>
        <w:spacing w:line="480" w:lineRule="auto"/>
        <w:ind w:firstLine="720"/>
        <w:contextualSpacing/>
        <w:rPr>
          <w:rFonts w:ascii="Times New Roman" w:hAnsi="Times New Roman" w:cs="Times New Roman"/>
          <w:sz w:val="24"/>
          <w:szCs w:val="24"/>
        </w:rPr>
      </w:pPr>
      <w:r w:rsidRPr="00C031AF">
        <w:rPr>
          <w:rFonts w:ascii="Times New Roman" w:hAnsi="Times New Roman" w:cs="Times New Roman"/>
          <w:sz w:val="24"/>
          <w:szCs w:val="24"/>
        </w:rPr>
        <w:t xml:space="preserve">Finally, peer relationships can be improved in school settings through school organizations such as gay-straight alliances, and reducing homophobic bullying by educating students on peer intervention </w:t>
      </w:r>
      <w:r w:rsidRPr="00C031AF">
        <w:rPr>
          <w:rFonts w:ascii="Times New Roman" w:hAnsi="Times New Roman" w:cs="Times New Roman"/>
          <w:sz w:val="24"/>
          <w:szCs w:val="24"/>
        </w:rPr>
        <w:fldChar w:fldCharType="begin"/>
      </w:r>
      <w:r w:rsidR="00B17A86">
        <w:rPr>
          <w:rFonts w:ascii="Times New Roman" w:hAnsi="Times New Roman" w:cs="Times New Roman"/>
          <w:sz w:val="24"/>
          <w:szCs w:val="24"/>
        </w:rPr>
        <w:instrText xml:space="preserve"> ADDIN ZOTERO_ITEM CSL_CITATION {"citationID":"YKcOhInV","properties":{"formattedCitation":"(Hong and Garbarino 2012)","plainCitation":"(Hong and Garbarino 2012)","noteIndex":0},"citationItems":[{"id":554,"uris":["http://zotero.org/users/7501598/items/EIBD5K8X"],"itemData":{"id":554,"type":"article-journal","abstract":"Homophobic bullying is a serious concern for students, parents, teachers, and school officials. This article reviews evidence on the status of this problem and how it may be addressed in a multilevel and multidisciplinary manner growing out of a social–ecological perspective on homophobic bullying as a social phenomenon. The ecological framework developed by Urie Bronfenbrenner (1977, 1979) is applied to organize this effort, which includes micro-, exo-, and macro-systems in which behavior and development are embedded. The inherent fluidity of experience postulated by Bronfenbrenner’s ecological approach offers hope that as practices and policy to promote diversity move forward, they will reshape the social ecology of sexual minority youth.","container-title":"Educational Psychology Review","DOI":"10.1007/s10648-012-9194-y","ISSN":"1573-336X","issue":"2","journalAbbreviation":"Educ Psychol Rev","language":"en","page":"271-285","source":"Springer Link","title":"Risk and Protective Factors for Homophobic Bullying in Schools: An Application of the Social–Ecological Framework","title-short":"Risk and Protective Factors for Homophobic Bullying in Schools","volume":"24","author":[{"family":"Hong","given":"Jun Sung"},{"family":"Garbarino","given":"James"}],"issued":{"date-parts":[["2012",6,1]]}}}],"schema":"https://github.com/citation-style-language/schema/raw/master/csl-citation.json"} </w:instrText>
      </w:r>
      <w:r w:rsidRPr="00C031AF">
        <w:rPr>
          <w:rFonts w:ascii="Times New Roman" w:hAnsi="Times New Roman" w:cs="Times New Roman"/>
          <w:sz w:val="24"/>
          <w:szCs w:val="24"/>
        </w:rPr>
        <w:fldChar w:fldCharType="separate"/>
      </w:r>
      <w:r w:rsidRPr="00C031AF">
        <w:rPr>
          <w:rFonts w:ascii="Times New Roman" w:hAnsi="Times New Roman" w:cs="Times New Roman"/>
          <w:sz w:val="24"/>
          <w:szCs w:val="24"/>
        </w:rPr>
        <w:t>(Hong and Garbarino 2012)</w:t>
      </w:r>
      <w:r w:rsidRPr="00C031AF">
        <w:rPr>
          <w:rFonts w:ascii="Times New Roman" w:hAnsi="Times New Roman" w:cs="Times New Roman"/>
          <w:sz w:val="24"/>
          <w:szCs w:val="24"/>
        </w:rPr>
        <w:fldChar w:fldCharType="end"/>
      </w:r>
      <w:r w:rsidRPr="00C031AF">
        <w:rPr>
          <w:rFonts w:ascii="Times New Roman" w:hAnsi="Times New Roman" w:cs="Times New Roman"/>
          <w:sz w:val="24"/>
          <w:szCs w:val="24"/>
        </w:rPr>
        <w:t xml:space="preserve">. </w:t>
      </w:r>
      <w:r w:rsidR="004F22A2" w:rsidRPr="00C031AF">
        <w:rPr>
          <w:rFonts w:ascii="Times New Roman" w:hAnsi="Times New Roman" w:cs="Times New Roman"/>
          <w:sz w:val="24"/>
          <w:szCs w:val="24"/>
        </w:rPr>
        <w:t xml:space="preserve">My research validates the use and implementation of such programs. </w:t>
      </w:r>
      <w:r>
        <w:rPr>
          <w:rFonts w:ascii="Times New Roman" w:hAnsi="Times New Roman" w:cs="Times New Roman"/>
          <w:sz w:val="24"/>
          <w:szCs w:val="24"/>
        </w:rPr>
        <w:t>By increasing equality in broader society by reducing discrimination, prejudice, and homophobia</w:t>
      </w:r>
      <w:r w:rsidR="00F15DC6">
        <w:rPr>
          <w:rFonts w:ascii="Times New Roman" w:hAnsi="Times New Roman" w:cs="Times New Roman"/>
          <w:sz w:val="24"/>
          <w:szCs w:val="24"/>
        </w:rPr>
        <w:t xml:space="preserve">, we can hopefully improve outcomes within the systems LGBQ youth interact. Thus, </w:t>
      </w:r>
      <w:r w:rsidR="00A912D5">
        <w:rPr>
          <w:rFonts w:ascii="Times New Roman" w:hAnsi="Times New Roman" w:cs="Times New Roman"/>
          <w:sz w:val="24"/>
          <w:szCs w:val="24"/>
        </w:rPr>
        <w:t>societal-</w:t>
      </w:r>
      <w:r w:rsidR="007128D6">
        <w:rPr>
          <w:rFonts w:ascii="Times New Roman" w:hAnsi="Times New Roman" w:cs="Times New Roman"/>
          <w:sz w:val="24"/>
          <w:szCs w:val="24"/>
        </w:rPr>
        <w:t xml:space="preserve">level interventions, including advocating against discriminatory policies, are warranted </w:t>
      </w:r>
      <w:r w:rsidR="009F04A6">
        <w:rPr>
          <w:rFonts w:ascii="Times New Roman" w:hAnsi="Times New Roman" w:cs="Times New Roman"/>
          <w:sz w:val="24"/>
          <w:szCs w:val="24"/>
        </w:rPr>
        <w:t xml:space="preserve">as they affect the lives of millions of </w:t>
      </w:r>
      <w:proofErr w:type="gramStart"/>
      <w:r w:rsidR="009F04A6">
        <w:rPr>
          <w:rFonts w:ascii="Times New Roman" w:hAnsi="Times New Roman" w:cs="Times New Roman"/>
          <w:sz w:val="24"/>
          <w:szCs w:val="24"/>
        </w:rPr>
        <w:t>youth</w:t>
      </w:r>
      <w:proofErr w:type="gramEnd"/>
      <w:r w:rsidR="009F04A6">
        <w:rPr>
          <w:rFonts w:ascii="Times New Roman" w:hAnsi="Times New Roman" w:cs="Times New Roman"/>
          <w:sz w:val="24"/>
          <w:szCs w:val="24"/>
        </w:rPr>
        <w:t>, including family and friends of LGBQ youth.</w:t>
      </w:r>
      <w:r w:rsidR="009A6C97">
        <w:rPr>
          <w:rFonts w:ascii="Times New Roman" w:hAnsi="Times New Roman" w:cs="Times New Roman"/>
          <w:sz w:val="24"/>
          <w:szCs w:val="24"/>
        </w:rPr>
        <w:t xml:space="preserve"> </w:t>
      </w:r>
    </w:p>
    <w:p w14:paraId="138D8E04" w14:textId="29EE47EE" w:rsidR="0013209C" w:rsidRDefault="00E65080" w:rsidP="004F22A2">
      <w:pPr>
        <w:spacing w:line="480" w:lineRule="auto"/>
        <w:ind w:firstLine="720"/>
        <w:contextualSpacing/>
        <w:rPr>
          <w:rFonts w:ascii="Times New Roman" w:hAnsi="Times New Roman" w:cs="Times New Roman"/>
          <w:sz w:val="24"/>
          <w:szCs w:val="24"/>
        </w:rPr>
      </w:pPr>
      <w:r w:rsidRPr="0013209C">
        <w:rPr>
          <w:rFonts w:ascii="Times New Roman" w:hAnsi="Times New Roman" w:cs="Times New Roman"/>
          <w:sz w:val="24"/>
          <w:szCs w:val="24"/>
        </w:rPr>
        <w:t xml:space="preserve">From a theoretical standpoint, these findings illustrate how the theory of sexual minority </w:t>
      </w:r>
      <w:r w:rsidR="00BB16CC" w:rsidRPr="0013209C">
        <w:rPr>
          <w:rFonts w:ascii="Times New Roman" w:hAnsi="Times New Roman" w:cs="Times New Roman"/>
          <w:sz w:val="24"/>
          <w:szCs w:val="24"/>
        </w:rPr>
        <w:t xml:space="preserve">stress </w:t>
      </w:r>
      <w:r w:rsidR="00A13C9A" w:rsidRPr="0013209C">
        <w:rPr>
          <w:rFonts w:ascii="Times New Roman" w:hAnsi="Times New Roman" w:cs="Times New Roman"/>
          <w:sz w:val="24"/>
          <w:szCs w:val="24"/>
        </w:rPr>
        <w:t xml:space="preserve">can and should be incorporated </w:t>
      </w:r>
      <w:r w:rsidR="00A02F0C" w:rsidRPr="0013209C">
        <w:rPr>
          <w:rFonts w:ascii="Times New Roman" w:hAnsi="Times New Roman" w:cs="Times New Roman"/>
          <w:sz w:val="24"/>
          <w:szCs w:val="24"/>
        </w:rPr>
        <w:t xml:space="preserve">with existing theories to </w:t>
      </w:r>
      <w:r w:rsidR="00136950">
        <w:rPr>
          <w:rFonts w:ascii="Times New Roman" w:hAnsi="Times New Roman" w:cs="Times New Roman"/>
          <w:sz w:val="24"/>
          <w:szCs w:val="24"/>
        </w:rPr>
        <w:t>understand LGBQ youth and their well-being better</w:t>
      </w:r>
      <w:r w:rsidR="007430BA" w:rsidRPr="0013209C">
        <w:rPr>
          <w:rFonts w:ascii="Times New Roman" w:hAnsi="Times New Roman" w:cs="Times New Roman"/>
          <w:sz w:val="24"/>
          <w:szCs w:val="24"/>
        </w:rPr>
        <w:t xml:space="preserve">. </w:t>
      </w:r>
      <w:r w:rsidR="006D08D7">
        <w:rPr>
          <w:rFonts w:ascii="Times New Roman" w:hAnsi="Times New Roman" w:cs="Times New Roman"/>
          <w:sz w:val="24"/>
          <w:szCs w:val="24"/>
        </w:rPr>
        <w:t>Sexual minority stress theory highlights</w:t>
      </w:r>
      <w:r w:rsidR="006B4D54">
        <w:rPr>
          <w:rFonts w:ascii="Times New Roman" w:hAnsi="Times New Roman" w:cs="Times New Roman"/>
          <w:sz w:val="24"/>
          <w:szCs w:val="24"/>
        </w:rPr>
        <w:t xml:space="preserve"> how youth may experience elevated levels of stress due to cultural and social prejudices</w:t>
      </w:r>
      <w:r w:rsidR="004F3B03">
        <w:rPr>
          <w:rFonts w:ascii="Times New Roman" w:hAnsi="Times New Roman" w:cs="Times New Roman"/>
          <w:sz w:val="24"/>
          <w:szCs w:val="24"/>
        </w:rPr>
        <w:t xml:space="preserve"> that reduce their well-being</w:t>
      </w:r>
      <w:r w:rsidR="0088689D">
        <w:rPr>
          <w:rFonts w:ascii="Times New Roman" w:hAnsi="Times New Roman" w:cs="Times New Roman"/>
          <w:sz w:val="24"/>
          <w:szCs w:val="24"/>
        </w:rPr>
        <w:t xml:space="preserve"> </w:t>
      </w:r>
      <w:r w:rsidR="0088689D" w:rsidRPr="0088689D">
        <w:rPr>
          <w:rFonts w:ascii="Times New Roman" w:hAnsi="Times New Roman" w:cs="Times New Roman"/>
          <w:sz w:val="24"/>
          <w:szCs w:val="24"/>
        </w:rPr>
        <w:t>(Brooks 1981)</w:t>
      </w:r>
      <w:r w:rsidR="004F3B03">
        <w:rPr>
          <w:rFonts w:ascii="Times New Roman" w:hAnsi="Times New Roman" w:cs="Times New Roman"/>
          <w:sz w:val="24"/>
          <w:szCs w:val="24"/>
        </w:rPr>
        <w:t xml:space="preserve">. Chapters Two and Three </w:t>
      </w:r>
      <w:r w:rsidR="00DE2412">
        <w:rPr>
          <w:rFonts w:ascii="Times New Roman" w:hAnsi="Times New Roman" w:cs="Times New Roman"/>
          <w:sz w:val="24"/>
          <w:szCs w:val="24"/>
        </w:rPr>
        <w:t xml:space="preserve">highlight that LGBQ youth in </w:t>
      </w:r>
      <w:r w:rsidR="00D6761F">
        <w:rPr>
          <w:rFonts w:ascii="Times New Roman" w:hAnsi="Times New Roman" w:cs="Times New Roman"/>
          <w:sz w:val="24"/>
          <w:szCs w:val="24"/>
        </w:rPr>
        <w:t>our sample</w:t>
      </w:r>
      <w:r w:rsidR="00DE2412">
        <w:rPr>
          <w:rFonts w:ascii="Times New Roman" w:hAnsi="Times New Roman" w:cs="Times New Roman"/>
          <w:sz w:val="24"/>
          <w:szCs w:val="24"/>
        </w:rPr>
        <w:t xml:space="preserve"> had higher rates of internalizing and externalizing behaviors, lower expectations for their futures, and lower levels of peer and caregiver support</w:t>
      </w:r>
      <w:r w:rsidR="00466282">
        <w:rPr>
          <w:rFonts w:ascii="Times New Roman" w:hAnsi="Times New Roman" w:cs="Times New Roman"/>
          <w:sz w:val="24"/>
          <w:szCs w:val="24"/>
        </w:rPr>
        <w:t xml:space="preserve">, providing support for this theory. Future research should include </w:t>
      </w:r>
      <w:r w:rsidR="009F7BA9">
        <w:rPr>
          <w:rFonts w:ascii="Times New Roman" w:hAnsi="Times New Roman" w:cs="Times New Roman"/>
          <w:sz w:val="24"/>
          <w:szCs w:val="24"/>
        </w:rPr>
        <w:t xml:space="preserve">sexual minority stress theory when examining sexually marginalized youth </w:t>
      </w:r>
      <w:r w:rsidR="00F349C9">
        <w:rPr>
          <w:rFonts w:ascii="Times New Roman" w:hAnsi="Times New Roman" w:cs="Times New Roman"/>
          <w:sz w:val="24"/>
          <w:szCs w:val="24"/>
        </w:rPr>
        <w:t>and focus on mechanisms that can reduce this stress</w:t>
      </w:r>
      <w:r w:rsidR="00F945AF">
        <w:rPr>
          <w:rFonts w:ascii="Times New Roman" w:hAnsi="Times New Roman" w:cs="Times New Roman"/>
          <w:sz w:val="24"/>
          <w:szCs w:val="24"/>
        </w:rPr>
        <w:t>, such as supportive connections with families and peers.</w:t>
      </w:r>
    </w:p>
    <w:p w14:paraId="754E872D" w14:textId="00324058" w:rsidR="0013209C" w:rsidRDefault="00640443" w:rsidP="004F22A2">
      <w:pPr>
        <w:spacing w:line="480" w:lineRule="auto"/>
        <w:ind w:firstLine="720"/>
        <w:contextualSpacing/>
        <w:rPr>
          <w:rFonts w:ascii="Times New Roman" w:hAnsi="Times New Roman" w:cs="Times New Roman"/>
          <w:sz w:val="24"/>
          <w:szCs w:val="24"/>
        </w:rPr>
      </w:pPr>
      <w:r w:rsidRPr="0013209C">
        <w:rPr>
          <w:rFonts w:ascii="Times New Roman" w:hAnsi="Times New Roman" w:cs="Times New Roman"/>
          <w:sz w:val="24"/>
          <w:szCs w:val="24"/>
        </w:rPr>
        <w:t xml:space="preserve">From </w:t>
      </w:r>
      <w:r w:rsidR="008D0462" w:rsidRPr="0013209C">
        <w:rPr>
          <w:rFonts w:ascii="Times New Roman" w:hAnsi="Times New Roman" w:cs="Times New Roman"/>
          <w:sz w:val="24"/>
          <w:szCs w:val="24"/>
        </w:rPr>
        <w:t>a</w:t>
      </w:r>
      <w:r w:rsidR="0049695F" w:rsidRPr="0013209C">
        <w:rPr>
          <w:rFonts w:ascii="Times New Roman" w:hAnsi="Times New Roman" w:cs="Times New Roman"/>
          <w:sz w:val="24"/>
          <w:szCs w:val="24"/>
        </w:rPr>
        <w:t xml:space="preserve"> linked lives perspective, </w:t>
      </w:r>
      <w:r w:rsidR="00741EFF" w:rsidRPr="0013209C">
        <w:rPr>
          <w:rFonts w:ascii="Times New Roman" w:hAnsi="Times New Roman" w:cs="Times New Roman"/>
          <w:sz w:val="24"/>
          <w:szCs w:val="24"/>
        </w:rPr>
        <w:t xml:space="preserve">LGBQ youth or youth characterized by fractured relationships may have different patterns regarding their </w:t>
      </w:r>
      <w:r w:rsidR="008D0462" w:rsidRPr="0013209C">
        <w:rPr>
          <w:rFonts w:ascii="Times New Roman" w:hAnsi="Times New Roman" w:cs="Times New Roman"/>
          <w:sz w:val="24"/>
          <w:szCs w:val="24"/>
        </w:rPr>
        <w:t xml:space="preserve">behaviors, hope, and future expectations. </w:t>
      </w:r>
      <w:r w:rsidR="00447BE9">
        <w:rPr>
          <w:rFonts w:ascii="Times New Roman" w:hAnsi="Times New Roman" w:cs="Times New Roman"/>
          <w:sz w:val="24"/>
          <w:szCs w:val="24"/>
        </w:rPr>
        <w:t xml:space="preserve">The linked lives principle </w:t>
      </w:r>
      <w:r w:rsidR="00031B72">
        <w:rPr>
          <w:rFonts w:ascii="Times New Roman" w:hAnsi="Times New Roman" w:cs="Times New Roman"/>
          <w:sz w:val="24"/>
          <w:szCs w:val="24"/>
        </w:rPr>
        <w:t xml:space="preserve">states that </w:t>
      </w:r>
      <w:r w:rsidR="00163121">
        <w:rPr>
          <w:rFonts w:ascii="Times New Roman" w:hAnsi="Times New Roman" w:cs="Times New Roman"/>
          <w:sz w:val="24"/>
          <w:szCs w:val="24"/>
        </w:rPr>
        <w:t xml:space="preserve">human agency is </w:t>
      </w:r>
      <w:r w:rsidR="00D67760">
        <w:rPr>
          <w:rFonts w:ascii="Times New Roman" w:hAnsi="Times New Roman" w:cs="Times New Roman"/>
          <w:sz w:val="24"/>
          <w:szCs w:val="24"/>
        </w:rPr>
        <w:t xml:space="preserve">dependent on personal relationships </w:t>
      </w:r>
      <w:r w:rsidR="00D67760" w:rsidRPr="00D67760">
        <w:rPr>
          <w:rFonts w:ascii="Times New Roman" w:hAnsi="Times New Roman" w:cs="Times New Roman"/>
          <w:sz w:val="24"/>
          <w:szCs w:val="24"/>
        </w:rPr>
        <w:t>(Landes and Settersten 2019)</w:t>
      </w:r>
      <w:r w:rsidR="00D67760">
        <w:rPr>
          <w:rFonts w:ascii="Times New Roman" w:hAnsi="Times New Roman" w:cs="Times New Roman"/>
          <w:sz w:val="24"/>
          <w:szCs w:val="24"/>
        </w:rPr>
        <w:t xml:space="preserve">, </w:t>
      </w:r>
      <w:r w:rsidR="00BE2FBB">
        <w:rPr>
          <w:rFonts w:ascii="Times New Roman" w:hAnsi="Times New Roman" w:cs="Times New Roman"/>
          <w:sz w:val="24"/>
          <w:szCs w:val="24"/>
        </w:rPr>
        <w:t xml:space="preserve">implicating </w:t>
      </w:r>
      <w:r w:rsidR="000E4352">
        <w:rPr>
          <w:rFonts w:ascii="Times New Roman" w:hAnsi="Times New Roman" w:cs="Times New Roman"/>
          <w:sz w:val="24"/>
          <w:szCs w:val="24"/>
        </w:rPr>
        <w:t xml:space="preserve">support networks for life course </w:t>
      </w:r>
      <w:r w:rsidR="000E4352">
        <w:rPr>
          <w:rFonts w:ascii="Times New Roman" w:hAnsi="Times New Roman" w:cs="Times New Roman"/>
          <w:sz w:val="24"/>
          <w:szCs w:val="24"/>
        </w:rPr>
        <w:lastRenderedPageBreak/>
        <w:t xml:space="preserve">outcomes. </w:t>
      </w:r>
      <w:r w:rsidR="00934B7D">
        <w:rPr>
          <w:rFonts w:ascii="Times New Roman" w:hAnsi="Times New Roman" w:cs="Times New Roman"/>
          <w:sz w:val="24"/>
          <w:szCs w:val="24"/>
        </w:rPr>
        <w:t xml:space="preserve">Our findings in Chapter Three </w:t>
      </w:r>
      <w:r w:rsidR="008F3D85">
        <w:rPr>
          <w:rFonts w:ascii="Times New Roman" w:hAnsi="Times New Roman" w:cs="Times New Roman"/>
          <w:sz w:val="24"/>
          <w:szCs w:val="24"/>
        </w:rPr>
        <w:t xml:space="preserve">showcase that </w:t>
      </w:r>
      <w:r w:rsidR="00537E26">
        <w:rPr>
          <w:rFonts w:ascii="Times New Roman" w:hAnsi="Times New Roman" w:cs="Times New Roman"/>
          <w:sz w:val="24"/>
          <w:szCs w:val="24"/>
        </w:rPr>
        <w:t>peer support and caregiver support can improve expectations for youth’s futures</w:t>
      </w:r>
      <w:r w:rsidR="001526DC">
        <w:rPr>
          <w:rFonts w:ascii="Times New Roman" w:hAnsi="Times New Roman" w:cs="Times New Roman"/>
          <w:sz w:val="24"/>
          <w:szCs w:val="24"/>
        </w:rPr>
        <w:t xml:space="preserve">, </w:t>
      </w:r>
      <w:r w:rsidR="00F56DEB">
        <w:rPr>
          <w:rFonts w:ascii="Times New Roman" w:hAnsi="Times New Roman" w:cs="Times New Roman"/>
          <w:sz w:val="24"/>
          <w:szCs w:val="24"/>
        </w:rPr>
        <w:t>but</w:t>
      </w:r>
      <w:r w:rsidR="00E034E5">
        <w:rPr>
          <w:rFonts w:ascii="Times New Roman" w:hAnsi="Times New Roman" w:cs="Times New Roman"/>
          <w:sz w:val="24"/>
          <w:szCs w:val="24"/>
        </w:rPr>
        <w:t xml:space="preserve"> </w:t>
      </w:r>
      <w:r w:rsidR="00DF4228">
        <w:rPr>
          <w:rFonts w:ascii="Times New Roman" w:hAnsi="Times New Roman" w:cs="Times New Roman"/>
          <w:sz w:val="24"/>
          <w:szCs w:val="24"/>
        </w:rPr>
        <w:t>LGBQ youth</w:t>
      </w:r>
      <w:r w:rsidR="00E034E5">
        <w:rPr>
          <w:rFonts w:ascii="Times New Roman" w:hAnsi="Times New Roman" w:cs="Times New Roman"/>
          <w:sz w:val="24"/>
          <w:szCs w:val="24"/>
        </w:rPr>
        <w:t xml:space="preserve"> lack these supports. </w:t>
      </w:r>
      <w:r w:rsidR="007446A0">
        <w:rPr>
          <w:rFonts w:ascii="Times New Roman" w:hAnsi="Times New Roman" w:cs="Times New Roman"/>
          <w:sz w:val="24"/>
          <w:szCs w:val="24"/>
        </w:rPr>
        <w:t>However, our Chapter Four findings revealed that these youth, who have experienced a high amount of adversity, can find hope and support through their caseworker.</w:t>
      </w:r>
      <w:r w:rsidR="00263DAA">
        <w:rPr>
          <w:rFonts w:ascii="Times New Roman" w:hAnsi="Times New Roman" w:cs="Times New Roman"/>
          <w:sz w:val="24"/>
          <w:szCs w:val="24"/>
        </w:rPr>
        <w:t xml:space="preserve"> Taken together, these results reveal a need to work with LGBQ youth to find and develop positive support networks that can guide them </w:t>
      </w:r>
      <w:r w:rsidR="00A07D14">
        <w:rPr>
          <w:rFonts w:ascii="Times New Roman" w:hAnsi="Times New Roman" w:cs="Times New Roman"/>
          <w:sz w:val="24"/>
          <w:szCs w:val="24"/>
        </w:rPr>
        <w:t xml:space="preserve">through their </w:t>
      </w:r>
      <w:r w:rsidR="004A5E86">
        <w:rPr>
          <w:rFonts w:ascii="Times New Roman" w:hAnsi="Times New Roman" w:cs="Times New Roman"/>
          <w:sz w:val="24"/>
          <w:szCs w:val="24"/>
        </w:rPr>
        <w:t>adolescent period and into adulthood.</w:t>
      </w:r>
    </w:p>
    <w:p w14:paraId="6EDAC5BC" w14:textId="4937F8DC" w:rsidR="004F22A2" w:rsidRDefault="008D0462" w:rsidP="004F22A2">
      <w:pPr>
        <w:spacing w:line="480" w:lineRule="auto"/>
        <w:ind w:firstLine="720"/>
        <w:contextualSpacing/>
        <w:rPr>
          <w:rFonts w:ascii="Times New Roman" w:hAnsi="Times New Roman" w:cs="Times New Roman"/>
          <w:sz w:val="24"/>
          <w:szCs w:val="24"/>
        </w:rPr>
      </w:pPr>
      <w:r w:rsidRPr="0013209C">
        <w:rPr>
          <w:rFonts w:ascii="Times New Roman" w:hAnsi="Times New Roman" w:cs="Times New Roman"/>
          <w:sz w:val="24"/>
          <w:szCs w:val="24"/>
        </w:rPr>
        <w:t xml:space="preserve">Additionally, </w:t>
      </w:r>
      <w:r w:rsidR="001939B7" w:rsidRPr="0013209C">
        <w:rPr>
          <w:rFonts w:ascii="Times New Roman" w:hAnsi="Times New Roman" w:cs="Times New Roman"/>
          <w:sz w:val="24"/>
          <w:szCs w:val="24"/>
        </w:rPr>
        <w:t xml:space="preserve">ecological models that rely on </w:t>
      </w:r>
      <w:r w:rsidR="00FD5DDA" w:rsidRPr="0013209C">
        <w:rPr>
          <w:rFonts w:ascii="Times New Roman" w:hAnsi="Times New Roman" w:cs="Times New Roman"/>
          <w:sz w:val="24"/>
          <w:szCs w:val="24"/>
        </w:rPr>
        <w:t>family</w:t>
      </w:r>
      <w:r w:rsidR="00FD5DDA">
        <w:rPr>
          <w:rFonts w:ascii="Times New Roman" w:hAnsi="Times New Roman" w:cs="Times New Roman"/>
          <w:sz w:val="24"/>
          <w:szCs w:val="24"/>
        </w:rPr>
        <w:t>-</w:t>
      </w:r>
      <w:r w:rsidR="001939B7" w:rsidRPr="0013209C">
        <w:rPr>
          <w:rFonts w:ascii="Times New Roman" w:hAnsi="Times New Roman" w:cs="Times New Roman"/>
          <w:sz w:val="24"/>
          <w:szCs w:val="24"/>
        </w:rPr>
        <w:t xml:space="preserve">level, </w:t>
      </w:r>
      <w:r w:rsidR="00FD5DDA" w:rsidRPr="0013209C">
        <w:rPr>
          <w:rFonts w:ascii="Times New Roman" w:hAnsi="Times New Roman" w:cs="Times New Roman"/>
          <w:sz w:val="24"/>
          <w:szCs w:val="24"/>
        </w:rPr>
        <w:t>community</w:t>
      </w:r>
      <w:r w:rsidR="00FD5DDA">
        <w:rPr>
          <w:rFonts w:ascii="Times New Roman" w:hAnsi="Times New Roman" w:cs="Times New Roman"/>
          <w:sz w:val="24"/>
          <w:szCs w:val="24"/>
        </w:rPr>
        <w:t>-</w:t>
      </w:r>
      <w:r w:rsidR="001939B7" w:rsidRPr="0013209C">
        <w:rPr>
          <w:rFonts w:ascii="Times New Roman" w:hAnsi="Times New Roman" w:cs="Times New Roman"/>
          <w:sz w:val="24"/>
          <w:szCs w:val="24"/>
        </w:rPr>
        <w:t>level, and policy</w:t>
      </w:r>
      <w:r w:rsidR="00FD5DDA">
        <w:rPr>
          <w:rFonts w:ascii="Times New Roman" w:hAnsi="Times New Roman" w:cs="Times New Roman"/>
          <w:sz w:val="24"/>
          <w:szCs w:val="24"/>
        </w:rPr>
        <w:t>-</w:t>
      </w:r>
      <w:r w:rsidR="001939B7" w:rsidRPr="0013209C">
        <w:rPr>
          <w:rFonts w:ascii="Times New Roman" w:hAnsi="Times New Roman" w:cs="Times New Roman"/>
          <w:sz w:val="24"/>
          <w:szCs w:val="24"/>
        </w:rPr>
        <w:t xml:space="preserve">level interventions would benefit from recognizing how these factors </w:t>
      </w:r>
      <w:r w:rsidR="00331234" w:rsidRPr="0013209C">
        <w:rPr>
          <w:rFonts w:ascii="Times New Roman" w:hAnsi="Times New Roman" w:cs="Times New Roman"/>
          <w:sz w:val="24"/>
          <w:szCs w:val="24"/>
        </w:rPr>
        <w:t>shape LGBQ youth differently due to discrimination, isolation, and policy restrictions.</w:t>
      </w:r>
      <w:r w:rsidR="007026A6">
        <w:rPr>
          <w:rFonts w:ascii="Times New Roman" w:hAnsi="Times New Roman" w:cs="Times New Roman"/>
          <w:sz w:val="24"/>
          <w:szCs w:val="24"/>
        </w:rPr>
        <w:t xml:space="preserve"> </w:t>
      </w:r>
      <w:r w:rsidR="00020A01">
        <w:rPr>
          <w:rFonts w:ascii="Times New Roman" w:hAnsi="Times New Roman" w:cs="Times New Roman"/>
          <w:sz w:val="24"/>
          <w:szCs w:val="24"/>
        </w:rPr>
        <w:t xml:space="preserve">At the family level, LGBQ youth are often ostracized by their family of origin due to their sexual identity </w:t>
      </w:r>
      <w:r w:rsidR="000177DA" w:rsidRPr="000177DA">
        <w:rPr>
          <w:rFonts w:ascii="Times New Roman" w:hAnsi="Times New Roman" w:cs="Times New Roman"/>
          <w:sz w:val="24"/>
          <w:szCs w:val="24"/>
        </w:rPr>
        <w:t xml:space="preserve">(Mountz and </w:t>
      </w:r>
      <w:proofErr w:type="spellStart"/>
      <w:r w:rsidR="000177DA" w:rsidRPr="000177DA">
        <w:rPr>
          <w:rFonts w:ascii="Times New Roman" w:hAnsi="Times New Roman" w:cs="Times New Roman"/>
          <w:sz w:val="24"/>
          <w:szCs w:val="24"/>
        </w:rPr>
        <w:t>Capous-Desyllas</w:t>
      </w:r>
      <w:proofErr w:type="spellEnd"/>
      <w:r w:rsidR="000177DA" w:rsidRPr="000177DA">
        <w:rPr>
          <w:rFonts w:ascii="Times New Roman" w:hAnsi="Times New Roman" w:cs="Times New Roman"/>
          <w:sz w:val="24"/>
          <w:szCs w:val="24"/>
        </w:rPr>
        <w:t xml:space="preserve"> 2020)</w:t>
      </w:r>
      <w:r w:rsidR="00873050">
        <w:rPr>
          <w:rFonts w:ascii="Times New Roman" w:hAnsi="Times New Roman" w:cs="Times New Roman"/>
          <w:sz w:val="24"/>
          <w:szCs w:val="24"/>
        </w:rPr>
        <w:t xml:space="preserve"> </w:t>
      </w:r>
      <w:r w:rsidR="006C7E3C">
        <w:rPr>
          <w:rFonts w:ascii="Times New Roman" w:hAnsi="Times New Roman" w:cs="Times New Roman"/>
          <w:sz w:val="24"/>
          <w:szCs w:val="24"/>
        </w:rPr>
        <w:t xml:space="preserve">and continue to </w:t>
      </w:r>
      <w:r w:rsidR="00962281">
        <w:rPr>
          <w:rFonts w:ascii="Times New Roman" w:hAnsi="Times New Roman" w:cs="Times New Roman"/>
          <w:sz w:val="24"/>
          <w:szCs w:val="24"/>
        </w:rPr>
        <w:t xml:space="preserve">face discrimination while involved in the child welfare system such as placement into congregate care </w:t>
      </w:r>
      <w:r w:rsidR="00D23573">
        <w:rPr>
          <w:rFonts w:ascii="Times New Roman" w:hAnsi="Times New Roman" w:cs="Times New Roman"/>
          <w:sz w:val="24"/>
          <w:szCs w:val="24"/>
        </w:rPr>
        <w:t>or placement rejection by foster parents</w:t>
      </w:r>
      <w:r w:rsidR="00571F2B">
        <w:rPr>
          <w:rFonts w:ascii="Times New Roman" w:hAnsi="Times New Roman" w:cs="Times New Roman"/>
          <w:sz w:val="24"/>
          <w:szCs w:val="24"/>
        </w:rPr>
        <w:t xml:space="preserve"> </w:t>
      </w:r>
      <w:r w:rsidR="004231A8" w:rsidRPr="004231A8">
        <w:rPr>
          <w:rFonts w:ascii="Times New Roman" w:hAnsi="Times New Roman" w:cs="Times New Roman"/>
          <w:sz w:val="24"/>
          <w:szCs w:val="24"/>
        </w:rPr>
        <w:t>(Schaub, Stander, and Montgomery 2022)</w:t>
      </w:r>
      <w:r w:rsidR="004231A8">
        <w:rPr>
          <w:rFonts w:ascii="Times New Roman" w:hAnsi="Times New Roman" w:cs="Times New Roman"/>
          <w:sz w:val="24"/>
          <w:szCs w:val="24"/>
        </w:rPr>
        <w:t xml:space="preserve">. Interventions </w:t>
      </w:r>
      <w:r w:rsidR="005840F1">
        <w:rPr>
          <w:rFonts w:ascii="Times New Roman" w:hAnsi="Times New Roman" w:cs="Times New Roman"/>
          <w:sz w:val="24"/>
          <w:szCs w:val="24"/>
        </w:rPr>
        <w:t xml:space="preserve">focused </w:t>
      </w:r>
      <w:r w:rsidR="002022D4">
        <w:rPr>
          <w:rFonts w:ascii="Times New Roman" w:hAnsi="Times New Roman" w:cs="Times New Roman"/>
          <w:sz w:val="24"/>
          <w:szCs w:val="24"/>
        </w:rPr>
        <w:t>on</w:t>
      </w:r>
      <w:r w:rsidR="005840F1">
        <w:rPr>
          <w:rFonts w:ascii="Times New Roman" w:hAnsi="Times New Roman" w:cs="Times New Roman"/>
          <w:sz w:val="24"/>
          <w:szCs w:val="24"/>
        </w:rPr>
        <w:t xml:space="preserve"> this level should include </w:t>
      </w:r>
      <w:r w:rsidR="002022D4">
        <w:rPr>
          <w:rFonts w:ascii="Times New Roman" w:hAnsi="Times New Roman" w:cs="Times New Roman"/>
          <w:sz w:val="24"/>
          <w:szCs w:val="24"/>
        </w:rPr>
        <w:t xml:space="preserve">working with families of origin, if possible, to recognize and affirm their youth’s identity and build support within their network. Additionally, more work should be done to encourage same-sex families to foster LGBQ youth </w:t>
      </w:r>
      <w:r w:rsidR="004C0FE9">
        <w:rPr>
          <w:rFonts w:ascii="Times New Roman" w:hAnsi="Times New Roman" w:cs="Times New Roman"/>
          <w:sz w:val="24"/>
          <w:szCs w:val="24"/>
        </w:rPr>
        <w:t>within the child welfare system, a</w:t>
      </w:r>
      <w:r w:rsidR="00D63530">
        <w:rPr>
          <w:rFonts w:ascii="Times New Roman" w:hAnsi="Times New Roman" w:cs="Times New Roman"/>
          <w:sz w:val="24"/>
          <w:szCs w:val="24"/>
        </w:rPr>
        <w:t xml:space="preserve">s they often are discouraged or even </w:t>
      </w:r>
      <w:r w:rsidR="00CE6305">
        <w:rPr>
          <w:rFonts w:ascii="Times New Roman" w:hAnsi="Times New Roman" w:cs="Times New Roman"/>
          <w:sz w:val="24"/>
          <w:szCs w:val="24"/>
        </w:rPr>
        <w:t xml:space="preserve">banned from fostering or adopting youth </w:t>
      </w:r>
      <w:r w:rsidR="002F1762" w:rsidRPr="002F1762">
        <w:rPr>
          <w:rFonts w:ascii="Times New Roman" w:hAnsi="Times New Roman" w:cs="Times New Roman"/>
          <w:sz w:val="24"/>
          <w:szCs w:val="24"/>
        </w:rPr>
        <w:t>(Mallon 2011)</w:t>
      </w:r>
      <w:r w:rsidR="002F1762">
        <w:rPr>
          <w:rFonts w:ascii="Times New Roman" w:hAnsi="Times New Roman" w:cs="Times New Roman"/>
          <w:sz w:val="24"/>
          <w:szCs w:val="24"/>
        </w:rPr>
        <w:t xml:space="preserve">. </w:t>
      </w:r>
      <w:r w:rsidR="00707A8C">
        <w:rPr>
          <w:rFonts w:ascii="Times New Roman" w:hAnsi="Times New Roman" w:cs="Times New Roman"/>
          <w:sz w:val="24"/>
          <w:szCs w:val="24"/>
        </w:rPr>
        <w:t xml:space="preserve">Among communities, </w:t>
      </w:r>
      <w:r w:rsidR="003A7503">
        <w:rPr>
          <w:rFonts w:ascii="Times New Roman" w:hAnsi="Times New Roman" w:cs="Times New Roman"/>
          <w:sz w:val="24"/>
          <w:szCs w:val="24"/>
        </w:rPr>
        <w:t xml:space="preserve">support groups for LGBQ youth should be implemented and encouraged, </w:t>
      </w:r>
      <w:r w:rsidR="00ED5742">
        <w:rPr>
          <w:rFonts w:ascii="Times New Roman" w:hAnsi="Times New Roman" w:cs="Times New Roman"/>
          <w:sz w:val="24"/>
          <w:szCs w:val="24"/>
        </w:rPr>
        <w:t xml:space="preserve">and funding should be </w:t>
      </w:r>
      <w:r w:rsidR="00292922">
        <w:rPr>
          <w:rFonts w:ascii="Times New Roman" w:hAnsi="Times New Roman" w:cs="Times New Roman"/>
          <w:sz w:val="24"/>
          <w:szCs w:val="24"/>
        </w:rPr>
        <w:t xml:space="preserve">secured to increase community-based programming effective in providing services to this population </w:t>
      </w:r>
      <w:r w:rsidR="00A65F57" w:rsidRPr="00A65F57">
        <w:rPr>
          <w:rFonts w:ascii="Times New Roman" w:hAnsi="Times New Roman" w:cs="Times New Roman"/>
          <w:sz w:val="24"/>
          <w:szCs w:val="24"/>
        </w:rPr>
        <w:t>(Allen, Hammack, and Himes 2012)</w:t>
      </w:r>
      <w:r w:rsidR="00A65F57">
        <w:rPr>
          <w:rFonts w:ascii="Times New Roman" w:hAnsi="Times New Roman" w:cs="Times New Roman"/>
          <w:sz w:val="24"/>
          <w:szCs w:val="24"/>
        </w:rPr>
        <w:t xml:space="preserve">. </w:t>
      </w:r>
      <w:r w:rsidR="00910E46">
        <w:rPr>
          <w:rFonts w:ascii="Times New Roman" w:hAnsi="Times New Roman" w:cs="Times New Roman"/>
          <w:sz w:val="24"/>
          <w:szCs w:val="24"/>
        </w:rPr>
        <w:t>Finally, policies restricting same-sex parents from fostering</w:t>
      </w:r>
      <w:r w:rsidR="00916C53">
        <w:rPr>
          <w:rFonts w:ascii="Times New Roman" w:hAnsi="Times New Roman" w:cs="Times New Roman"/>
          <w:sz w:val="24"/>
          <w:szCs w:val="24"/>
        </w:rPr>
        <w:t xml:space="preserve"> should be repealed, as well as policies approving the use of harmful practices </w:t>
      </w:r>
      <w:r w:rsidR="009035F8">
        <w:rPr>
          <w:rFonts w:ascii="Times New Roman" w:hAnsi="Times New Roman" w:cs="Times New Roman"/>
          <w:sz w:val="24"/>
          <w:szCs w:val="24"/>
        </w:rPr>
        <w:t xml:space="preserve">geared toward LGBQ youth </w:t>
      </w:r>
      <w:r w:rsidR="00916C53">
        <w:rPr>
          <w:rFonts w:ascii="Times New Roman" w:hAnsi="Times New Roman" w:cs="Times New Roman"/>
          <w:sz w:val="24"/>
          <w:szCs w:val="24"/>
        </w:rPr>
        <w:t>such as conversion therapy</w:t>
      </w:r>
      <w:r w:rsidR="009F0E7B">
        <w:rPr>
          <w:rFonts w:ascii="Times New Roman" w:hAnsi="Times New Roman" w:cs="Times New Roman"/>
          <w:sz w:val="24"/>
          <w:szCs w:val="24"/>
        </w:rPr>
        <w:t xml:space="preserve">. Furthermore, policies should be implemented to </w:t>
      </w:r>
      <w:r w:rsidR="009F0E7B">
        <w:rPr>
          <w:rFonts w:ascii="Times New Roman" w:hAnsi="Times New Roman" w:cs="Times New Roman"/>
          <w:sz w:val="24"/>
          <w:szCs w:val="24"/>
        </w:rPr>
        <w:lastRenderedPageBreak/>
        <w:t xml:space="preserve">require caseworkers </w:t>
      </w:r>
      <w:r w:rsidR="002700CA">
        <w:rPr>
          <w:rFonts w:ascii="Times New Roman" w:hAnsi="Times New Roman" w:cs="Times New Roman"/>
          <w:sz w:val="24"/>
          <w:szCs w:val="24"/>
        </w:rPr>
        <w:t>to attend training on</w:t>
      </w:r>
      <w:r w:rsidR="00B34615">
        <w:rPr>
          <w:rFonts w:ascii="Times New Roman" w:hAnsi="Times New Roman" w:cs="Times New Roman"/>
          <w:sz w:val="24"/>
          <w:szCs w:val="24"/>
        </w:rPr>
        <w:t xml:space="preserve"> the appropriate services </w:t>
      </w:r>
      <w:r w:rsidR="002162F0">
        <w:rPr>
          <w:rFonts w:ascii="Times New Roman" w:hAnsi="Times New Roman" w:cs="Times New Roman"/>
          <w:sz w:val="24"/>
          <w:szCs w:val="24"/>
        </w:rPr>
        <w:t>and best practices for serving LGBQ youth involved in child welfare.</w:t>
      </w:r>
    </w:p>
    <w:p w14:paraId="4945CFA4" w14:textId="547A8429" w:rsidR="00A8638A" w:rsidRPr="00C031AF" w:rsidRDefault="00A8638A" w:rsidP="004F22A2">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Future research should continue to focus on LGBQ youth in child welfare given their disproportionate representation within the system and find ways to improve their life circumstances at all phases of involvement (reports, investigations, placement, and permanency planning). This is imperative given their higher rates of placement into foster care and poorer mental health outcomes. Additionally, universal programming should be developed to focus on parents of LGBQ youth and encourage acceptance of LGBQ youth to help prevent potential child welfare involvement. Furthermore, workforce training for caseworkers working with this population should be enforced to improve bias and discrimination in decision-making. </w:t>
      </w:r>
    </w:p>
    <w:p w14:paraId="59E0ACDD" w14:textId="68711306" w:rsidR="004F22A2" w:rsidRPr="00C031AF" w:rsidRDefault="004F22A2" w:rsidP="004F22A2">
      <w:pPr>
        <w:spacing w:line="480" w:lineRule="auto"/>
        <w:contextualSpacing/>
        <w:rPr>
          <w:rFonts w:ascii="Times New Roman" w:hAnsi="Times New Roman" w:cs="Times New Roman"/>
          <w:sz w:val="24"/>
          <w:szCs w:val="24"/>
        </w:rPr>
      </w:pPr>
      <w:r w:rsidRPr="00C031AF">
        <w:rPr>
          <w:rFonts w:ascii="Times New Roman" w:hAnsi="Times New Roman" w:cs="Times New Roman"/>
          <w:sz w:val="24"/>
          <w:szCs w:val="24"/>
        </w:rPr>
        <w:tab/>
        <w:t>While the implications of this research have the potential to inform strategies for improving the well-being of LGBQ youth involved with child welfare, there are several limitations. The experiences of transgender youth could not be captured in our datasets, excluding their voices and perspectives in the analyses. In all chapters, small sample size was a constraint. Future research should work to oversample LGBQ youth and include transgender youth to ensure adequate sample size and retain statistical power. Additionally, the ability to look at trends over time</w:t>
      </w:r>
      <w:r w:rsidR="00912153">
        <w:rPr>
          <w:rFonts w:ascii="Times New Roman" w:hAnsi="Times New Roman" w:cs="Times New Roman"/>
          <w:sz w:val="24"/>
          <w:szCs w:val="24"/>
        </w:rPr>
        <w:t xml:space="preserve"> and the fluidity of gender/sexual orientation</w:t>
      </w:r>
      <w:r w:rsidRPr="00C031AF">
        <w:rPr>
          <w:rFonts w:ascii="Times New Roman" w:hAnsi="Times New Roman" w:cs="Times New Roman"/>
          <w:sz w:val="24"/>
          <w:szCs w:val="24"/>
        </w:rPr>
        <w:t xml:space="preserve"> within the NSCAW II data was hindered given that the variable to measure sexual orientation was only asked in the final wave of data collection and only asked of youth over the age of eleven. Therefore, all studies are cross-sectional in nature and cannot make any causal conclusions from the analyses. </w:t>
      </w:r>
      <w:r w:rsidR="0056286F">
        <w:rPr>
          <w:rFonts w:ascii="Times New Roman" w:hAnsi="Times New Roman" w:cs="Times New Roman"/>
          <w:sz w:val="24"/>
          <w:szCs w:val="24"/>
        </w:rPr>
        <w:t xml:space="preserve">The available weights in the NSCAW II were also a limitation, given that </w:t>
      </w:r>
      <w:r w:rsidR="00782AB1">
        <w:rPr>
          <w:rFonts w:ascii="Times New Roman" w:hAnsi="Times New Roman" w:cs="Times New Roman"/>
          <w:sz w:val="24"/>
          <w:szCs w:val="24"/>
        </w:rPr>
        <w:t xml:space="preserve">they </w:t>
      </w:r>
      <w:r w:rsidR="00BA59AB">
        <w:rPr>
          <w:rFonts w:ascii="Times New Roman" w:hAnsi="Times New Roman" w:cs="Times New Roman"/>
          <w:sz w:val="24"/>
          <w:szCs w:val="24"/>
        </w:rPr>
        <w:t xml:space="preserve">cannot capture variation in state policy as it pertains to the rights of LGBQ youth and the impact it may have on well-being. </w:t>
      </w:r>
      <w:r w:rsidR="006A7C57">
        <w:rPr>
          <w:rFonts w:ascii="Times New Roman" w:hAnsi="Times New Roman" w:cs="Times New Roman"/>
          <w:sz w:val="24"/>
          <w:szCs w:val="24"/>
        </w:rPr>
        <w:t xml:space="preserve">Furthermore, well-being is </w:t>
      </w:r>
      <w:r w:rsidR="00171D74">
        <w:rPr>
          <w:rFonts w:ascii="Times New Roman" w:hAnsi="Times New Roman" w:cs="Times New Roman"/>
          <w:sz w:val="24"/>
          <w:szCs w:val="24"/>
        </w:rPr>
        <w:t>a multidimensional</w:t>
      </w:r>
      <w:r w:rsidR="006A7C57">
        <w:rPr>
          <w:rFonts w:ascii="Times New Roman" w:hAnsi="Times New Roman" w:cs="Times New Roman"/>
          <w:sz w:val="24"/>
          <w:szCs w:val="24"/>
        </w:rPr>
        <w:t xml:space="preserve"> concept and </w:t>
      </w:r>
      <w:r w:rsidR="00E11D82">
        <w:rPr>
          <w:rFonts w:ascii="Times New Roman" w:hAnsi="Times New Roman" w:cs="Times New Roman"/>
          <w:sz w:val="24"/>
          <w:szCs w:val="24"/>
        </w:rPr>
        <w:t xml:space="preserve">my </w:t>
      </w:r>
      <w:proofErr w:type="gramStart"/>
      <w:r w:rsidR="00E11D82">
        <w:rPr>
          <w:rFonts w:ascii="Times New Roman" w:hAnsi="Times New Roman" w:cs="Times New Roman"/>
          <w:sz w:val="24"/>
          <w:szCs w:val="24"/>
        </w:rPr>
        <w:t>coauthors</w:t>
      </w:r>
      <w:proofErr w:type="gramEnd"/>
      <w:r w:rsidR="00E11D82">
        <w:rPr>
          <w:rFonts w:ascii="Times New Roman" w:hAnsi="Times New Roman" w:cs="Times New Roman"/>
          <w:sz w:val="24"/>
          <w:szCs w:val="24"/>
        </w:rPr>
        <w:t xml:space="preserve"> and I could only study </w:t>
      </w:r>
      <w:r w:rsidR="00E11D82">
        <w:rPr>
          <w:rFonts w:ascii="Times New Roman" w:hAnsi="Times New Roman" w:cs="Times New Roman"/>
          <w:sz w:val="24"/>
          <w:szCs w:val="24"/>
        </w:rPr>
        <w:lastRenderedPageBreak/>
        <w:t xml:space="preserve">limited dimensions of well-being such as hope, behavioral problems, and future expectations. </w:t>
      </w:r>
      <w:r w:rsidRPr="00C031AF">
        <w:rPr>
          <w:rFonts w:ascii="Times New Roman" w:hAnsi="Times New Roman" w:cs="Times New Roman"/>
          <w:sz w:val="24"/>
          <w:szCs w:val="24"/>
        </w:rPr>
        <w:t>Finally, the findings from these chapters may not be generalizable to LGBQ youth in the general population, though that was not the intention. But, as stated previously, improving the well-being of all LGBQ youth in society suggests that outcomes for child-welfare</w:t>
      </w:r>
      <w:r w:rsidR="00BA59AB">
        <w:rPr>
          <w:rFonts w:ascii="Times New Roman" w:hAnsi="Times New Roman" w:cs="Times New Roman"/>
          <w:sz w:val="24"/>
          <w:szCs w:val="24"/>
        </w:rPr>
        <w:t>-</w:t>
      </w:r>
      <w:r w:rsidRPr="00C031AF">
        <w:rPr>
          <w:rFonts w:ascii="Times New Roman" w:hAnsi="Times New Roman" w:cs="Times New Roman"/>
          <w:sz w:val="24"/>
          <w:szCs w:val="24"/>
        </w:rPr>
        <w:t xml:space="preserve">involved youth will also improve.  However, given the importance of these findings and the little scholarly research addressing these issues, it should not be ignored that social support from caseworkers, family, and peers play a pivotal role in child welfare trajectories. </w:t>
      </w:r>
    </w:p>
    <w:p w14:paraId="2C6469B9" w14:textId="668093D1" w:rsidR="00720D04" w:rsidRDefault="004F22A2" w:rsidP="00171D74">
      <w:pPr>
        <w:spacing w:line="480" w:lineRule="auto"/>
        <w:ind w:firstLine="720"/>
        <w:rPr>
          <w:rFonts w:ascii="Times New Roman" w:hAnsi="Times New Roman" w:cs="Times New Roman"/>
          <w:sz w:val="24"/>
          <w:szCs w:val="24"/>
        </w:rPr>
      </w:pPr>
      <w:r w:rsidRPr="00C031AF">
        <w:rPr>
          <w:rFonts w:ascii="Times New Roman" w:hAnsi="Times New Roman" w:cs="Times New Roman"/>
          <w:sz w:val="24"/>
          <w:szCs w:val="24"/>
        </w:rPr>
        <w:t xml:space="preserve">In recognizing the child welfare system as an institution that shapes family life for the most vulnerable youth, this research shows that promoting supportive and affirmative relationships for LGBQ youth in child welfare can improve their well-being and increase their chances for a successful transition to adulthood. This can be accomplished by innovative, evidence-informed, and evidence-based programs that focus on fostering positive and supportive relationships between LGBQ youth and their parents, caregivers, peers, and professional support staff. The use of these interventions in child welfare should also be examined. It is of the utmost importance now to examine the structural inequalities and marginalization faced by LGBQ youth in child welfare and work to improve a system designed to help children and families, rather than continue to overlook them. Social support is one </w:t>
      </w:r>
      <w:proofErr w:type="gramStart"/>
      <w:r w:rsidRPr="00C031AF">
        <w:rPr>
          <w:rFonts w:ascii="Times New Roman" w:hAnsi="Times New Roman" w:cs="Times New Roman"/>
          <w:sz w:val="24"/>
          <w:szCs w:val="24"/>
        </w:rPr>
        <w:t>key way</w:t>
      </w:r>
      <w:proofErr w:type="gramEnd"/>
      <w:r w:rsidRPr="00C031AF">
        <w:rPr>
          <w:rFonts w:ascii="Times New Roman" w:hAnsi="Times New Roman" w:cs="Times New Roman"/>
          <w:sz w:val="24"/>
          <w:szCs w:val="24"/>
        </w:rPr>
        <w:t xml:space="preserve"> in which developmental outcomes can be improved, whether this be from paid professionals, caregivers, peers, </w:t>
      </w:r>
      <w:r w:rsidR="0050081D">
        <w:rPr>
          <w:rFonts w:ascii="Times New Roman" w:hAnsi="Times New Roman" w:cs="Times New Roman"/>
          <w:sz w:val="24"/>
          <w:szCs w:val="24"/>
        </w:rPr>
        <w:t>or</w:t>
      </w:r>
      <w:r w:rsidRPr="00C031AF">
        <w:rPr>
          <w:rFonts w:ascii="Times New Roman" w:hAnsi="Times New Roman" w:cs="Times New Roman"/>
          <w:sz w:val="24"/>
          <w:szCs w:val="24"/>
        </w:rPr>
        <w:t xml:space="preserve"> interventions to improve social support.</w:t>
      </w:r>
    </w:p>
    <w:p w14:paraId="24E7BF22" w14:textId="77777777" w:rsidR="00171D74" w:rsidRDefault="00171D74">
      <w:pPr>
        <w:rPr>
          <w:rFonts w:ascii="Times New Roman" w:hAnsi="Times New Roman" w:cs="Times New Roman"/>
        </w:rPr>
      </w:pPr>
      <w:r>
        <w:rPr>
          <w:rFonts w:ascii="Times New Roman" w:hAnsi="Times New Roman" w:cs="Times New Roman"/>
        </w:rPr>
        <w:br w:type="page"/>
      </w:r>
    </w:p>
    <w:p w14:paraId="2A1BB058" w14:textId="54F3B807" w:rsidR="004F22A2" w:rsidRPr="00720D04" w:rsidRDefault="00FE41F4" w:rsidP="00720D04">
      <w:pPr>
        <w:spacing w:line="480" w:lineRule="auto"/>
        <w:contextualSpacing/>
        <w:rPr>
          <w:rFonts w:ascii="Times New Roman" w:hAnsi="Times New Roman" w:cs="Times New Roman"/>
          <w:sz w:val="24"/>
          <w:szCs w:val="24"/>
        </w:rPr>
      </w:pPr>
      <w:r>
        <w:rPr>
          <w:rFonts w:ascii="Times New Roman" w:hAnsi="Times New Roman" w:cs="Times New Roman"/>
        </w:rPr>
        <w:lastRenderedPageBreak/>
        <w:t>REFERENCES</w:t>
      </w:r>
    </w:p>
    <w:p w14:paraId="42755609" w14:textId="5CF57780" w:rsidR="00227D0B" w:rsidRDefault="00227D0B" w:rsidP="00227D0B">
      <w:pPr>
        <w:pStyle w:val="Bibliography"/>
        <w:rPr>
          <w:rFonts w:ascii="Times New Roman" w:hAnsi="Times New Roman" w:cs="Times New Roman"/>
          <w:sz w:val="24"/>
          <w:szCs w:val="24"/>
        </w:rPr>
      </w:pPr>
      <w:r w:rsidRPr="00227D0B">
        <w:rPr>
          <w:rFonts w:ascii="Times New Roman" w:hAnsi="Times New Roman" w:cs="Times New Roman"/>
          <w:sz w:val="24"/>
          <w:szCs w:val="24"/>
        </w:rPr>
        <w:t xml:space="preserve">Allen, Kenneth D., Phillip L. Hammack, and Heather L. Himes. 2012. “Analysis of GLBTQ Youth Community-Based Programs in the United States.” </w:t>
      </w:r>
      <w:r w:rsidRPr="00227D0B">
        <w:rPr>
          <w:rFonts w:ascii="Times New Roman" w:hAnsi="Times New Roman" w:cs="Times New Roman"/>
          <w:i/>
          <w:iCs/>
          <w:sz w:val="24"/>
          <w:szCs w:val="24"/>
        </w:rPr>
        <w:t>Journal of Homosexuality</w:t>
      </w:r>
      <w:r w:rsidRPr="00227D0B">
        <w:rPr>
          <w:rFonts w:ascii="Times New Roman" w:hAnsi="Times New Roman" w:cs="Times New Roman"/>
          <w:sz w:val="24"/>
          <w:szCs w:val="24"/>
        </w:rPr>
        <w:t xml:space="preserve"> 59(9):1289–1306. doi: </w:t>
      </w:r>
      <w:hyperlink r:id="rId67" w:history="1">
        <w:r w:rsidRPr="00227D0B">
          <w:rPr>
            <w:rStyle w:val="Hyperlink"/>
            <w:rFonts w:ascii="Times New Roman" w:hAnsi="Times New Roman" w:cs="Times New Roman"/>
            <w:sz w:val="24"/>
            <w:szCs w:val="24"/>
          </w:rPr>
          <w:t>10.1080/00918369.2012.720529</w:t>
        </w:r>
      </w:hyperlink>
      <w:r w:rsidRPr="00227D0B">
        <w:rPr>
          <w:rFonts w:ascii="Times New Roman" w:hAnsi="Times New Roman" w:cs="Times New Roman"/>
          <w:sz w:val="24"/>
          <w:szCs w:val="24"/>
        </w:rPr>
        <w:t>.</w:t>
      </w:r>
    </w:p>
    <w:p w14:paraId="0F0B9B37" w14:textId="69F6F72D"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fldChar w:fldCharType="begin"/>
      </w:r>
      <w:r w:rsidRPr="00AB4124">
        <w:rPr>
          <w:rFonts w:ascii="Times New Roman" w:hAnsi="Times New Roman" w:cs="Times New Roman"/>
          <w:sz w:val="24"/>
          <w:szCs w:val="24"/>
        </w:rPr>
        <w:instrText xml:space="preserve"> ADDIN ZOTERO_BIBL {"uncited":[],"omitted":[],"custom":[]} CSL_BIBLIOGRAPHY </w:instrText>
      </w:r>
      <w:r w:rsidRPr="00AB4124">
        <w:rPr>
          <w:rFonts w:ascii="Times New Roman" w:hAnsi="Times New Roman" w:cs="Times New Roman"/>
          <w:sz w:val="24"/>
          <w:szCs w:val="24"/>
        </w:rPr>
        <w:fldChar w:fldCharType="separate"/>
      </w:r>
      <w:r w:rsidRPr="00AB4124">
        <w:rPr>
          <w:rFonts w:ascii="Times New Roman" w:hAnsi="Times New Roman" w:cs="Times New Roman"/>
          <w:sz w:val="24"/>
          <w:szCs w:val="24"/>
        </w:rPr>
        <w:t xml:space="preserve">Austin, Ashley, Shelley L. Craig, Marlene Matarese, Elizabeth J. Greeno, Angela Weeks, and S. Aaron Betsinger. 2021. “Preliminary Effectiveness of an LGBTQ+ Affirmative Parenting Intervention with Foster Parents.” </w:t>
      </w:r>
      <w:r w:rsidRPr="00AB4124">
        <w:rPr>
          <w:rFonts w:ascii="Times New Roman" w:hAnsi="Times New Roman" w:cs="Times New Roman"/>
          <w:i/>
          <w:iCs/>
          <w:sz w:val="24"/>
          <w:szCs w:val="24"/>
        </w:rPr>
        <w:t>Children and Youth Services Review</w:t>
      </w:r>
      <w:r w:rsidRPr="00AB4124">
        <w:rPr>
          <w:rFonts w:ascii="Times New Roman" w:hAnsi="Times New Roman" w:cs="Times New Roman"/>
          <w:sz w:val="24"/>
          <w:szCs w:val="24"/>
        </w:rPr>
        <w:t xml:space="preserve"> 127:106107. doi: 10.1016/j.childyouth.2021.106107.</w:t>
      </w:r>
    </w:p>
    <w:p w14:paraId="4B4E4062"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Barnum, David D., C. R. Snyder, Michael A. Rapoff, Mani M. Mani, and Rosie Thompson. 1998. “Hope and Social Support in the Psychological Adjustment of Children Who Have Survived Burn Injuries and Their Matched Controls.” </w:t>
      </w:r>
      <w:r w:rsidRPr="00AB4124">
        <w:rPr>
          <w:rFonts w:ascii="Times New Roman" w:hAnsi="Times New Roman" w:cs="Times New Roman"/>
          <w:i/>
          <w:iCs/>
          <w:sz w:val="24"/>
          <w:szCs w:val="24"/>
        </w:rPr>
        <w:t>Children’s Health Care</w:t>
      </w:r>
      <w:r w:rsidRPr="00AB4124">
        <w:rPr>
          <w:rFonts w:ascii="Times New Roman" w:hAnsi="Times New Roman" w:cs="Times New Roman"/>
          <w:sz w:val="24"/>
          <w:szCs w:val="24"/>
        </w:rPr>
        <w:t xml:space="preserve"> 27(1):15–30. doi: 10.1207/s15326888chc2701_2.</w:t>
      </w:r>
    </w:p>
    <w:p w14:paraId="1408BA4F" w14:textId="77777777" w:rsid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Bronfenbrenner, Urie. 1979. </w:t>
      </w:r>
      <w:r w:rsidRPr="00AB4124">
        <w:rPr>
          <w:rFonts w:ascii="Times New Roman" w:hAnsi="Times New Roman" w:cs="Times New Roman"/>
          <w:i/>
          <w:iCs/>
          <w:sz w:val="24"/>
          <w:szCs w:val="24"/>
        </w:rPr>
        <w:t>The Ecology of Human Development: Experiments by Nature and Design</w:t>
      </w:r>
      <w:r w:rsidRPr="00AB4124">
        <w:rPr>
          <w:rFonts w:ascii="Times New Roman" w:hAnsi="Times New Roman" w:cs="Times New Roman"/>
          <w:sz w:val="24"/>
          <w:szCs w:val="24"/>
        </w:rPr>
        <w:t>. Harvard University Press.</w:t>
      </w:r>
    </w:p>
    <w:p w14:paraId="414E82CC" w14:textId="6F71307A" w:rsidR="00695A04" w:rsidRPr="00695A04" w:rsidRDefault="00695A04" w:rsidP="00695A04">
      <w:pPr>
        <w:spacing w:after="0" w:line="240" w:lineRule="auto"/>
        <w:ind w:left="720" w:hanging="720"/>
        <w:rPr>
          <w:rFonts w:ascii="Times New Roman" w:eastAsia="Times New Roman" w:hAnsi="Times New Roman" w:cs="Times New Roman"/>
          <w:kern w:val="0"/>
          <w:sz w:val="24"/>
          <w:szCs w:val="24"/>
          <w14:ligatures w14:val="none"/>
        </w:rPr>
      </w:pPr>
      <w:r w:rsidRPr="00695A04">
        <w:rPr>
          <w:rFonts w:ascii="Times New Roman" w:eastAsia="Times New Roman" w:hAnsi="Times New Roman" w:cs="Times New Roman"/>
          <w:kern w:val="0"/>
          <w:sz w:val="24"/>
          <w:szCs w:val="24"/>
          <w14:ligatures w14:val="none"/>
        </w:rPr>
        <w:t xml:space="preserve">Brooks, Virginia R. 1981. </w:t>
      </w:r>
      <w:r w:rsidRPr="00695A04">
        <w:rPr>
          <w:rFonts w:ascii="Times New Roman" w:eastAsia="Times New Roman" w:hAnsi="Times New Roman" w:cs="Times New Roman"/>
          <w:i/>
          <w:iCs/>
          <w:kern w:val="0"/>
          <w:sz w:val="24"/>
          <w:szCs w:val="24"/>
          <w14:ligatures w14:val="none"/>
        </w:rPr>
        <w:t>Minority Stress and Lesbian Women / Virginia R. Brooks.</w:t>
      </w:r>
      <w:r w:rsidRPr="00695A04">
        <w:rPr>
          <w:rFonts w:ascii="Times New Roman" w:eastAsia="Times New Roman" w:hAnsi="Times New Roman" w:cs="Times New Roman"/>
          <w:kern w:val="0"/>
          <w:sz w:val="24"/>
          <w:szCs w:val="24"/>
          <w14:ligatures w14:val="none"/>
        </w:rPr>
        <w:t xml:space="preserve"> Lexington, Mass: Lexington Books.</w:t>
      </w:r>
    </w:p>
    <w:p w14:paraId="4D3D1F75" w14:textId="77777777" w:rsidR="00695A04" w:rsidRPr="00695A04" w:rsidRDefault="00695A04" w:rsidP="00695A04">
      <w:pPr>
        <w:spacing w:after="0" w:line="240" w:lineRule="auto"/>
        <w:ind w:left="720" w:hanging="720"/>
      </w:pPr>
    </w:p>
    <w:p w14:paraId="2DE01FD9"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Cederbaum, Julie A., Amy S. He, Anthony Fulginiti, Kathrine Sullivan, Max D. Krauss, Ndidi Amutah, and Cara Pohle. 2017. “Caregiver Qualities, Family Closeness, and the Well-Being of Adolescents Engaged in the Child Welfare System.” </w:t>
      </w:r>
      <w:r w:rsidRPr="00AB4124">
        <w:rPr>
          <w:rFonts w:ascii="Times New Roman" w:hAnsi="Times New Roman" w:cs="Times New Roman"/>
          <w:i/>
          <w:iCs/>
          <w:sz w:val="24"/>
          <w:szCs w:val="24"/>
        </w:rPr>
        <w:t>Children and Youth Services Review</w:t>
      </w:r>
      <w:r w:rsidRPr="00AB4124">
        <w:rPr>
          <w:rFonts w:ascii="Times New Roman" w:hAnsi="Times New Roman" w:cs="Times New Roman"/>
          <w:sz w:val="24"/>
          <w:szCs w:val="24"/>
        </w:rPr>
        <w:t xml:space="preserve"> 73:113–20. doi: 10.1016/j.childyouth.2016.12.007.</w:t>
      </w:r>
    </w:p>
    <w:p w14:paraId="0A3295B0"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Center for the Study of Social Policy. 2024. “Strengthening Families.” </w:t>
      </w:r>
      <w:r w:rsidRPr="00AB4124">
        <w:rPr>
          <w:rFonts w:ascii="Times New Roman" w:hAnsi="Times New Roman" w:cs="Times New Roman"/>
          <w:i/>
          <w:iCs/>
          <w:sz w:val="24"/>
          <w:szCs w:val="24"/>
        </w:rPr>
        <w:t>Center for the Study of Social Policy</w:t>
      </w:r>
      <w:r w:rsidRPr="00AB4124">
        <w:rPr>
          <w:rFonts w:ascii="Times New Roman" w:hAnsi="Times New Roman" w:cs="Times New Roman"/>
          <w:sz w:val="24"/>
          <w:szCs w:val="24"/>
        </w:rPr>
        <w:t>. Retrieved February 6, 2024 (https://cssp.org/our-work/project/strengthening-families/).</w:t>
      </w:r>
    </w:p>
    <w:p w14:paraId="51A529D9"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Collins, Mary, Renée Spencer, and Rolanda Ward. 2010. “Supporting Youth in the Transition from Foster Care: Formal and Informal Connections.” </w:t>
      </w:r>
      <w:r w:rsidRPr="00AB4124">
        <w:rPr>
          <w:rFonts w:ascii="Times New Roman" w:hAnsi="Times New Roman" w:cs="Times New Roman"/>
          <w:i/>
          <w:iCs/>
          <w:sz w:val="24"/>
          <w:szCs w:val="24"/>
        </w:rPr>
        <w:t>Child Welfare</w:t>
      </w:r>
      <w:r w:rsidRPr="00AB4124">
        <w:rPr>
          <w:rFonts w:ascii="Times New Roman" w:hAnsi="Times New Roman" w:cs="Times New Roman"/>
          <w:sz w:val="24"/>
          <w:szCs w:val="24"/>
        </w:rPr>
        <w:t xml:space="preserve"> 89:125–43.</w:t>
      </w:r>
    </w:p>
    <w:p w14:paraId="48434A6A"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Dettlaff, Alan J., and Micki Washburn. 2018. “Lesbian, Gay, and Bisexual (LGB) Youth within in Welfare: Prevalence, Risk and Outcomes.” </w:t>
      </w:r>
      <w:r w:rsidRPr="00AB4124">
        <w:rPr>
          <w:rFonts w:ascii="Times New Roman" w:hAnsi="Times New Roman" w:cs="Times New Roman"/>
          <w:i/>
          <w:iCs/>
          <w:sz w:val="24"/>
          <w:szCs w:val="24"/>
        </w:rPr>
        <w:t>Child Abuse &amp; Neglect</w:t>
      </w:r>
      <w:r w:rsidRPr="00AB4124">
        <w:rPr>
          <w:rFonts w:ascii="Times New Roman" w:hAnsi="Times New Roman" w:cs="Times New Roman"/>
          <w:sz w:val="24"/>
          <w:szCs w:val="24"/>
        </w:rPr>
        <w:t xml:space="preserve"> 80:183–93.</w:t>
      </w:r>
    </w:p>
    <w:p w14:paraId="588AA384"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Dickerson, Kelli L., and Jodi A. Quas. 2021. “Perceived Life Expectancy, Environmental Unpredictability, and Behavior in High-Risk Youth.” </w:t>
      </w:r>
      <w:r w:rsidRPr="00AB4124">
        <w:rPr>
          <w:rFonts w:ascii="Times New Roman" w:hAnsi="Times New Roman" w:cs="Times New Roman"/>
          <w:i/>
          <w:iCs/>
          <w:sz w:val="24"/>
          <w:szCs w:val="24"/>
        </w:rPr>
        <w:t>Journal of Applied Developmental Psychology</w:t>
      </w:r>
      <w:r w:rsidRPr="00AB4124">
        <w:rPr>
          <w:rFonts w:ascii="Times New Roman" w:hAnsi="Times New Roman" w:cs="Times New Roman"/>
          <w:sz w:val="24"/>
          <w:szCs w:val="24"/>
        </w:rPr>
        <w:t xml:space="preserve"> 77:101344. doi: 10.1016/j.appdev.2021.101344.</w:t>
      </w:r>
    </w:p>
    <w:p w14:paraId="59AFE514"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Dozier, Mary, Elizabeth Higley, Kathleen E. Albus, and Anna Nutter. 2002. “Intervening with Foster Infants’ Caregivers: Targeting Three Critical Needs.” </w:t>
      </w:r>
      <w:r w:rsidRPr="00AB4124">
        <w:rPr>
          <w:rFonts w:ascii="Times New Roman" w:hAnsi="Times New Roman" w:cs="Times New Roman"/>
          <w:i/>
          <w:iCs/>
          <w:sz w:val="24"/>
          <w:szCs w:val="24"/>
        </w:rPr>
        <w:t>Infant Mental Health Journal</w:t>
      </w:r>
      <w:r w:rsidRPr="00AB4124">
        <w:rPr>
          <w:rFonts w:ascii="Times New Roman" w:hAnsi="Times New Roman" w:cs="Times New Roman"/>
          <w:sz w:val="24"/>
          <w:szCs w:val="24"/>
        </w:rPr>
        <w:t xml:space="preserve"> 23(5):541–54. doi: 10.1002/imhj.10032.</w:t>
      </w:r>
    </w:p>
    <w:p w14:paraId="4BF42035"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Felitti, Vincent J., Robert F. Anda, Dale Nordenberg, David F. Williamson, Alison M. Spitz, Valerie Edwards, Mary P. Koss, and James S. Marks. 1998. “Relationship of Childhood </w:t>
      </w:r>
      <w:r w:rsidRPr="00AB4124">
        <w:rPr>
          <w:rFonts w:ascii="Times New Roman" w:hAnsi="Times New Roman" w:cs="Times New Roman"/>
          <w:sz w:val="24"/>
          <w:szCs w:val="24"/>
        </w:rPr>
        <w:lastRenderedPageBreak/>
        <w:t xml:space="preserve">Abuse and Household Dysfunction to Many of the Leading Causes of Death in Adults: The Adverse Childhood Experiences (ACE) Study.” </w:t>
      </w:r>
      <w:r w:rsidRPr="00AB4124">
        <w:rPr>
          <w:rFonts w:ascii="Times New Roman" w:hAnsi="Times New Roman" w:cs="Times New Roman"/>
          <w:i/>
          <w:iCs/>
          <w:sz w:val="24"/>
          <w:szCs w:val="24"/>
        </w:rPr>
        <w:t>American Journal of Preventive Medicine</w:t>
      </w:r>
      <w:r w:rsidRPr="00AB4124">
        <w:rPr>
          <w:rFonts w:ascii="Times New Roman" w:hAnsi="Times New Roman" w:cs="Times New Roman"/>
          <w:sz w:val="24"/>
          <w:szCs w:val="24"/>
        </w:rPr>
        <w:t xml:space="preserve"> 14(4):245–58. doi: 10.1016/S0749-3797(98)00017-8.</w:t>
      </w:r>
    </w:p>
    <w:p w14:paraId="6F847954"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Fish, Jessica N., Laura Baams, Armeda Stevenson Wojciak, and Stephen T. Russell. 2019. “Are Sexual Minority Youth Overrepresented in Foster Care, Child Welfare, and out-of-Home Placement? Findings from Nationally Representative Data.” </w:t>
      </w:r>
      <w:r w:rsidRPr="00AB4124">
        <w:rPr>
          <w:rFonts w:ascii="Times New Roman" w:hAnsi="Times New Roman" w:cs="Times New Roman"/>
          <w:i/>
          <w:iCs/>
          <w:sz w:val="24"/>
          <w:szCs w:val="24"/>
        </w:rPr>
        <w:t>Child Abuse &amp; Neglect</w:t>
      </w:r>
      <w:r w:rsidRPr="00AB4124">
        <w:rPr>
          <w:rFonts w:ascii="Times New Roman" w:hAnsi="Times New Roman" w:cs="Times New Roman"/>
          <w:sz w:val="24"/>
          <w:szCs w:val="24"/>
        </w:rPr>
        <w:t xml:space="preserve"> 89:203–11. doi: 10.1016/j.chiabu.2019.01.005.</w:t>
      </w:r>
    </w:p>
    <w:p w14:paraId="482F70D2"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Glisson, Charles, and Philip Green. 2011. “Organizational Climate, Services, and Outcomes in Child Welfare Systems.” </w:t>
      </w:r>
      <w:r w:rsidRPr="00AB4124">
        <w:rPr>
          <w:rFonts w:ascii="Times New Roman" w:hAnsi="Times New Roman" w:cs="Times New Roman"/>
          <w:i/>
          <w:iCs/>
          <w:sz w:val="24"/>
          <w:szCs w:val="24"/>
        </w:rPr>
        <w:t>Child Abuse &amp; Neglect</w:t>
      </w:r>
      <w:r w:rsidRPr="00AB4124">
        <w:rPr>
          <w:rFonts w:ascii="Times New Roman" w:hAnsi="Times New Roman" w:cs="Times New Roman"/>
          <w:sz w:val="24"/>
          <w:szCs w:val="24"/>
        </w:rPr>
        <w:t xml:space="preserve"> 35(8):582–91. doi: 10.1016/j.chiabu.2011.04.009.</w:t>
      </w:r>
    </w:p>
    <w:p w14:paraId="5F07F1F1"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Halleröd, Björn. 2011. “What Do Children Know About Their Futures: Do Children’s Expectations Predict Outcomes in Middle Age?” </w:t>
      </w:r>
      <w:r w:rsidRPr="00AB4124">
        <w:rPr>
          <w:rFonts w:ascii="Times New Roman" w:hAnsi="Times New Roman" w:cs="Times New Roman"/>
          <w:i/>
          <w:iCs/>
          <w:sz w:val="24"/>
          <w:szCs w:val="24"/>
        </w:rPr>
        <w:t>Social Forces</w:t>
      </w:r>
      <w:r w:rsidRPr="00AB4124">
        <w:rPr>
          <w:rFonts w:ascii="Times New Roman" w:hAnsi="Times New Roman" w:cs="Times New Roman"/>
          <w:sz w:val="24"/>
          <w:szCs w:val="24"/>
        </w:rPr>
        <w:t xml:space="preserve"> 90(1):65–83. doi: 10.1093/sf/90.1.65.</w:t>
      </w:r>
    </w:p>
    <w:p w14:paraId="4ED99998"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Hong, Jun Sung, and James Garbarino. 2012. “Risk and Protective Factors for Homophobic Bullying in Schools: An Application of the Social–Ecological Framework.” </w:t>
      </w:r>
      <w:r w:rsidRPr="00AB4124">
        <w:rPr>
          <w:rFonts w:ascii="Times New Roman" w:hAnsi="Times New Roman" w:cs="Times New Roman"/>
          <w:i/>
          <w:iCs/>
          <w:sz w:val="24"/>
          <w:szCs w:val="24"/>
        </w:rPr>
        <w:t>Educational Psychology Review</w:t>
      </w:r>
      <w:r w:rsidRPr="00AB4124">
        <w:rPr>
          <w:rFonts w:ascii="Times New Roman" w:hAnsi="Times New Roman" w:cs="Times New Roman"/>
          <w:sz w:val="24"/>
          <w:szCs w:val="24"/>
        </w:rPr>
        <w:t xml:space="preserve"> 24(2):271–85. doi: 10.1007/s10648-012-9194-y.</w:t>
      </w:r>
    </w:p>
    <w:p w14:paraId="0CE63D67"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Johns, Michelle M., V. Paul Poteat, Stacey S. Horn, and Joseph Kosciw. 2019. “Strengthening Our Schools to Promote Resilience and Health Among LGBTQ Youth: Emerging Evidence and Research Priorities from The State of LGBTQ Youth Health and Wellbeing Symposium.” </w:t>
      </w:r>
      <w:r w:rsidRPr="00AB4124">
        <w:rPr>
          <w:rFonts w:ascii="Times New Roman" w:hAnsi="Times New Roman" w:cs="Times New Roman"/>
          <w:i/>
          <w:iCs/>
          <w:sz w:val="24"/>
          <w:szCs w:val="24"/>
        </w:rPr>
        <w:t>LGBT Health</w:t>
      </w:r>
      <w:r w:rsidRPr="00AB4124">
        <w:rPr>
          <w:rFonts w:ascii="Times New Roman" w:hAnsi="Times New Roman" w:cs="Times New Roman"/>
          <w:sz w:val="24"/>
          <w:szCs w:val="24"/>
        </w:rPr>
        <w:t xml:space="preserve"> 6(4):146–55. doi: 10.1089/lgbt.2018.0109.</w:t>
      </w:r>
    </w:p>
    <w:p w14:paraId="77CE6272"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Landes, Scott D., and Richard A. Settersten. 2019. “The Inseparability of Human Agency and Linked Lives.” </w:t>
      </w:r>
      <w:r w:rsidRPr="00AB4124">
        <w:rPr>
          <w:rFonts w:ascii="Times New Roman" w:hAnsi="Times New Roman" w:cs="Times New Roman"/>
          <w:i/>
          <w:iCs/>
          <w:sz w:val="24"/>
          <w:szCs w:val="24"/>
        </w:rPr>
        <w:t>Advances in Life Course Research</w:t>
      </w:r>
      <w:r w:rsidRPr="00AB4124">
        <w:rPr>
          <w:rFonts w:ascii="Times New Roman" w:hAnsi="Times New Roman" w:cs="Times New Roman"/>
          <w:sz w:val="24"/>
          <w:szCs w:val="24"/>
        </w:rPr>
        <w:t xml:space="preserve"> 42:100306. doi: 10.1016/j.alcr.2019.100306.</w:t>
      </w:r>
    </w:p>
    <w:p w14:paraId="43A39AF0" w14:textId="77777777" w:rsid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Mallon, Gerald P. 1998. “We Don’t Exactly Get the Welcome Wagon: The Experiences of Gay and Lesbian Adolescents in Child Welfare Systems.”</w:t>
      </w:r>
    </w:p>
    <w:p w14:paraId="1BFF857E" w14:textId="022D383D" w:rsidR="00A349F1" w:rsidRPr="00227D0B" w:rsidRDefault="00A349F1" w:rsidP="00227D0B">
      <w:pPr>
        <w:ind w:left="720" w:hanging="720"/>
      </w:pPr>
      <w:r w:rsidRPr="00A349F1">
        <w:rPr>
          <w:rFonts w:ascii="Times New Roman" w:hAnsi="Times New Roman" w:cs="Times New Roman"/>
          <w:sz w:val="24"/>
          <w:szCs w:val="24"/>
        </w:rPr>
        <w:t xml:space="preserve">Mallon, Gerald P. 2011. “The Home Study Assessment Process for Gay, Lesbian, Bisexual, and Transgender Prospective Foster and Adoptive Families.” </w:t>
      </w:r>
      <w:r w:rsidRPr="00A349F1">
        <w:rPr>
          <w:rFonts w:ascii="Times New Roman" w:hAnsi="Times New Roman" w:cs="Times New Roman"/>
          <w:i/>
          <w:iCs/>
          <w:sz w:val="24"/>
          <w:szCs w:val="24"/>
        </w:rPr>
        <w:t>Journal of GLBT Family Studies</w:t>
      </w:r>
      <w:r w:rsidRPr="00A349F1">
        <w:rPr>
          <w:rFonts w:ascii="Times New Roman" w:hAnsi="Times New Roman" w:cs="Times New Roman"/>
          <w:sz w:val="24"/>
          <w:szCs w:val="24"/>
        </w:rPr>
        <w:t xml:space="preserve"> 7(1–2):9–29. doi: </w:t>
      </w:r>
      <w:hyperlink r:id="rId68" w:history="1">
        <w:r w:rsidRPr="00A349F1">
          <w:rPr>
            <w:rStyle w:val="Hyperlink"/>
            <w:rFonts w:ascii="Times New Roman" w:hAnsi="Times New Roman" w:cs="Times New Roman"/>
            <w:sz w:val="24"/>
            <w:szCs w:val="24"/>
          </w:rPr>
          <w:t>10.1080/1550428X.2011.537229</w:t>
        </w:r>
      </w:hyperlink>
      <w:r w:rsidRPr="00A349F1">
        <w:rPr>
          <w:rFonts w:ascii="Times New Roman" w:hAnsi="Times New Roman" w:cs="Times New Roman"/>
          <w:sz w:val="24"/>
          <w:szCs w:val="24"/>
        </w:rPr>
        <w:t>.</w:t>
      </w:r>
    </w:p>
    <w:p w14:paraId="767BB5D6"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Marques, Susana C., Shane J. Lopez, Anne Marie Fontaine, Susana Coimbra, and Joanna Mitchell. 2015. “How Much Hope Is Enough? Levels of Hope and Students’ Psychological and School Functioning.” </w:t>
      </w:r>
      <w:r w:rsidRPr="00AB4124">
        <w:rPr>
          <w:rFonts w:ascii="Times New Roman" w:hAnsi="Times New Roman" w:cs="Times New Roman"/>
          <w:i/>
          <w:iCs/>
          <w:sz w:val="24"/>
          <w:szCs w:val="24"/>
        </w:rPr>
        <w:t>Psychology in the Schools</w:t>
      </w:r>
      <w:r w:rsidRPr="00AB4124">
        <w:rPr>
          <w:rFonts w:ascii="Times New Roman" w:hAnsi="Times New Roman" w:cs="Times New Roman"/>
          <w:sz w:val="24"/>
          <w:szCs w:val="24"/>
        </w:rPr>
        <w:t xml:space="preserve"> 52(4):325–34. doi: 10.1002/pits.21833.</w:t>
      </w:r>
    </w:p>
    <w:p w14:paraId="02FBCBFB"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Merkaš, Marina, and Andreja Brajša-Žganec. 2011. “Children with Different Levels of Hope: Are There Differences in Their Self-Esteem, Life Satisfaction, Social Support, and Family Cohesion?” </w:t>
      </w:r>
      <w:r w:rsidRPr="00AB4124">
        <w:rPr>
          <w:rFonts w:ascii="Times New Roman" w:hAnsi="Times New Roman" w:cs="Times New Roman"/>
          <w:i/>
          <w:iCs/>
          <w:sz w:val="24"/>
          <w:szCs w:val="24"/>
        </w:rPr>
        <w:t>Child Indicators Research</w:t>
      </w:r>
      <w:r w:rsidRPr="00AB4124">
        <w:rPr>
          <w:rFonts w:ascii="Times New Roman" w:hAnsi="Times New Roman" w:cs="Times New Roman"/>
          <w:sz w:val="24"/>
          <w:szCs w:val="24"/>
        </w:rPr>
        <w:t xml:space="preserve"> 4(3):499–514. doi: 10.1007/s12187-011-9105-7.</w:t>
      </w:r>
    </w:p>
    <w:p w14:paraId="10CD0BC4"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lastRenderedPageBreak/>
        <w:t>Merritt, Darcey H. 2015. “The Impact of Positive Peer Relationships, School Experiences, and Future Outlook on Behavior Scores for Abused and Neglected Youth.” Society for Social Work and Research.</w:t>
      </w:r>
    </w:p>
    <w:p w14:paraId="25491ECC"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Mountz, Sarah, and Moshoula Capous-Desyllas. 2020. “Exploring the Families of Origin of LGBTQ Former Foster Youth and Their Trajectories throughout Care.” </w:t>
      </w:r>
      <w:r w:rsidRPr="00AB4124">
        <w:rPr>
          <w:rFonts w:ascii="Times New Roman" w:hAnsi="Times New Roman" w:cs="Times New Roman"/>
          <w:i/>
          <w:iCs/>
          <w:sz w:val="24"/>
          <w:szCs w:val="24"/>
        </w:rPr>
        <w:t>Children and Youth Services Review</w:t>
      </w:r>
      <w:r w:rsidRPr="00AB4124">
        <w:rPr>
          <w:rFonts w:ascii="Times New Roman" w:hAnsi="Times New Roman" w:cs="Times New Roman"/>
          <w:sz w:val="24"/>
          <w:szCs w:val="24"/>
        </w:rPr>
        <w:t xml:space="preserve"> 109:104622. doi: 10.1016/j.childyouth.2019.104622.</w:t>
      </w:r>
    </w:p>
    <w:p w14:paraId="012F3242"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Munoz, Ricky T., Lydia C. Pearson, Chan M. Hellman, Heather Chancellor McIntosh, Jam Khojasteh, and Mark D. Fox. 2018. “Adverse Childhood Experiences and Posttraumatic Stress as an Antecedent of Anxiety and Lower Hope.” </w:t>
      </w:r>
      <w:r w:rsidRPr="00AB4124">
        <w:rPr>
          <w:rFonts w:ascii="Times New Roman" w:hAnsi="Times New Roman" w:cs="Times New Roman"/>
          <w:i/>
          <w:iCs/>
          <w:sz w:val="24"/>
          <w:szCs w:val="24"/>
        </w:rPr>
        <w:t>Traumatology</w:t>
      </w:r>
      <w:r w:rsidRPr="00AB4124">
        <w:rPr>
          <w:rFonts w:ascii="Times New Roman" w:hAnsi="Times New Roman" w:cs="Times New Roman"/>
          <w:sz w:val="24"/>
          <w:szCs w:val="24"/>
        </w:rPr>
        <w:t xml:space="preserve"> 24(3):209. doi: 10.1037/trm0000149.</w:t>
      </w:r>
    </w:p>
    <w:p w14:paraId="0AA7BFA8"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Murdock, Tamera B., and Megan B. Bolch. 2005. “Risk and Protective Factors for Poor School Adjustment in Lesbian, Gay, and Bisexual (LGB) High School Youth: Variable and Person-Centered Analyses.” </w:t>
      </w:r>
      <w:r w:rsidRPr="00AB4124">
        <w:rPr>
          <w:rFonts w:ascii="Times New Roman" w:hAnsi="Times New Roman" w:cs="Times New Roman"/>
          <w:i/>
          <w:iCs/>
          <w:sz w:val="24"/>
          <w:szCs w:val="24"/>
        </w:rPr>
        <w:t>Psychology in the Schools</w:t>
      </w:r>
      <w:r w:rsidRPr="00AB4124">
        <w:rPr>
          <w:rFonts w:ascii="Times New Roman" w:hAnsi="Times New Roman" w:cs="Times New Roman"/>
          <w:sz w:val="24"/>
          <w:szCs w:val="24"/>
        </w:rPr>
        <w:t xml:space="preserve"> 42(2):159–72. doi: 10.1002/pits.20054.</w:t>
      </w:r>
    </w:p>
    <w:p w14:paraId="607053EA"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Paul, June C. 2020. “Exploring Support for LGBTQ Youth Transitioning from Foster Care to Emerging Adulthood.” </w:t>
      </w:r>
      <w:r w:rsidRPr="00AB4124">
        <w:rPr>
          <w:rFonts w:ascii="Times New Roman" w:hAnsi="Times New Roman" w:cs="Times New Roman"/>
          <w:i/>
          <w:iCs/>
          <w:sz w:val="24"/>
          <w:szCs w:val="24"/>
        </w:rPr>
        <w:t>Children and Youth Services Review</w:t>
      </w:r>
      <w:r w:rsidRPr="00AB4124">
        <w:rPr>
          <w:rFonts w:ascii="Times New Roman" w:hAnsi="Times New Roman" w:cs="Times New Roman"/>
          <w:sz w:val="24"/>
          <w:szCs w:val="24"/>
        </w:rPr>
        <w:t xml:space="preserve"> 119:105481. doi: 10.1016/j.childyouth.2020.105481.</w:t>
      </w:r>
    </w:p>
    <w:p w14:paraId="50503314"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Quamma, Julie Perkins, and Mark T. Greenberg. 1994. “Children’s Experience of Life Stress: The Role of Family Social Support and Social Problem-Solving Skills as Protective Factors.” </w:t>
      </w:r>
      <w:r w:rsidRPr="00AB4124">
        <w:rPr>
          <w:rFonts w:ascii="Times New Roman" w:hAnsi="Times New Roman" w:cs="Times New Roman"/>
          <w:i/>
          <w:iCs/>
          <w:sz w:val="24"/>
          <w:szCs w:val="24"/>
        </w:rPr>
        <w:t>Journal of Clinical Child Psychology</w:t>
      </w:r>
      <w:r w:rsidRPr="00AB4124">
        <w:rPr>
          <w:rFonts w:ascii="Times New Roman" w:hAnsi="Times New Roman" w:cs="Times New Roman"/>
          <w:sz w:val="24"/>
          <w:szCs w:val="24"/>
        </w:rPr>
        <w:t xml:space="preserve"> 23(3):295–305. doi: 10.1207/s15374424jccp2303_7.</w:t>
      </w:r>
    </w:p>
    <w:p w14:paraId="2FC45A30" w14:textId="77777777" w:rsid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Saewyc, Elizabeth M., Carol L. Skay, Sandra L. Pettingell, Elizabeth A. Reis, Linda Bearinger, Michael Resnick, Aileen Murphy, and Leigh Combs. 2006. “Hazards of Stigma: The Sexual and Physical Abuse of Gay, Lesbian, and Bisexual Adolescents in the United States and Canada.” </w:t>
      </w:r>
      <w:r w:rsidRPr="00AB4124">
        <w:rPr>
          <w:rFonts w:ascii="Times New Roman" w:hAnsi="Times New Roman" w:cs="Times New Roman"/>
          <w:i/>
          <w:iCs/>
          <w:sz w:val="24"/>
          <w:szCs w:val="24"/>
        </w:rPr>
        <w:t>Child Welfare</w:t>
      </w:r>
      <w:r w:rsidRPr="00AB4124">
        <w:rPr>
          <w:rFonts w:ascii="Times New Roman" w:hAnsi="Times New Roman" w:cs="Times New Roman"/>
          <w:sz w:val="24"/>
          <w:szCs w:val="24"/>
        </w:rPr>
        <w:t xml:space="preserve"> 85(2).</w:t>
      </w:r>
    </w:p>
    <w:p w14:paraId="00A55029" w14:textId="6454A034" w:rsidR="00C91BC9" w:rsidRPr="00C91BC9" w:rsidRDefault="00C91BC9" w:rsidP="00C91BC9">
      <w:pPr>
        <w:ind w:left="720" w:hanging="720"/>
      </w:pPr>
      <w:r w:rsidRPr="00C91BC9">
        <w:rPr>
          <w:rFonts w:ascii="Times New Roman" w:hAnsi="Times New Roman" w:cs="Times New Roman"/>
          <w:sz w:val="24"/>
          <w:szCs w:val="24"/>
        </w:rPr>
        <w:t xml:space="preserve">Schaub, Jason, Willem J. Stander, and Paul Montgomery. 2022. “LGBTQ+ Young People’s Health and Well-Being Experiences in Out-of-Home Social Care: A Scoping Review.” </w:t>
      </w:r>
      <w:r w:rsidRPr="00C91BC9">
        <w:rPr>
          <w:rFonts w:ascii="Times New Roman" w:hAnsi="Times New Roman" w:cs="Times New Roman"/>
          <w:i/>
          <w:iCs/>
          <w:sz w:val="24"/>
          <w:szCs w:val="24"/>
        </w:rPr>
        <w:t>Children and Youth Services Review</w:t>
      </w:r>
      <w:r w:rsidRPr="00C91BC9">
        <w:rPr>
          <w:rFonts w:ascii="Times New Roman" w:hAnsi="Times New Roman" w:cs="Times New Roman"/>
          <w:sz w:val="24"/>
          <w:szCs w:val="24"/>
        </w:rPr>
        <w:t xml:space="preserve"> 143:106682. doi: </w:t>
      </w:r>
      <w:hyperlink r:id="rId69" w:history="1">
        <w:r w:rsidRPr="00C91BC9">
          <w:rPr>
            <w:rStyle w:val="Hyperlink"/>
            <w:rFonts w:ascii="Times New Roman" w:hAnsi="Times New Roman" w:cs="Times New Roman"/>
            <w:sz w:val="24"/>
            <w:szCs w:val="24"/>
          </w:rPr>
          <w:t>10.1016/j.childyouth.2022.106682</w:t>
        </w:r>
      </w:hyperlink>
      <w:r w:rsidRPr="00C91BC9">
        <w:rPr>
          <w:rFonts w:ascii="Times New Roman" w:hAnsi="Times New Roman" w:cs="Times New Roman"/>
          <w:sz w:val="24"/>
          <w:szCs w:val="24"/>
        </w:rPr>
        <w:t>.</w:t>
      </w:r>
    </w:p>
    <w:p w14:paraId="1AC4A7B3"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Salazar, Amy M., Kevin P. Haggerty, Susan E. Barkan, Rachel Peterson, Madeline E. Furlong, Eunsaem Kim, Janice J. Cole, and Jessica M. Colito. 2020. “Supporting LGBTQ+ Foster Teens: Development of a Relationship-Focused, Self-Guided Curriculum for Foster Families.” </w:t>
      </w:r>
      <w:r w:rsidRPr="00AB4124">
        <w:rPr>
          <w:rFonts w:ascii="Times New Roman" w:hAnsi="Times New Roman" w:cs="Times New Roman"/>
          <w:i/>
          <w:iCs/>
          <w:sz w:val="24"/>
          <w:szCs w:val="24"/>
        </w:rPr>
        <w:t>Sexuality Research &amp; Social Policy : Journal of NSRC : SR &amp; SP</w:t>
      </w:r>
      <w:r w:rsidRPr="00AB4124">
        <w:rPr>
          <w:rFonts w:ascii="Times New Roman" w:hAnsi="Times New Roman" w:cs="Times New Roman"/>
          <w:sz w:val="24"/>
          <w:szCs w:val="24"/>
        </w:rPr>
        <w:t xml:space="preserve"> 17(2):239–51. doi: 10.1007/s13178-019-00387-z.</w:t>
      </w:r>
    </w:p>
    <w:p w14:paraId="056243B7"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Sipsma, Heather L., Jeannette R. Ickovics, Haiqun Lin, and Trace S. Kershaw. 2012. “Future Expectations Among Adolescents: A Latent Class Analysis.” </w:t>
      </w:r>
      <w:r w:rsidRPr="00AB4124">
        <w:rPr>
          <w:rFonts w:ascii="Times New Roman" w:hAnsi="Times New Roman" w:cs="Times New Roman"/>
          <w:i/>
          <w:iCs/>
          <w:sz w:val="24"/>
          <w:szCs w:val="24"/>
        </w:rPr>
        <w:t>American Journal of Community Psychology</w:t>
      </w:r>
      <w:r w:rsidRPr="00AB4124">
        <w:rPr>
          <w:rFonts w:ascii="Times New Roman" w:hAnsi="Times New Roman" w:cs="Times New Roman"/>
          <w:sz w:val="24"/>
          <w:szCs w:val="24"/>
        </w:rPr>
        <w:t xml:space="preserve"> 50(1–2):169–81. doi: 10.1007/s10464-011-9487-1.</w:t>
      </w:r>
    </w:p>
    <w:p w14:paraId="25CC741C"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Smith, Carrie, Barbara Fallon, John D. Fluke, Faye Mishna, and Barbara Decker Pierce. 2019. “Organizational Structure and the Ongoing Service Decision: The Influence of Role </w:t>
      </w:r>
      <w:r w:rsidRPr="00AB4124">
        <w:rPr>
          <w:rFonts w:ascii="Times New Roman" w:hAnsi="Times New Roman" w:cs="Times New Roman"/>
          <w:sz w:val="24"/>
          <w:szCs w:val="24"/>
        </w:rPr>
        <w:lastRenderedPageBreak/>
        <w:t xml:space="preserve">Specialization and Service Integration.” </w:t>
      </w:r>
      <w:r w:rsidRPr="00AB4124">
        <w:rPr>
          <w:rFonts w:ascii="Times New Roman" w:hAnsi="Times New Roman" w:cs="Times New Roman"/>
          <w:i/>
          <w:iCs/>
          <w:sz w:val="24"/>
          <w:szCs w:val="24"/>
        </w:rPr>
        <w:t>Human Service Organizations: Management, Leadership &amp; Governance</w:t>
      </w:r>
      <w:r w:rsidRPr="00AB4124">
        <w:rPr>
          <w:rFonts w:ascii="Times New Roman" w:hAnsi="Times New Roman" w:cs="Times New Roman"/>
          <w:sz w:val="24"/>
          <w:szCs w:val="24"/>
        </w:rPr>
        <w:t xml:space="preserve"> 43(5):375–91. doi: 10.1080/23303131.2019.1661928.</w:t>
      </w:r>
    </w:p>
    <w:p w14:paraId="2F8F2B97"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Snyder, C. R. 2002. “TARGET ARTICLE: Hope Theory: Rainbows in the Mind.” </w:t>
      </w:r>
      <w:r w:rsidRPr="00AB4124">
        <w:rPr>
          <w:rFonts w:ascii="Times New Roman" w:hAnsi="Times New Roman" w:cs="Times New Roman"/>
          <w:i/>
          <w:iCs/>
          <w:sz w:val="24"/>
          <w:szCs w:val="24"/>
        </w:rPr>
        <w:t>Psychological Inquiry</w:t>
      </w:r>
      <w:r w:rsidRPr="00AB4124">
        <w:rPr>
          <w:rFonts w:ascii="Times New Roman" w:hAnsi="Times New Roman" w:cs="Times New Roman"/>
          <w:sz w:val="24"/>
          <w:szCs w:val="24"/>
        </w:rPr>
        <w:t xml:space="preserve"> 13(4):249–75. doi: 10.1207/S15327965PLI1304_01.</w:t>
      </w:r>
    </w:p>
    <w:p w14:paraId="22881C65"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Snyder, C. R., Jennifer Cheavens, and Susie C. Sympson. 1997. “Hope: An Individual Motive for Social Commerce.” </w:t>
      </w:r>
      <w:r w:rsidRPr="00AB4124">
        <w:rPr>
          <w:rFonts w:ascii="Times New Roman" w:hAnsi="Times New Roman" w:cs="Times New Roman"/>
          <w:i/>
          <w:iCs/>
          <w:sz w:val="24"/>
          <w:szCs w:val="24"/>
        </w:rPr>
        <w:t>Group Dynamics: Theory, Research, and Practice</w:t>
      </w:r>
      <w:r w:rsidRPr="00AB4124">
        <w:rPr>
          <w:rFonts w:ascii="Times New Roman" w:hAnsi="Times New Roman" w:cs="Times New Roman"/>
          <w:sz w:val="24"/>
          <w:szCs w:val="24"/>
        </w:rPr>
        <w:t xml:space="preserve"> 1(2):107–18. doi: 10.1037/1089-2699.1.2.107.</w:t>
      </w:r>
    </w:p>
    <w:p w14:paraId="5AB60EAE"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Summersett-Ringgold, Faith, Neil Jordan, Cassandra Kisiel, Rachel M. Sax, and Gary McClelland. 2018. “Child Strengths and Placement Stability among Racial/Ethnic Minority Youth in the Child Welfare System.” </w:t>
      </w:r>
      <w:r w:rsidRPr="00AB4124">
        <w:rPr>
          <w:rFonts w:ascii="Times New Roman" w:hAnsi="Times New Roman" w:cs="Times New Roman"/>
          <w:i/>
          <w:iCs/>
          <w:sz w:val="24"/>
          <w:szCs w:val="24"/>
        </w:rPr>
        <w:t>Child Abuse &amp; Neglect</w:t>
      </w:r>
      <w:r w:rsidRPr="00AB4124">
        <w:rPr>
          <w:rFonts w:ascii="Times New Roman" w:hAnsi="Times New Roman" w:cs="Times New Roman"/>
          <w:sz w:val="24"/>
          <w:szCs w:val="24"/>
        </w:rPr>
        <w:t xml:space="preserve"> 76:561–72. doi: 10.1016/j.chiabu.2017.09.014.</w:t>
      </w:r>
    </w:p>
    <w:p w14:paraId="155E07B3"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Traube, Dorian E., Sigrid James, Jinjin Zhang, and John Landsverk. 2012. “A National Study of Risk and Protective Factors for Substance Use among Youth in the Child Welfare System.” </w:t>
      </w:r>
      <w:r w:rsidRPr="00AB4124">
        <w:rPr>
          <w:rFonts w:ascii="Times New Roman" w:hAnsi="Times New Roman" w:cs="Times New Roman"/>
          <w:i/>
          <w:iCs/>
          <w:sz w:val="24"/>
          <w:szCs w:val="24"/>
        </w:rPr>
        <w:t>Addictive Behaviors</w:t>
      </w:r>
      <w:r w:rsidRPr="00AB4124">
        <w:rPr>
          <w:rFonts w:ascii="Times New Roman" w:hAnsi="Times New Roman" w:cs="Times New Roman"/>
          <w:sz w:val="24"/>
          <w:szCs w:val="24"/>
        </w:rPr>
        <w:t xml:space="preserve"> 37(5):641–50. doi: 10.1016/j.addbeh.2012.01.015.</w:t>
      </w:r>
    </w:p>
    <w:p w14:paraId="535A1360"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Turney, Kristin, and Christopher Wildeman. 2016. “Adverse Childhood Experiences among Children Placed in and Adopted from Foster Care: Evidence from a Nationally Representative Survey.” </w:t>
      </w:r>
      <w:r w:rsidRPr="00AB4124">
        <w:rPr>
          <w:rFonts w:ascii="Times New Roman" w:hAnsi="Times New Roman" w:cs="Times New Roman"/>
          <w:i/>
          <w:iCs/>
          <w:sz w:val="24"/>
          <w:szCs w:val="24"/>
        </w:rPr>
        <w:t>Child Abuse &amp; Neglect</w:t>
      </w:r>
      <w:r w:rsidRPr="00AB4124">
        <w:rPr>
          <w:rFonts w:ascii="Times New Roman" w:hAnsi="Times New Roman" w:cs="Times New Roman"/>
          <w:sz w:val="24"/>
          <w:szCs w:val="24"/>
        </w:rPr>
        <w:t xml:space="preserve"> 64:117–29. doi: 10.1016/j.chiabu.2016.12.009.</w:t>
      </w:r>
    </w:p>
    <w:p w14:paraId="41A6304D"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Wilson, Bianca D. M., and Angeliki A. Kastanis. 2015. “Sexual and Gender Minority Disproportionality and Disparities in Child Welfare: A Population-Based Study.” </w:t>
      </w:r>
      <w:r w:rsidRPr="00AB4124">
        <w:rPr>
          <w:rFonts w:ascii="Times New Roman" w:hAnsi="Times New Roman" w:cs="Times New Roman"/>
          <w:i/>
          <w:iCs/>
          <w:sz w:val="24"/>
          <w:szCs w:val="24"/>
        </w:rPr>
        <w:t>Children and Youth Services Review</w:t>
      </w:r>
      <w:r w:rsidRPr="00AB4124">
        <w:rPr>
          <w:rFonts w:ascii="Times New Roman" w:hAnsi="Times New Roman" w:cs="Times New Roman"/>
          <w:sz w:val="24"/>
          <w:szCs w:val="24"/>
        </w:rPr>
        <w:t xml:space="preserve"> 58:11–17. doi: 10.1016/j.childyouth.2015.08.016.</w:t>
      </w:r>
    </w:p>
    <w:p w14:paraId="1F97DF6E" w14:textId="77777777" w:rsidR="00AB4124" w:rsidRPr="00AB4124" w:rsidRDefault="00AB4124" w:rsidP="00AB4124">
      <w:pPr>
        <w:pStyle w:val="Bibliography"/>
        <w:rPr>
          <w:rFonts w:ascii="Times New Roman" w:hAnsi="Times New Roman" w:cs="Times New Roman"/>
          <w:sz w:val="24"/>
          <w:szCs w:val="24"/>
        </w:rPr>
      </w:pPr>
      <w:r w:rsidRPr="00AB4124">
        <w:rPr>
          <w:rFonts w:ascii="Times New Roman" w:hAnsi="Times New Roman" w:cs="Times New Roman"/>
          <w:sz w:val="24"/>
          <w:szCs w:val="24"/>
        </w:rPr>
        <w:t xml:space="preserve">Wyman, Peter A., Emory L. Cowen, William C. Work, and Judy H. Kerley. 1993. “The Role of Children’s Future Expectations in Self-System Functioning and Adjustment to Life Stress: A Prospective Study of Urban at-Risk Children.” </w:t>
      </w:r>
      <w:r w:rsidRPr="00AB4124">
        <w:rPr>
          <w:rFonts w:ascii="Times New Roman" w:hAnsi="Times New Roman" w:cs="Times New Roman"/>
          <w:i/>
          <w:iCs/>
          <w:sz w:val="24"/>
          <w:szCs w:val="24"/>
        </w:rPr>
        <w:t>Development and Psychopathology</w:t>
      </w:r>
      <w:r w:rsidRPr="00AB4124">
        <w:rPr>
          <w:rFonts w:ascii="Times New Roman" w:hAnsi="Times New Roman" w:cs="Times New Roman"/>
          <w:sz w:val="24"/>
          <w:szCs w:val="24"/>
        </w:rPr>
        <w:t xml:space="preserve"> 5(4):649–61. doi: 10.1017/S0954579400006210.</w:t>
      </w:r>
    </w:p>
    <w:p w14:paraId="4B92878E" w14:textId="5AE24315" w:rsidR="00A72968" w:rsidRPr="00442034" w:rsidRDefault="00AB4124" w:rsidP="004F22A2">
      <w:pPr>
        <w:spacing w:line="480" w:lineRule="auto"/>
        <w:rPr>
          <w:rFonts w:ascii="Times New Roman" w:hAnsi="Times New Roman" w:cs="Times New Roman"/>
          <w:sz w:val="24"/>
          <w:szCs w:val="24"/>
        </w:rPr>
      </w:pPr>
      <w:r w:rsidRPr="00AB4124">
        <w:rPr>
          <w:rFonts w:ascii="Times New Roman" w:hAnsi="Times New Roman" w:cs="Times New Roman"/>
          <w:sz w:val="24"/>
          <w:szCs w:val="24"/>
        </w:rPr>
        <w:fldChar w:fldCharType="end"/>
      </w:r>
    </w:p>
    <w:sectPr w:rsidR="00A72968" w:rsidRPr="00442034" w:rsidSect="00E473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16C8B" w14:textId="77777777" w:rsidR="00E4733D" w:rsidRDefault="00E4733D" w:rsidP="00B36F35">
      <w:pPr>
        <w:spacing w:after="0" w:line="240" w:lineRule="auto"/>
      </w:pPr>
      <w:r>
        <w:separator/>
      </w:r>
    </w:p>
  </w:endnote>
  <w:endnote w:type="continuationSeparator" w:id="0">
    <w:p w14:paraId="749E94A8" w14:textId="77777777" w:rsidR="00E4733D" w:rsidRDefault="00E4733D" w:rsidP="00B36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8160033"/>
      <w:docPartObj>
        <w:docPartGallery w:val="Page Numbers (Bottom of Page)"/>
        <w:docPartUnique/>
      </w:docPartObj>
    </w:sdtPr>
    <w:sdtContent>
      <w:p w14:paraId="5E56A7F2" w14:textId="6ECAF5EF" w:rsidR="00442034" w:rsidRDefault="00442034" w:rsidP="005A15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42815404"/>
      <w:docPartObj>
        <w:docPartGallery w:val="Page Numbers (Bottom of Page)"/>
        <w:docPartUnique/>
      </w:docPartObj>
    </w:sdtPr>
    <w:sdtContent>
      <w:p w14:paraId="75985C4F" w14:textId="18DB7A34" w:rsidR="00442034" w:rsidRDefault="00442034" w:rsidP="005A15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0F29F" w14:textId="77777777" w:rsidR="00442034" w:rsidRDefault="00442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BD747" w14:textId="293E98DD" w:rsidR="00B36F35" w:rsidRDefault="00B36F35">
    <w:pPr>
      <w:pStyle w:val="Footer"/>
      <w:jc w:val="center"/>
    </w:pPr>
  </w:p>
  <w:p w14:paraId="1AEDC3D3" w14:textId="77777777" w:rsidR="00B36F35" w:rsidRDefault="00B36F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8F46D" w14:textId="377A4ED9" w:rsidR="00B36F35" w:rsidRPr="003069CC" w:rsidRDefault="003069CC" w:rsidP="003069CC">
    <w:pPr>
      <w:pStyle w:val="Footer"/>
      <w:jc w:val="center"/>
      <w:rPr>
        <w:rFonts w:ascii="Times New Roman" w:hAnsi="Times New Roman" w:cs="Times New Roman"/>
      </w:rPr>
    </w:pPr>
    <w:r>
      <w:rPr>
        <w:rFonts w:ascii="Times New Roman" w:hAnsi="Times New Roman" w:cs="Times New Roman"/>
      </w:rPr>
      <w:t>iv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4404B" w14:textId="7CCD3989" w:rsidR="00B36F35" w:rsidRPr="00B36F35" w:rsidRDefault="00B36F35">
    <w:pPr>
      <w:pStyle w:val="Footer"/>
      <w:jc w:val="center"/>
      <w:rPr>
        <w:rFonts w:ascii="Times New Roman" w:hAnsi="Times New Roman" w:cs="Times New Roman"/>
        <w:sz w:val="24"/>
        <w:szCs w:val="24"/>
      </w:rPr>
    </w:pPr>
    <w:r w:rsidRPr="00B36F35">
      <w:rPr>
        <w:rFonts w:ascii="Times New Roman" w:hAnsi="Times New Roman" w:cs="Times New Roman"/>
        <w:sz w:val="24"/>
        <w:szCs w:val="24"/>
      </w:rPr>
      <w:t>v</w:t>
    </w:r>
  </w:p>
  <w:p w14:paraId="3C737641" w14:textId="77777777" w:rsidR="00B36F35" w:rsidRDefault="00B36F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1B3D4" w14:textId="6ACE08CC" w:rsidR="00AE009D" w:rsidRPr="00AE009D" w:rsidRDefault="00442034" w:rsidP="00442034">
    <w:pPr>
      <w:pStyle w:val="Footer"/>
      <w:jc w:val="center"/>
      <w:rPr>
        <w:rFonts w:ascii="Times New Roman" w:hAnsi="Times New Roman" w:cs="Times New Roman"/>
        <w:sz w:val="24"/>
        <w:szCs w:val="24"/>
      </w:rPr>
    </w:pPr>
    <w:r>
      <w:rPr>
        <w:rStyle w:val="PageNumber"/>
        <w:rFonts w:ascii="Times New Roman" w:hAnsi="Times New Roman" w:cs="Times New Roman"/>
        <w:sz w:val="24"/>
        <w:szCs w:val="24"/>
      </w:rPr>
      <w:t>vi</w:t>
    </w:r>
  </w:p>
  <w:p w14:paraId="7A393B14" w14:textId="77777777" w:rsidR="00B36F35" w:rsidRDefault="00B36F3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sz w:val="24"/>
        <w:szCs w:val="24"/>
      </w:rPr>
      <w:id w:val="457460681"/>
      <w:docPartObj>
        <w:docPartGallery w:val="Page Numbers (Bottom of Page)"/>
        <w:docPartUnique/>
      </w:docPartObj>
    </w:sdtPr>
    <w:sdtContent>
      <w:p w14:paraId="565D01BD" w14:textId="756F2634" w:rsidR="00442034" w:rsidRPr="00442034" w:rsidRDefault="00442034" w:rsidP="005A1547">
        <w:pPr>
          <w:pStyle w:val="Footer"/>
          <w:framePr w:wrap="none" w:vAnchor="text" w:hAnchor="margin" w:xAlign="center" w:y="1"/>
          <w:rPr>
            <w:rStyle w:val="PageNumber"/>
            <w:rFonts w:ascii="Times New Roman" w:hAnsi="Times New Roman" w:cs="Times New Roman"/>
            <w:sz w:val="24"/>
            <w:szCs w:val="24"/>
          </w:rPr>
        </w:pPr>
        <w:r w:rsidRPr="00442034">
          <w:rPr>
            <w:rStyle w:val="PageNumber"/>
            <w:rFonts w:ascii="Times New Roman" w:hAnsi="Times New Roman" w:cs="Times New Roman"/>
            <w:sz w:val="24"/>
            <w:szCs w:val="24"/>
          </w:rPr>
          <w:fldChar w:fldCharType="begin"/>
        </w:r>
        <w:r w:rsidRPr="00442034">
          <w:rPr>
            <w:rStyle w:val="PageNumber"/>
            <w:rFonts w:ascii="Times New Roman" w:hAnsi="Times New Roman" w:cs="Times New Roman"/>
            <w:sz w:val="24"/>
            <w:szCs w:val="24"/>
          </w:rPr>
          <w:instrText xml:space="preserve"> PAGE </w:instrText>
        </w:r>
        <w:r w:rsidRPr="00442034">
          <w:rPr>
            <w:rStyle w:val="PageNumber"/>
            <w:rFonts w:ascii="Times New Roman" w:hAnsi="Times New Roman" w:cs="Times New Roman"/>
            <w:sz w:val="24"/>
            <w:szCs w:val="24"/>
          </w:rPr>
          <w:fldChar w:fldCharType="separate"/>
        </w:r>
        <w:r w:rsidRPr="00442034">
          <w:rPr>
            <w:rStyle w:val="PageNumber"/>
            <w:rFonts w:ascii="Times New Roman" w:hAnsi="Times New Roman" w:cs="Times New Roman"/>
            <w:noProof/>
            <w:sz w:val="24"/>
            <w:szCs w:val="24"/>
          </w:rPr>
          <w:t>1</w:t>
        </w:r>
        <w:r w:rsidRPr="00442034">
          <w:rPr>
            <w:rStyle w:val="PageNumber"/>
            <w:rFonts w:ascii="Times New Roman" w:hAnsi="Times New Roman" w:cs="Times New Roman"/>
            <w:sz w:val="24"/>
            <w:szCs w:val="24"/>
          </w:rPr>
          <w:fldChar w:fldCharType="end"/>
        </w:r>
      </w:p>
    </w:sdtContent>
  </w:sdt>
  <w:p w14:paraId="624C06E7" w14:textId="77777777" w:rsidR="00442034" w:rsidRDefault="0044203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B1798" w14:textId="3DDC1A6C" w:rsidR="00442034" w:rsidRPr="00442034" w:rsidRDefault="00442034" w:rsidP="00442034">
    <w:pPr>
      <w:pStyle w:val="Footer"/>
      <w:jc w:val="center"/>
      <w:rPr>
        <w:rFonts w:ascii="Times New Roman" w:hAnsi="Times New Roman" w:cs="Times New Roman"/>
        <w:sz w:val="24"/>
        <w:szCs w:val="24"/>
      </w:rPr>
    </w:pPr>
    <w:r w:rsidRPr="00442034">
      <w:rPr>
        <w:rStyle w:val="PageNumber"/>
        <w:rFonts w:ascii="Times New Roman" w:hAnsi="Times New Roman" w:cs="Times New Roman"/>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543B5" w14:textId="77777777" w:rsidR="00E4733D" w:rsidRDefault="00E4733D" w:rsidP="00B36F35">
      <w:pPr>
        <w:spacing w:after="0" w:line="240" w:lineRule="auto"/>
      </w:pPr>
      <w:r>
        <w:separator/>
      </w:r>
    </w:p>
  </w:footnote>
  <w:footnote w:type="continuationSeparator" w:id="0">
    <w:p w14:paraId="34CAEA2F" w14:textId="77777777" w:rsidR="00E4733D" w:rsidRDefault="00E4733D" w:rsidP="00B36F35">
      <w:pPr>
        <w:spacing w:after="0" w:line="240" w:lineRule="auto"/>
      </w:pPr>
      <w:r>
        <w:continuationSeparator/>
      </w:r>
    </w:p>
  </w:footnote>
  <w:footnote w:id="1">
    <w:p w14:paraId="4299C450" w14:textId="64BFAB1E" w:rsidR="004F6E5E" w:rsidRPr="003A0AA0" w:rsidRDefault="004F6E5E">
      <w:pPr>
        <w:pStyle w:val="FootnoteText"/>
        <w:rPr>
          <w:rFonts w:ascii="Times New Roman" w:hAnsi="Times New Roman" w:cs="Times New Roman"/>
        </w:rPr>
      </w:pPr>
      <w:r w:rsidRPr="003A0AA0">
        <w:rPr>
          <w:rStyle w:val="FootnoteReference"/>
          <w:rFonts w:ascii="Times New Roman" w:hAnsi="Times New Roman" w:cs="Times New Roman"/>
        </w:rPr>
        <w:footnoteRef/>
      </w:r>
      <w:r w:rsidRPr="003A0AA0">
        <w:rPr>
          <w:rFonts w:ascii="Times New Roman" w:hAnsi="Times New Roman" w:cs="Times New Roman"/>
        </w:rPr>
        <w:t xml:space="preserve"> Throughout this dissertation </w:t>
      </w:r>
      <w:r w:rsidR="00A11082" w:rsidRPr="003A0AA0">
        <w:rPr>
          <w:rFonts w:ascii="Times New Roman" w:hAnsi="Times New Roman" w:cs="Times New Roman"/>
        </w:rPr>
        <w:t xml:space="preserve">I refer to this population as youth involved in the child welfare system. This can include youth who </w:t>
      </w:r>
      <w:r w:rsidR="00AA0DE2" w:rsidRPr="003A0AA0">
        <w:rPr>
          <w:rFonts w:ascii="Times New Roman" w:hAnsi="Times New Roman" w:cs="Times New Roman"/>
        </w:rPr>
        <w:t>had a child maltreatment report that was later unsubstantiated, youth who</w:t>
      </w:r>
      <w:r w:rsidR="00A13910" w:rsidRPr="003A0AA0">
        <w:rPr>
          <w:rFonts w:ascii="Times New Roman" w:hAnsi="Times New Roman" w:cs="Times New Roman"/>
        </w:rPr>
        <w:t xml:space="preserve"> did have a substantiated report but were not removed from their home, or youth who were removed and placed in out-of-home care.</w:t>
      </w:r>
      <w:r w:rsidR="007C66A4" w:rsidRPr="003A0AA0">
        <w:rPr>
          <w:rFonts w:ascii="Times New Roman" w:hAnsi="Times New Roman" w:cs="Times New Roman"/>
        </w:rPr>
        <w:t xml:space="preserve"> As further described in the corresponding methods sections, the dataset used in Chapters Two and Three is nationally representative of child welfare </w:t>
      </w:r>
      <w:r w:rsidR="00012D02">
        <w:rPr>
          <w:rFonts w:ascii="Times New Roman" w:hAnsi="Times New Roman" w:cs="Times New Roman"/>
        </w:rPr>
        <w:t>investigations</w:t>
      </w:r>
      <w:r w:rsidR="00974E26" w:rsidRPr="003A0AA0">
        <w:rPr>
          <w:rFonts w:ascii="Times New Roman" w:hAnsi="Times New Roman" w:cs="Times New Roman"/>
        </w:rPr>
        <w:t xml:space="preserve"> and</w:t>
      </w:r>
      <w:r w:rsidR="007C66A4" w:rsidRPr="003A0AA0">
        <w:rPr>
          <w:rFonts w:ascii="Times New Roman" w:hAnsi="Times New Roman" w:cs="Times New Roman"/>
        </w:rPr>
        <w:t xml:space="preserve"> includes reports that were and were not further </w:t>
      </w:r>
      <w:r w:rsidR="00974E26" w:rsidRPr="00974E26">
        <w:rPr>
          <w:rFonts w:ascii="Times New Roman" w:hAnsi="Times New Roman" w:cs="Times New Roman"/>
        </w:rPr>
        <w:t>investigated and</w:t>
      </w:r>
      <w:r w:rsidR="007C66A4" w:rsidRPr="003A0AA0">
        <w:rPr>
          <w:rFonts w:ascii="Times New Roman" w:hAnsi="Times New Roman" w:cs="Times New Roman"/>
        </w:rPr>
        <w:t xml:space="preserve"> is stratified by service type to include cases that received no services, received in-home services, and received out-of-home services. The data used in Chapter Four includes youth </w:t>
      </w:r>
      <w:r w:rsidR="00974E26" w:rsidRPr="003A0AA0">
        <w:rPr>
          <w:rFonts w:ascii="Times New Roman" w:hAnsi="Times New Roman" w:cs="Times New Roman"/>
        </w:rPr>
        <w:t>placed in out-of-home care only.</w:t>
      </w:r>
    </w:p>
  </w:footnote>
  <w:footnote w:id="2">
    <w:p w14:paraId="4AD09634" w14:textId="0DEA2558" w:rsidR="00102F84" w:rsidRDefault="00102F84">
      <w:pPr>
        <w:pStyle w:val="FootnoteText"/>
      </w:pPr>
      <w:r>
        <w:rPr>
          <w:rStyle w:val="FootnoteReference"/>
        </w:rPr>
        <w:footnoteRef/>
      </w:r>
      <w:r>
        <w:t xml:space="preserve"> </w:t>
      </w:r>
      <w:r>
        <w:rPr>
          <w:rFonts w:ascii="Times New Roman" w:hAnsi="Times New Roman" w:cs="Times New Roman"/>
        </w:rPr>
        <w:t>While the coding strategy to measure sexual orientation may potentially be problematic, it is the most inclusive way to measure LGBQ status in this dataset and retain the most cases for the sample.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C65DA" w14:textId="77777777" w:rsidR="00B36F35" w:rsidRDefault="00B36F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6964133"/>
      <w:docPartObj>
        <w:docPartGallery w:val="Page Numbers (Top of Page)"/>
        <w:docPartUnique/>
      </w:docPartObj>
    </w:sdtPr>
    <w:sdtContent>
      <w:p w14:paraId="1F8F6056" w14:textId="77777777" w:rsidR="00442034" w:rsidRDefault="00442034" w:rsidP="00AA57F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6F9450" w14:textId="77777777" w:rsidR="00442034" w:rsidRDefault="00442034" w:rsidP="00F83C22">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654B3" w14:textId="77777777" w:rsidR="00442034" w:rsidRDefault="004420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81944" w14:textId="77777777" w:rsidR="00442034" w:rsidRPr="00AA57F7" w:rsidRDefault="00442034" w:rsidP="00AA57F7">
    <w:pPr>
      <w:pStyle w:val="Header"/>
      <w:jc w:val="right"/>
      <w:rPr>
        <w:rFonts w:ascii="Times New Roman" w:hAnsi="Times New Roman" w:cs="Times New Roman"/>
      </w:rPr>
    </w:pPr>
    <w:r>
      <w:rPr>
        <w:rFonts w:ascii="Times New Roman" w:hAnsi="Times New Roman" w:cs="Times New Roman"/>
      </w:rPr>
      <w:t>LEPPER-PAPPAN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7257A"/>
    <w:multiLevelType w:val="hybridMultilevel"/>
    <w:tmpl w:val="6F184C62"/>
    <w:lvl w:ilvl="0" w:tplc="F9168674">
      <w:start w:val="3"/>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0E2A67"/>
    <w:multiLevelType w:val="hybridMultilevel"/>
    <w:tmpl w:val="EEBE9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A47E2"/>
    <w:multiLevelType w:val="hybridMultilevel"/>
    <w:tmpl w:val="EC04D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463D6"/>
    <w:multiLevelType w:val="hybridMultilevel"/>
    <w:tmpl w:val="B9487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033646"/>
    <w:multiLevelType w:val="hybridMultilevel"/>
    <w:tmpl w:val="A750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26A14"/>
    <w:multiLevelType w:val="hybridMultilevel"/>
    <w:tmpl w:val="7FEAB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9E04F6"/>
    <w:multiLevelType w:val="hybridMultilevel"/>
    <w:tmpl w:val="0EC264E2"/>
    <w:lvl w:ilvl="0" w:tplc="AD588FF2">
      <w:start w:val="1"/>
      <w:numFmt w:val="bullet"/>
      <w:lvlText w:val="•"/>
      <w:lvlJc w:val="left"/>
      <w:pPr>
        <w:tabs>
          <w:tab w:val="num" w:pos="720"/>
        </w:tabs>
        <w:ind w:left="720" w:hanging="360"/>
      </w:pPr>
      <w:rPr>
        <w:rFonts w:ascii="Arial" w:hAnsi="Arial" w:hint="default"/>
      </w:rPr>
    </w:lvl>
    <w:lvl w:ilvl="1" w:tplc="A56493E6" w:tentative="1">
      <w:start w:val="1"/>
      <w:numFmt w:val="bullet"/>
      <w:lvlText w:val="•"/>
      <w:lvlJc w:val="left"/>
      <w:pPr>
        <w:tabs>
          <w:tab w:val="num" w:pos="1440"/>
        </w:tabs>
        <w:ind w:left="1440" w:hanging="360"/>
      </w:pPr>
      <w:rPr>
        <w:rFonts w:ascii="Arial" w:hAnsi="Arial" w:hint="default"/>
      </w:rPr>
    </w:lvl>
    <w:lvl w:ilvl="2" w:tplc="6540B798" w:tentative="1">
      <w:start w:val="1"/>
      <w:numFmt w:val="bullet"/>
      <w:lvlText w:val="•"/>
      <w:lvlJc w:val="left"/>
      <w:pPr>
        <w:tabs>
          <w:tab w:val="num" w:pos="2160"/>
        </w:tabs>
        <w:ind w:left="2160" w:hanging="360"/>
      </w:pPr>
      <w:rPr>
        <w:rFonts w:ascii="Arial" w:hAnsi="Arial" w:hint="default"/>
      </w:rPr>
    </w:lvl>
    <w:lvl w:ilvl="3" w:tplc="E81E8B52" w:tentative="1">
      <w:start w:val="1"/>
      <w:numFmt w:val="bullet"/>
      <w:lvlText w:val="•"/>
      <w:lvlJc w:val="left"/>
      <w:pPr>
        <w:tabs>
          <w:tab w:val="num" w:pos="2880"/>
        </w:tabs>
        <w:ind w:left="2880" w:hanging="360"/>
      </w:pPr>
      <w:rPr>
        <w:rFonts w:ascii="Arial" w:hAnsi="Arial" w:hint="default"/>
      </w:rPr>
    </w:lvl>
    <w:lvl w:ilvl="4" w:tplc="3228A1FA" w:tentative="1">
      <w:start w:val="1"/>
      <w:numFmt w:val="bullet"/>
      <w:lvlText w:val="•"/>
      <w:lvlJc w:val="left"/>
      <w:pPr>
        <w:tabs>
          <w:tab w:val="num" w:pos="3600"/>
        </w:tabs>
        <w:ind w:left="3600" w:hanging="360"/>
      </w:pPr>
      <w:rPr>
        <w:rFonts w:ascii="Arial" w:hAnsi="Arial" w:hint="default"/>
      </w:rPr>
    </w:lvl>
    <w:lvl w:ilvl="5" w:tplc="7F94E552" w:tentative="1">
      <w:start w:val="1"/>
      <w:numFmt w:val="bullet"/>
      <w:lvlText w:val="•"/>
      <w:lvlJc w:val="left"/>
      <w:pPr>
        <w:tabs>
          <w:tab w:val="num" w:pos="4320"/>
        </w:tabs>
        <w:ind w:left="4320" w:hanging="360"/>
      </w:pPr>
      <w:rPr>
        <w:rFonts w:ascii="Arial" w:hAnsi="Arial" w:hint="default"/>
      </w:rPr>
    </w:lvl>
    <w:lvl w:ilvl="6" w:tplc="1E3E7962" w:tentative="1">
      <w:start w:val="1"/>
      <w:numFmt w:val="bullet"/>
      <w:lvlText w:val="•"/>
      <w:lvlJc w:val="left"/>
      <w:pPr>
        <w:tabs>
          <w:tab w:val="num" w:pos="5040"/>
        </w:tabs>
        <w:ind w:left="5040" w:hanging="360"/>
      </w:pPr>
      <w:rPr>
        <w:rFonts w:ascii="Arial" w:hAnsi="Arial" w:hint="default"/>
      </w:rPr>
    </w:lvl>
    <w:lvl w:ilvl="7" w:tplc="226869C8" w:tentative="1">
      <w:start w:val="1"/>
      <w:numFmt w:val="bullet"/>
      <w:lvlText w:val="•"/>
      <w:lvlJc w:val="left"/>
      <w:pPr>
        <w:tabs>
          <w:tab w:val="num" w:pos="5760"/>
        </w:tabs>
        <w:ind w:left="5760" w:hanging="360"/>
      </w:pPr>
      <w:rPr>
        <w:rFonts w:ascii="Arial" w:hAnsi="Arial" w:hint="default"/>
      </w:rPr>
    </w:lvl>
    <w:lvl w:ilvl="8" w:tplc="7C10E7A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8E0A58"/>
    <w:multiLevelType w:val="hybridMultilevel"/>
    <w:tmpl w:val="ED3010FC"/>
    <w:lvl w:ilvl="0" w:tplc="E27EAEAC">
      <w:start w:val="1"/>
      <w:numFmt w:val="bullet"/>
      <w:lvlText w:val="•"/>
      <w:lvlJc w:val="left"/>
      <w:pPr>
        <w:tabs>
          <w:tab w:val="num" w:pos="720"/>
        </w:tabs>
        <w:ind w:left="720" w:hanging="360"/>
      </w:pPr>
      <w:rPr>
        <w:rFonts w:ascii="Arial" w:hAnsi="Arial" w:hint="default"/>
      </w:rPr>
    </w:lvl>
    <w:lvl w:ilvl="1" w:tplc="8A101B9C" w:tentative="1">
      <w:start w:val="1"/>
      <w:numFmt w:val="bullet"/>
      <w:lvlText w:val="•"/>
      <w:lvlJc w:val="left"/>
      <w:pPr>
        <w:tabs>
          <w:tab w:val="num" w:pos="1440"/>
        </w:tabs>
        <w:ind w:left="1440" w:hanging="360"/>
      </w:pPr>
      <w:rPr>
        <w:rFonts w:ascii="Arial" w:hAnsi="Arial" w:hint="default"/>
      </w:rPr>
    </w:lvl>
    <w:lvl w:ilvl="2" w:tplc="B5366242" w:tentative="1">
      <w:start w:val="1"/>
      <w:numFmt w:val="bullet"/>
      <w:lvlText w:val="•"/>
      <w:lvlJc w:val="left"/>
      <w:pPr>
        <w:tabs>
          <w:tab w:val="num" w:pos="2160"/>
        </w:tabs>
        <w:ind w:left="2160" w:hanging="360"/>
      </w:pPr>
      <w:rPr>
        <w:rFonts w:ascii="Arial" w:hAnsi="Arial" w:hint="default"/>
      </w:rPr>
    </w:lvl>
    <w:lvl w:ilvl="3" w:tplc="05A4C790" w:tentative="1">
      <w:start w:val="1"/>
      <w:numFmt w:val="bullet"/>
      <w:lvlText w:val="•"/>
      <w:lvlJc w:val="left"/>
      <w:pPr>
        <w:tabs>
          <w:tab w:val="num" w:pos="2880"/>
        </w:tabs>
        <w:ind w:left="2880" w:hanging="360"/>
      </w:pPr>
      <w:rPr>
        <w:rFonts w:ascii="Arial" w:hAnsi="Arial" w:hint="default"/>
      </w:rPr>
    </w:lvl>
    <w:lvl w:ilvl="4" w:tplc="72640068" w:tentative="1">
      <w:start w:val="1"/>
      <w:numFmt w:val="bullet"/>
      <w:lvlText w:val="•"/>
      <w:lvlJc w:val="left"/>
      <w:pPr>
        <w:tabs>
          <w:tab w:val="num" w:pos="3600"/>
        </w:tabs>
        <w:ind w:left="3600" w:hanging="360"/>
      </w:pPr>
      <w:rPr>
        <w:rFonts w:ascii="Arial" w:hAnsi="Arial" w:hint="default"/>
      </w:rPr>
    </w:lvl>
    <w:lvl w:ilvl="5" w:tplc="D61CB1F2" w:tentative="1">
      <w:start w:val="1"/>
      <w:numFmt w:val="bullet"/>
      <w:lvlText w:val="•"/>
      <w:lvlJc w:val="left"/>
      <w:pPr>
        <w:tabs>
          <w:tab w:val="num" w:pos="4320"/>
        </w:tabs>
        <w:ind w:left="4320" w:hanging="360"/>
      </w:pPr>
      <w:rPr>
        <w:rFonts w:ascii="Arial" w:hAnsi="Arial" w:hint="default"/>
      </w:rPr>
    </w:lvl>
    <w:lvl w:ilvl="6" w:tplc="01EE7714" w:tentative="1">
      <w:start w:val="1"/>
      <w:numFmt w:val="bullet"/>
      <w:lvlText w:val="•"/>
      <w:lvlJc w:val="left"/>
      <w:pPr>
        <w:tabs>
          <w:tab w:val="num" w:pos="5040"/>
        </w:tabs>
        <w:ind w:left="5040" w:hanging="360"/>
      </w:pPr>
      <w:rPr>
        <w:rFonts w:ascii="Arial" w:hAnsi="Arial" w:hint="default"/>
      </w:rPr>
    </w:lvl>
    <w:lvl w:ilvl="7" w:tplc="B0AC4D88" w:tentative="1">
      <w:start w:val="1"/>
      <w:numFmt w:val="bullet"/>
      <w:lvlText w:val="•"/>
      <w:lvlJc w:val="left"/>
      <w:pPr>
        <w:tabs>
          <w:tab w:val="num" w:pos="5760"/>
        </w:tabs>
        <w:ind w:left="5760" w:hanging="360"/>
      </w:pPr>
      <w:rPr>
        <w:rFonts w:ascii="Arial" w:hAnsi="Arial" w:hint="default"/>
      </w:rPr>
    </w:lvl>
    <w:lvl w:ilvl="8" w:tplc="CE9813C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2361E2"/>
    <w:multiLevelType w:val="hybridMultilevel"/>
    <w:tmpl w:val="424CC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D80014"/>
    <w:multiLevelType w:val="hybridMultilevel"/>
    <w:tmpl w:val="EE3E4180"/>
    <w:lvl w:ilvl="0" w:tplc="0409000F">
      <w:start w:val="1"/>
      <w:numFmt w:val="decimal"/>
      <w:lvlText w:val="%1."/>
      <w:lvlJc w:val="left"/>
      <w:pPr>
        <w:ind w:left="720" w:hanging="360"/>
      </w:pPr>
      <w:rPr>
        <w:rFonts w:hint="default"/>
      </w:rPr>
    </w:lvl>
    <w:lvl w:ilvl="1" w:tplc="04090001">
      <w:start w:val="1"/>
      <w:numFmt w:val="bullet"/>
      <w:lvlText w:val=""/>
      <w:lvlJc w:val="left"/>
      <w:pPr>
        <w:ind w:left="15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75AD3"/>
    <w:multiLevelType w:val="hybridMultilevel"/>
    <w:tmpl w:val="53AC6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3B2B10"/>
    <w:multiLevelType w:val="hybridMultilevel"/>
    <w:tmpl w:val="8A72A680"/>
    <w:lvl w:ilvl="0" w:tplc="B7CA58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8A4DB9"/>
    <w:multiLevelType w:val="hybridMultilevel"/>
    <w:tmpl w:val="378E8BF6"/>
    <w:lvl w:ilvl="0" w:tplc="7172BDD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AB0E6B"/>
    <w:multiLevelType w:val="hybridMultilevel"/>
    <w:tmpl w:val="8BF6016A"/>
    <w:lvl w:ilvl="0" w:tplc="7172BDD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33F48"/>
    <w:multiLevelType w:val="hybridMultilevel"/>
    <w:tmpl w:val="CAA0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005E5D"/>
    <w:multiLevelType w:val="hybridMultilevel"/>
    <w:tmpl w:val="D9D6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FA5E00"/>
    <w:multiLevelType w:val="hybridMultilevel"/>
    <w:tmpl w:val="CCC2C6D2"/>
    <w:lvl w:ilvl="0" w:tplc="09460B8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1B73D5"/>
    <w:multiLevelType w:val="hybridMultilevel"/>
    <w:tmpl w:val="D118F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750C47"/>
    <w:multiLevelType w:val="hybridMultilevel"/>
    <w:tmpl w:val="51C08D1E"/>
    <w:lvl w:ilvl="0" w:tplc="32CC3E8A">
      <w:start w:val="1"/>
      <w:numFmt w:val="bullet"/>
      <w:lvlText w:val="•"/>
      <w:lvlJc w:val="left"/>
      <w:pPr>
        <w:tabs>
          <w:tab w:val="num" w:pos="720"/>
        </w:tabs>
        <w:ind w:left="720" w:hanging="360"/>
      </w:pPr>
      <w:rPr>
        <w:rFonts w:ascii="Times New Roman" w:hAnsi="Times New Roman" w:hint="default"/>
      </w:rPr>
    </w:lvl>
    <w:lvl w:ilvl="1" w:tplc="8962DF78" w:tentative="1">
      <w:start w:val="1"/>
      <w:numFmt w:val="bullet"/>
      <w:lvlText w:val="•"/>
      <w:lvlJc w:val="left"/>
      <w:pPr>
        <w:tabs>
          <w:tab w:val="num" w:pos="1440"/>
        </w:tabs>
        <w:ind w:left="1440" w:hanging="360"/>
      </w:pPr>
      <w:rPr>
        <w:rFonts w:ascii="Times New Roman" w:hAnsi="Times New Roman" w:hint="default"/>
      </w:rPr>
    </w:lvl>
    <w:lvl w:ilvl="2" w:tplc="9528CE1C" w:tentative="1">
      <w:start w:val="1"/>
      <w:numFmt w:val="bullet"/>
      <w:lvlText w:val="•"/>
      <w:lvlJc w:val="left"/>
      <w:pPr>
        <w:tabs>
          <w:tab w:val="num" w:pos="2160"/>
        </w:tabs>
        <w:ind w:left="2160" w:hanging="360"/>
      </w:pPr>
      <w:rPr>
        <w:rFonts w:ascii="Times New Roman" w:hAnsi="Times New Roman" w:hint="default"/>
      </w:rPr>
    </w:lvl>
    <w:lvl w:ilvl="3" w:tplc="9792412E" w:tentative="1">
      <w:start w:val="1"/>
      <w:numFmt w:val="bullet"/>
      <w:lvlText w:val="•"/>
      <w:lvlJc w:val="left"/>
      <w:pPr>
        <w:tabs>
          <w:tab w:val="num" w:pos="2880"/>
        </w:tabs>
        <w:ind w:left="2880" w:hanging="360"/>
      </w:pPr>
      <w:rPr>
        <w:rFonts w:ascii="Times New Roman" w:hAnsi="Times New Roman" w:hint="default"/>
      </w:rPr>
    </w:lvl>
    <w:lvl w:ilvl="4" w:tplc="D1621736" w:tentative="1">
      <w:start w:val="1"/>
      <w:numFmt w:val="bullet"/>
      <w:lvlText w:val="•"/>
      <w:lvlJc w:val="left"/>
      <w:pPr>
        <w:tabs>
          <w:tab w:val="num" w:pos="3600"/>
        </w:tabs>
        <w:ind w:left="3600" w:hanging="360"/>
      </w:pPr>
      <w:rPr>
        <w:rFonts w:ascii="Times New Roman" w:hAnsi="Times New Roman" w:hint="default"/>
      </w:rPr>
    </w:lvl>
    <w:lvl w:ilvl="5" w:tplc="BCF817EE" w:tentative="1">
      <w:start w:val="1"/>
      <w:numFmt w:val="bullet"/>
      <w:lvlText w:val="•"/>
      <w:lvlJc w:val="left"/>
      <w:pPr>
        <w:tabs>
          <w:tab w:val="num" w:pos="4320"/>
        </w:tabs>
        <w:ind w:left="4320" w:hanging="360"/>
      </w:pPr>
      <w:rPr>
        <w:rFonts w:ascii="Times New Roman" w:hAnsi="Times New Roman" w:hint="default"/>
      </w:rPr>
    </w:lvl>
    <w:lvl w:ilvl="6" w:tplc="64904218" w:tentative="1">
      <w:start w:val="1"/>
      <w:numFmt w:val="bullet"/>
      <w:lvlText w:val="•"/>
      <w:lvlJc w:val="left"/>
      <w:pPr>
        <w:tabs>
          <w:tab w:val="num" w:pos="5040"/>
        </w:tabs>
        <w:ind w:left="5040" w:hanging="360"/>
      </w:pPr>
      <w:rPr>
        <w:rFonts w:ascii="Times New Roman" w:hAnsi="Times New Roman" w:hint="default"/>
      </w:rPr>
    </w:lvl>
    <w:lvl w:ilvl="7" w:tplc="FB9420D2" w:tentative="1">
      <w:start w:val="1"/>
      <w:numFmt w:val="bullet"/>
      <w:lvlText w:val="•"/>
      <w:lvlJc w:val="left"/>
      <w:pPr>
        <w:tabs>
          <w:tab w:val="num" w:pos="5760"/>
        </w:tabs>
        <w:ind w:left="5760" w:hanging="360"/>
      </w:pPr>
      <w:rPr>
        <w:rFonts w:ascii="Times New Roman" w:hAnsi="Times New Roman" w:hint="default"/>
      </w:rPr>
    </w:lvl>
    <w:lvl w:ilvl="8" w:tplc="61CC329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61D7CF8"/>
    <w:multiLevelType w:val="hybridMultilevel"/>
    <w:tmpl w:val="01EAB618"/>
    <w:lvl w:ilvl="0" w:tplc="6B7CF890">
      <w:start w:val="1"/>
      <w:numFmt w:val="bullet"/>
      <w:lvlText w:val="•"/>
      <w:lvlJc w:val="left"/>
      <w:pPr>
        <w:tabs>
          <w:tab w:val="num" w:pos="720"/>
        </w:tabs>
        <w:ind w:left="720" w:hanging="360"/>
      </w:pPr>
      <w:rPr>
        <w:rFonts w:ascii="Times New Roman" w:hAnsi="Times New Roman" w:hint="default"/>
      </w:rPr>
    </w:lvl>
    <w:lvl w:ilvl="1" w:tplc="52281E06" w:tentative="1">
      <w:start w:val="1"/>
      <w:numFmt w:val="bullet"/>
      <w:lvlText w:val="•"/>
      <w:lvlJc w:val="left"/>
      <w:pPr>
        <w:tabs>
          <w:tab w:val="num" w:pos="1440"/>
        </w:tabs>
        <w:ind w:left="1440" w:hanging="360"/>
      </w:pPr>
      <w:rPr>
        <w:rFonts w:ascii="Times New Roman" w:hAnsi="Times New Roman" w:hint="default"/>
      </w:rPr>
    </w:lvl>
    <w:lvl w:ilvl="2" w:tplc="1526CD1E" w:tentative="1">
      <w:start w:val="1"/>
      <w:numFmt w:val="bullet"/>
      <w:lvlText w:val="•"/>
      <w:lvlJc w:val="left"/>
      <w:pPr>
        <w:tabs>
          <w:tab w:val="num" w:pos="2160"/>
        </w:tabs>
        <w:ind w:left="2160" w:hanging="360"/>
      </w:pPr>
      <w:rPr>
        <w:rFonts w:ascii="Times New Roman" w:hAnsi="Times New Roman" w:hint="default"/>
      </w:rPr>
    </w:lvl>
    <w:lvl w:ilvl="3" w:tplc="881C3D42" w:tentative="1">
      <w:start w:val="1"/>
      <w:numFmt w:val="bullet"/>
      <w:lvlText w:val="•"/>
      <w:lvlJc w:val="left"/>
      <w:pPr>
        <w:tabs>
          <w:tab w:val="num" w:pos="2880"/>
        </w:tabs>
        <w:ind w:left="2880" w:hanging="360"/>
      </w:pPr>
      <w:rPr>
        <w:rFonts w:ascii="Times New Roman" w:hAnsi="Times New Roman" w:hint="default"/>
      </w:rPr>
    </w:lvl>
    <w:lvl w:ilvl="4" w:tplc="756AEDAC" w:tentative="1">
      <w:start w:val="1"/>
      <w:numFmt w:val="bullet"/>
      <w:lvlText w:val="•"/>
      <w:lvlJc w:val="left"/>
      <w:pPr>
        <w:tabs>
          <w:tab w:val="num" w:pos="3600"/>
        </w:tabs>
        <w:ind w:left="3600" w:hanging="360"/>
      </w:pPr>
      <w:rPr>
        <w:rFonts w:ascii="Times New Roman" w:hAnsi="Times New Roman" w:hint="default"/>
      </w:rPr>
    </w:lvl>
    <w:lvl w:ilvl="5" w:tplc="62FCECCA" w:tentative="1">
      <w:start w:val="1"/>
      <w:numFmt w:val="bullet"/>
      <w:lvlText w:val="•"/>
      <w:lvlJc w:val="left"/>
      <w:pPr>
        <w:tabs>
          <w:tab w:val="num" w:pos="4320"/>
        </w:tabs>
        <w:ind w:left="4320" w:hanging="360"/>
      </w:pPr>
      <w:rPr>
        <w:rFonts w:ascii="Times New Roman" w:hAnsi="Times New Roman" w:hint="default"/>
      </w:rPr>
    </w:lvl>
    <w:lvl w:ilvl="6" w:tplc="C16021B6" w:tentative="1">
      <w:start w:val="1"/>
      <w:numFmt w:val="bullet"/>
      <w:lvlText w:val="•"/>
      <w:lvlJc w:val="left"/>
      <w:pPr>
        <w:tabs>
          <w:tab w:val="num" w:pos="5040"/>
        </w:tabs>
        <w:ind w:left="5040" w:hanging="360"/>
      </w:pPr>
      <w:rPr>
        <w:rFonts w:ascii="Times New Roman" w:hAnsi="Times New Roman" w:hint="default"/>
      </w:rPr>
    </w:lvl>
    <w:lvl w:ilvl="7" w:tplc="9F620AD0" w:tentative="1">
      <w:start w:val="1"/>
      <w:numFmt w:val="bullet"/>
      <w:lvlText w:val="•"/>
      <w:lvlJc w:val="left"/>
      <w:pPr>
        <w:tabs>
          <w:tab w:val="num" w:pos="5760"/>
        </w:tabs>
        <w:ind w:left="5760" w:hanging="360"/>
      </w:pPr>
      <w:rPr>
        <w:rFonts w:ascii="Times New Roman" w:hAnsi="Times New Roman" w:hint="default"/>
      </w:rPr>
    </w:lvl>
    <w:lvl w:ilvl="8" w:tplc="2D600EC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052100A"/>
    <w:multiLevelType w:val="hybridMultilevel"/>
    <w:tmpl w:val="0D28142E"/>
    <w:lvl w:ilvl="0" w:tplc="74EABC04">
      <w:start w:val="1"/>
      <w:numFmt w:val="bullet"/>
      <w:lvlText w:val="-"/>
      <w:lvlJc w:val="left"/>
      <w:pPr>
        <w:tabs>
          <w:tab w:val="num" w:pos="720"/>
        </w:tabs>
        <w:ind w:left="720" w:hanging="360"/>
      </w:pPr>
      <w:rPr>
        <w:rFonts w:ascii="Times New Roman" w:hAnsi="Times New Roman" w:hint="default"/>
      </w:rPr>
    </w:lvl>
    <w:lvl w:ilvl="1" w:tplc="9488BA2A" w:tentative="1">
      <w:start w:val="1"/>
      <w:numFmt w:val="bullet"/>
      <w:lvlText w:val="-"/>
      <w:lvlJc w:val="left"/>
      <w:pPr>
        <w:tabs>
          <w:tab w:val="num" w:pos="1440"/>
        </w:tabs>
        <w:ind w:left="1440" w:hanging="360"/>
      </w:pPr>
      <w:rPr>
        <w:rFonts w:ascii="Times New Roman" w:hAnsi="Times New Roman" w:hint="default"/>
      </w:rPr>
    </w:lvl>
    <w:lvl w:ilvl="2" w:tplc="5258593E" w:tentative="1">
      <w:start w:val="1"/>
      <w:numFmt w:val="bullet"/>
      <w:lvlText w:val="-"/>
      <w:lvlJc w:val="left"/>
      <w:pPr>
        <w:tabs>
          <w:tab w:val="num" w:pos="2160"/>
        </w:tabs>
        <w:ind w:left="2160" w:hanging="360"/>
      </w:pPr>
      <w:rPr>
        <w:rFonts w:ascii="Times New Roman" w:hAnsi="Times New Roman" w:hint="default"/>
      </w:rPr>
    </w:lvl>
    <w:lvl w:ilvl="3" w:tplc="15DE3C26" w:tentative="1">
      <w:start w:val="1"/>
      <w:numFmt w:val="bullet"/>
      <w:lvlText w:val="-"/>
      <w:lvlJc w:val="left"/>
      <w:pPr>
        <w:tabs>
          <w:tab w:val="num" w:pos="2880"/>
        </w:tabs>
        <w:ind w:left="2880" w:hanging="360"/>
      </w:pPr>
      <w:rPr>
        <w:rFonts w:ascii="Times New Roman" w:hAnsi="Times New Roman" w:hint="default"/>
      </w:rPr>
    </w:lvl>
    <w:lvl w:ilvl="4" w:tplc="F8E87A90" w:tentative="1">
      <w:start w:val="1"/>
      <w:numFmt w:val="bullet"/>
      <w:lvlText w:val="-"/>
      <w:lvlJc w:val="left"/>
      <w:pPr>
        <w:tabs>
          <w:tab w:val="num" w:pos="3600"/>
        </w:tabs>
        <w:ind w:left="3600" w:hanging="360"/>
      </w:pPr>
      <w:rPr>
        <w:rFonts w:ascii="Times New Roman" w:hAnsi="Times New Roman" w:hint="default"/>
      </w:rPr>
    </w:lvl>
    <w:lvl w:ilvl="5" w:tplc="61BCD1BC" w:tentative="1">
      <w:start w:val="1"/>
      <w:numFmt w:val="bullet"/>
      <w:lvlText w:val="-"/>
      <w:lvlJc w:val="left"/>
      <w:pPr>
        <w:tabs>
          <w:tab w:val="num" w:pos="4320"/>
        </w:tabs>
        <w:ind w:left="4320" w:hanging="360"/>
      </w:pPr>
      <w:rPr>
        <w:rFonts w:ascii="Times New Roman" w:hAnsi="Times New Roman" w:hint="default"/>
      </w:rPr>
    </w:lvl>
    <w:lvl w:ilvl="6" w:tplc="9A1E0488" w:tentative="1">
      <w:start w:val="1"/>
      <w:numFmt w:val="bullet"/>
      <w:lvlText w:val="-"/>
      <w:lvlJc w:val="left"/>
      <w:pPr>
        <w:tabs>
          <w:tab w:val="num" w:pos="5040"/>
        </w:tabs>
        <w:ind w:left="5040" w:hanging="360"/>
      </w:pPr>
      <w:rPr>
        <w:rFonts w:ascii="Times New Roman" w:hAnsi="Times New Roman" w:hint="default"/>
      </w:rPr>
    </w:lvl>
    <w:lvl w:ilvl="7" w:tplc="1262938C" w:tentative="1">
      <w:start w:val="1"/>
      <w:numFmt w:val="bullet"/>
      <w:lvlText w:val="-"/>
      <w:lvlJc w:val="left"/>
      <w:pPr>
        <w:tabs>
          <w:tab w:val="num" w:pos="5760"/>
        </w:tabs>
        <w:ind w:left="5760" w:hanging="360"/>
      </w:pPr>
      <w:rPr>
        <w:rFonts w:ascii="Times New Roman" w:hAnsi="Times New Roman" w:hint="default"/>
      </w:rPr>
    </w:lvl>
    <w:lvl w:ilvl="8" w:tplc="CC2C399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62D3C28"/>
    <w:multiLevelType w:val="hybridMultilevel"/>
    <w:tmpl w:val="F6E8C9CA"/>
    <w:lvl w:ilvl="0" w:tplc="77BE2C5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AD5F97"/>
    <w:multiLevelType w:val="hybridMultilevel"/>
    <w:tmpl w:val="D7EC257A"/>
    <w:lvl w:ilvl="0" w:tplc="24461120">
      <w:start w:val="1"/>
      <w:numFmt w:val="bullet"/>
      <w:lvlText w:val="•"/>
      <w:lvlJc w:val="left"/>
      <w:pPr>
        <w:tabs>
          <w:tab w:val="num" w:pos="720"/>
        </w:tabs>
        <w:ind w:left="720" w:hanging="360"/>
      </w:pPr>
      <w:rPr>
        <w:rFonts w:ascii="Times New Roman" w:hAnsi="Times New Roman" w:hint="default"/>
      </w:rPr>
    </w:lvl>
    <w:lvl w:ilvl="1" w:tplc="5CACCE7C" w:tentative="1">
      <w:start w:val="1"/>
      <w:numFmt w:val="bullet"/>
      <w:lvlText w:val="•"/>
      <w:lvlJc w:val="left"/>
      <w:pPr>
        <w:tabs>
          <w:tab w:val="num" w:pos="1440"/>
        </w:tabs>
        <w:ind w:left="1440" w:hanging="360"/>
      </w:pPr>
      <w:rPr>
        <w:rFonts w:ascii="Times New Roman" w:hAnsi="Times New Roman" w:hint="default"/>
      </w:rPr>
    </w:lvl>
    <w:lvl w:ilvl="2" w:tplc="139EDE20" w:tentative="1">
      <w:start w:val="1"/>
      <w:numFmt w:val="bullet"/>
      <w:lvlText w:val="•"/>
      <w:lvlJc w:val="left"/>
      <w:pPr>
        <w:tabs>
          <w:tab w:val="num" w:pos="2160"/>
        </w:tabs>
        <w:ind w:left="2160" w:hanging="360"/>
      </w:pPr>
      <w:rPr>
        <w:rFonts w:ascii="Times New Roman" w:hAnsi="Times New Roman" w:hint="default"/>
      </w:rPr>
    </w:lvl>
    <w:lvl w:ilvl="3" w:tplc="1234BC44" w:tentative="1">
      <w:start w:val="1"/>
      <w:numFmt w:val="bullet"/>
      <w:lvlText w:val="•"/>
      <w:lvlJc w:val="left"/>
      <w:pPr>
        <w:tabs>
          <w:tab w:val="num" w:pos="2880"/>
        </w:tabs>
        <w:ind w:left="2880" w:hanging="360"/>
      </w:pPr>
      <w:rPr>
        <w:rFonts w:ascii="Times New Roman" w:hAnsi="Times New Roman" w:hint="default"/>
      </w:rPr>
    </w:lvl>
    <w:lvl w:ilvl="4" w:tplc="0C241D98" w:tentative="1">
      <w:start w:val="1"/>
      <w:numFmt w:val="bullet"/>
      <w:lvlText w:val="•"/>
      <w:lvlJc w:val="left"/>
      <w:pPr>
        <w:tabs>
          <w:tab w:val="num" w:pos="3600"/>
        </w:tabs>
        <w:ind w:left="3600" w:hanging="360"/>
      </w:pPr>
      <w:rPr>
        <w:rFonts w:ascii="Times New Roman" w:hAnsi="Times New Roman" w:hint="default"/>
      </w:rPr>
    </w:lvl>
    <w:lvl w:ilvl="5" w:tplc="A27E2C30" w:tentative="1">
      <w:start w:val="1"/>
      <w:numFmt w:val="bullet"/>
      <w:lvlText w:val="•"/>
      <w:lvlJc w:val="left"/>
      <w:pPr>
        <w:tabs>
          <w:tab w:val="num" w:pos="4320"/>
        </w:tabs>
        <w:ind w:left="4320" w:hanging="360"/>
      </w:pPr>
      <w:rPr>
        <w:rFonts w:ascii="Times New Roman" w:hAnsi="Times New Roman" w:hint="default"/>
      </w:rPr>
    </w:lvl>
    <w:lvl w:ilvl="6" w:tplc="88E4247E" w:tentative="1">
      <w:start w:val="1"/>
      <w:numFmt w:val="bullet"/>
      <w:lvlText w:val="•"/>
      <w:lvlJc w:val="left"/>
      <w:pPr>
        <w:tabs>
          <w:tab w:val="num" w:pos="5040"/>
        </w:tabs>
        <w:ind w:left="5040" w:hanging="360"/>
      </w:pPr>
      <w:rPr>
        <w:rFonts w:ascii="Times New Roman" w:hAnsi="Times New Roman" w:hint="default"/>
      </w:rPr>
    </w:lvl>
    <w:lvl w:ilvl="7" w:tplc="4DF8B3C6" w:tentative="1">
      <w:start w:val="1"/>
      <w:numFmt w:val="bullet"/>
      <w:lvlText w:val="•"/>
      <w:lvlJc w:val="left"/>
      <w:pPr>
        <w:tabs>
          <w:tab w:val="num" w:pos="5760"/>
        </w:tabs>
        <w:ind w:left="5760" w:hanging="360"/>
      </w:pPr>
      <w:rPr>
        <w:rFonts w:ascii="Times New Roman" w:hAnsi="Times New Roman" w:hint="default"/>
      </w:rPr>
    </w:lvl>
    <w:lvl w:ilvl="8" w:tplc="326CB76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C5D273F"/>
    <w:multiLevelType w:val="hybridMultilevel"/>
    <w:tmpl w:val="BE68481E"/>
    <w:lvl w:ilvl="0" w:tplc="2B20BED0">
      <w:start w:val="1"/>
      <w:numFmt w:val="bullet"/>
      <w:lvlText w:val="•"/>
      <w:lvlJc w:val="left"/>
      <w:pPr>
        <w:tabs>
          <w:tab w:val="num" w:pos="720"/>
        </w:tabs>
        <w:ind w:left="720" w:hanging="360"/>
      </w:pPr>
      <w:rPr>
        <w:rFonts w:ascii="Times New Roman" w:hAnsi="Times New Roman" w:hint="default"/>
      </w:rPr>
    </w:lvl>
    <w:lvl w:ilvl="1" w:tplc="CFD477E2" w:tentative="1">
      <w:start w:val="1"/>
      <w:numFmt w:val="bullet"/>
      <w:lvlText w:val="•"/>
      <w:lvlJc w:val="left"/>
      <w:pPr>
        <w:tabs>
          <w:tab w:val="num" w:pos="1440"/>
        </w:tabs>
        <w:ind w:left="1440" w:hanging="360"/>
      </w:pPr>
      <w:rPr>
        <w:rFonts w:ascii="Times New Roman" w:hAnsi="Times New Roman" w:hint="default"/>
      </w:rPr>
    </w:lvl>
    <w:lvl w:ilvl="2" w:tplc="B948B234" w:tentative="1">
      <w:start w:val="1"/>
      <w:numFmt w:val="bullet"/>
      <w:lvlText w:val="•"/>
      <w:lvlJc w:val="left"/>
      <w:pPr>
        <w:tabs>
          <w:tab w:val="num" w:pos="2160"/>
        </w:tabs>
        <w:ind w:left="2160" w:hanging="360"/>
      </w:pPr>
      <w:rPr>
        <w:rFonts w:ascii="Times New Roman" w:hAnsi="Times New Roman" w:hint="default"/>
      </w:rPr>
    </w:lvl>
    <w:lvl w:ilvl="3" w:tplc="005AF3F6" w:tentative="1">
      <w:start w:val="1"/>
      <w:numFmt w:val="bullet"/>
      <w:lvlText w:val="•"/>
      <w:lvlJc w:val="left"/>
      <w:pPr>
        <w:tabs>
          <w:tab w:val="num" w:pos="2880"/>
        </w:tabs>
        <w:ind w:left="2880" w:hanging="360"/>
      </w:pPr>
      <w:rPr>
        <w:rFonts w:ascii="Times New Roman" w:hAnsi="Times New Roman" w:hint="default"/>
      </w:rPr>
    </w:lvl>
    <w:lvl w:ilvl="4" w:tplc="D1262E5E" w:tentative="1">
      <w:start w:val="1"/>
      <w:numFmt w:val="bullet"/>
      <w:lvlText w:val="•"/>
      <w:lvlJc w:val="left"/>
      <w:pPr>
        <w:tabs>
          <w:tab w:val="num" w:pos="3600"/>
        </w:tabs>
        <w:ind w:left="3600" w:hanging="360"/>
      </w:pPr>
      <w:rPr>
        <w:rFonts w:ascii="Times New Roman" w:hAnsi="Times New Roman" w:hint="default"/>
      </w:rPr>
    </w:lvl>
    <w:lvl w:ilvl="5" w:tplc="23C0FE8C" w:tentative="1">
      <w:start w:val="1"/>
      <w:numFmt w:val="bullet"/>
      <w:lvlText w:val="•"/>
      <w:lvlJc w:val="left"/>
      <w:pPr>
        <w:tabs>
          <w:tab w:val="num" w:pos="4320"/>
        </w:tabs>
        <w:ind w:left="4320" w:hanging="360"/>
      </w:pPr>
      <w:rPr>
        <w:rFonts w:ascii="Times New Roman" w:hAnsi="Times New Roman" w:hint="default"/>
      </w:rPr>
    </w:lvl>
    <w:lvl w:ilvl="6" w:tplc="0DDE4ABA" w:tentative="1">
      <w:start w:val="1"/>
      <w:numFmt w:val="bullet"/>
      <w:lvlText w:val="•"/>
      <w:lvlJc w:val="left"/>
      <w:pPr>
        <w:tabs>
          <w:tab w:val="num" w:pos="5040"/>
        </w:tabs>
        <w:ind w:left="5040" w:hanging="360"/>
      </w:pPr>
      <w:rPr>
        <w:rFonts w:ascii="Times New Roman" w:hAnsi="Times New Roman" w:hint="default"/>
      </w:rPr>
    </w:lvl>
    <w:lvl w:ilvl="7" w:tplc="29306722" w:tentative="1">
      <w:start w:val="1"/>
      <w:numFmt w:val="bullet"/>
      <w:lvlText w:val="•"/>
      <w:lvlJc w:val="left"/>
      <w:pPr>
        <w:tabs>
          <w:tab w:val="num" w:pos="5760"/>
        </w:tabs>
        <w:ind w:left="5760" w:hanging="360"/>
      </w:pPr>
      <w:rPr>
        <w:rFonts w:ascii="Times New Roman" w:hAnsi="Times New Roman" w:hint="default"/>
      </w:rPr>
    </w:lvl>
    <w:lvl w:ilvl="8" w:tplc="1BBEC060"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01B478A"/>
    <w:multiLevelType w:val="hybridMultilevel"/>
    <w:tmpl w:val="5E4E528A"/>
    <w:lvl w:ilvl="0" w:tplc="E8DAA136">
      <w:start w:val="1"/>
      <w:numFmt w:val="bullet"/>
      <w:lvlText w:val="•"/>
      <w:lvlJc w:val="left"/>
      <w:pPr>
        <w:tabs>
          <w:tab w:val="num" w:pos="720"/>
        </w:tabs>
        <w:ind w:left="720" w:hanging="360"/>
      </w:pPr>
      <w:rPr>
        <w:rFonts w:ascii="Times New Roman" w:hAnsi="Times New Roman" w:hint="default"/>
      </w:rPr>
    </w:lvl>
    <w:lvl w:ilvl="1" w:tplc="3F82E586">
      <w:start w:val="1"/>
      <w:numFmt w:val="bullet"/>
      <w:lvlText w:val="•"/>
      <w:lvlJc w:val="left"/>
      <w:pPr>
        <w:tabs>
          <w:tab w:val="num" w:pos="1440"/>
        </w:tabs>
        <w:ind w:left="1440" w:hanging="360"/>
      </w:pPr>
      <w:rPr>
        <w:rFonts w:ascii="Times New Roman" w:hAnsi="Times New Roman" w:hint="default"/>
      </w:rPr>
    </w:lvl>
    <w:lvl w:ilvl="2" w:tplc="E5D2327A" w:tentative="1">
      <w:start w:val="1"/>
      <w:numFmt w:val="bullet"/>
      <w:lvlText w:val="•"/>
      <w:lvlJc w:val="left"/>
      <w:pPr>
        <w:tabs>
          <w:tab w:val="num" w:pos="2160"/>
        </w:tabs>
        <w:ind w:left="2160" w:hanging="360"/>
      </w:pPr>
      <w:rPr>
        <w:rFonts w:ascii="Times New Roman" w:hAnsi="Times New Roman" w:hint="default"/>
      </w:rPr>
    </w:lvl>
    <w:lvl w:ilvl="3" w:tplc="F9B41D46" w:tentative="1">
      <w:start w:val="1"/>
      <w:numFmt w:val="bullet"/>
      <w:lvlText w:val="•"/>
      <w:lvlJc w:val="left"/>
      <w:pPr>
        <w:tabs>
          <w:tab w:val="num" w:pos="2880"/>
        </w:tabs>
        <w:ind w:left="2880" w:hanging="360"/>
      </w:pPr>
      <w:rPr>
        <w:rFonts w:ascii="Times New Roman" w:hAnsi="Times New Roman" w:hint="default"/>
      </w:rPr>
    </w:lvl>
    <w:lvl w:ilvl="4" w:tplc="80D86628" w:tentative="1">
      <w:start w:val="1"/>
      <w:numFmt w:val="bullet"/>
      <w:lvlText w:val="•"/>
      <w:lvlJc w:val="left"/>
      <w:pPr>
        <w:tabs>
          <w:tab w:val="num" w:pos="3600"/>
        </w:tabs>
        <w:ind w:left="3600" w:hanging="360"/>
      </w:pPr>
      <w:rPr>
        <w:rFonts w:ascii="Times New Roman" w:hAnsi="Times New Roman" w:hint="default"/>
      </w:rPr>
    </w:lvl>
    <w:lvl w:ilvl="5" w:tplc="76609DB2" w:tentative="1">
      <w:start w:val="1"/>
      <w:numFmt w:val="bullet"/>
      <w:lvlText w:val="•"/>
      <w:lvlJc w:val="left"/>
      <w:pPr>
        <w:tabs>
          <w:tab w:val="num" w:pos="4320"/>
        </w:tabs>
        <w:ind w:left="4320" w:hanging="360"/>
      </w:pPr>
      <w:rPr>
        <w:rFonts w:ascii="Times New Roman" w:hAnsi="Times New Roman" w:hint="default"/>
      </w:rPr>
    </w:lvl>
    <w:lvl w:ilvl="6" w:tplc="49BADB36" w:tentative="1">
      <w:start w:val="1"/>
      <w:numFmt w:val="bullet"/>
      <w:lvlText w:val="•"/>
      <w:lvlJc w:val="left"/>
      <w:pPr>
        <w:tabs>
          <w:tab w:val="num" w:pos="5040"/>
        </w:tabs>
        <w:ind w:left="5040" w:hanging="360"/>
      </w:pPr>
      <w:rPr>
        <w:rFonts w:ascii="Times New Roman" w:hAnsi="Times New Roman" w:hint="default"/>
      </w:rPr>
    </w:lvl>
    <w:lvl w:ilvl="7" w:tplc="32484650" w:tentative="1">
      <w:start w:val="1"/>
      <w:numFmt w:val="bullet"/>
      <w:lvlText w:val="•"/>
      <w:lvlJc w:val="left"/>
      <w:pPr>
        <w:tabs>
          <w:tab w:val="num" w:pos="5760"/>
        </w:tabs>
        <w:ind w:left="5760" w:hanging="360"/>
      </w:pPr>
      <w:rPr>
        <w:rFonts w:ascii="Times New Roman" w:hAnsi="Times New Roman" w:hint="default"/>
      </w:rPr>
    </w:lvl>
    <w:lvl w:ilvl="8" w:tplc="F7F29D7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39D3972"/>
    <w:multiLevelType w:val="hybridMultilevel"/>
    <w:tmpl w:val="2C3E91FE"/>
    <w:lvl w:ilvl="0" w:tplc="7172BDD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B12DB0"/>
    <w:multiLevelType w:val="hybridMultilevel"/>
    <w:tmpl w:val="D05A9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EB7784"/>
    <w:multiLevelType w:val="hybridMultilevel"/>
    <w:tmpl w:val="B4F49812"/>
    <w:lvl w:ilvl="0" w:tplc="6EE82BBE">
      <w:start w:val="1"/>
      <w:numFmt w:val="bullet"/>
      <w:lvlText w:val="-"/>
      <w:lvlJc w:val="left"/>
      <w:pPr>
        <w:tabs>
          <w:tab w:val="num" w:pos="720"/>
        </w:tabs>
        <w:ind w:left="720" w:hanging="360"/>
      </w:pPr>
      <w:rPr>
        <w:rFonts w:ascii="Times New Roman" w:hAnsi="Times New Roman" w:hint="default"/>
      </w:rPr>
    </w:lvl>
    <w:lvl w:ilvl="1" w:tplc="6B62187E" w:tentative="1">
      <w:start w:val="1"/>
      <w:numFmt w:val="bullet"/>
      <w:lvlText w:val="-"/>
      <w:lvlJc w:val="left"/>
      <w:pPr>
        <w:tabs>
          <w:tab w:val="num" w:pos="1440"/>
        </w:tabs>
        <w:ind w:left="1440" w:hanging="360"/>
      </w:pPr>
      <w:rPr>
        <w:rFonts w:ascii="Times New Roman" w:hAnsi="Times New Roman" w:hint="default"/>
      </w:rPr>
    </w:lvl>
    <w:lvl w:ilvl="2" w:tplc="0972DE9A" w:tentative="1">
      <w:start w:val="1"/>
      <w:numFmt w:val="bullet"/>
      <w:lvlText w:val="-"/>
      <w:lvlJc w:val="left"/>
      <w:pPr>
        <w:tabs>
          <w:tab w:val="num" w:pos="2160"/>
        </w:tabs>
        <w:ind w:left="2160" w:hanging="360"/>
      </w:pPr>
      <w:rPr>
        <w:rFonts w:ascii="Times New Roman" w:hAnsi="Times New Roman" w:hint="default"/>
      </w:rPr>
    </w:lvl>
    <w:lvl w:ilvl="3" w:tplc="6C743372" w:tentative="1">
      <w:start w:val="1"/>
      <w:numFmt w:val="bullet"/>
      <w:lvlText w:val="-"/>
      <w:lvlJc w:val="left"/>
      <w:pPr>
        <w:tabs>
          <w:tab w:val="num" w:pos="2880"/>
        </w:tabs>
        <w:ind w:left="2880" w:hanging="360"/>
      </w:pPr>
      <w:rPr>
        <w:rFonts w:ascii="Times New Roman" w:hAnsi="Times New Roman" w:hint="default"/>
      </w:rPr>
    </w:lvl>
    <w:lvl w:ilvl="4" w:tplc="26A843A2" w:tentative="1">
      <w:start w:val="1"/>
      <w:numFmt w:val="bullet"/>
      <w:lvlText w:val="-"/>
      <w:lvlJc w:val="left"/>
      <w:pPr>
        <w:tabs>
          <w:tab w:val="num" w:pos="3600"/>
        </w:tabs>
        <w:ind w:left="3600" w:hanging="360"/>
      </w:pPr>
      <w:rPr>
        <w:rFonts w:ascii="Times New Roman" w:hAnsi="Times New Roman" w:hint="default"/>
      </w:rPr>
    </w:lvl>
    <w:lvl w:ilvl="5" w:tplc="EEF6DDB8" w:tentative="1">
      <w:start w:val="1"/>
      <w:numFmt w:val="bullet"/>
      <w:lvlText w:val="-"/>
      <w:lvlJc w:val="left"/>
      <w:pPr>
        <w:tabs>
          <w:tab w:val="num" w:pos="4320"/>
        </w:tabs>
        <w:ind w:left="4320" w:hanging="360"/>
      </w:pPr>
      <w:rPr>
        <w:rFonts w:ascii="Times New Roman" w:hAnsi="Times New Roman" w:hint="default"/>
      </w:rPr>
    </w:lvl>
    <w:lvl w:ilvl="6" w:tplc="9E140130" w:tentative="1">
      <w:start w:val="1"/>
      <w:numFmt w:val="bullet"/>
      <w:lvlText w:val="-"/>
      <w:lvlJc w:val="left"/>
      <w:pPr>
        <w:tabs>
          <w:tab w:val="num" w:pos="5040"/>
        </w:tabs>
        <w:ind w:left="5040" w:hanging="360"/>
      </w:pPr>
      <w:rPr>
        <w:rFonts w:ascii="Times New Roman" w:hAnsi="Times New Roman" w:hint="default"/>
      </w:rPr>
    </w:lvl>
    <w:lvl w:ilvl="7" w:tplc="F5FC75AA" w:tentative="1">
      <w:start w:val="1"/>
      <w:numFmt w:val="bullet"/>
      <w:lvlText w:val="-"/>
      <w:lvlJc w:val="left"/>
      <w:pPr>
        <w:tabs>
          <w:tab w:val="num" w:pos="5760"/>
        </w:tabs>
        <w:ind w:left="5760" w:hanging="360"/>
      </w:pPr>
      <w:rPr>
        <w:rFonts w:ascii="Times New Roman" w:hAnsi="Times New Roman" w:hint="default"/>
      </w:rPr>
    </w:lvl>
    <w:lvl w:ilvl="8" w:tplc="626E873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BDC2DAB"/>
    <w:multiLevelType w:val="hybridMultilevel"/>
    <w:tmpl w:val="74AA3892"/>
    <w:lvl w:ilvl="0" w:tplc="2774E602">
      <w:start w:val="6"/>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0EB2C57"/>
    <w:multiLevelType w:val="hybridMultilevel"/>
    <w:tmpl w:val="7A4EA5C6"/>
    <w:lvl w:ilvl="0" w:tplc="34424A80">
      <w:start w:val="1"/>
      <w:numFmt w:val="bullet"/>
      <w:lvlText w:val="•"/>
      <w:lvlJc w:val="left"/>
      <w:pPr>
        <w:tabs>
          <w:tab w:val="num" w:pos="720"/>
        </w:tabs>
        <w:ind w:left="720" w:hanging="360"/>
      </w:pPr>
      <w:rPr>
        <w:rFonts w:ascii="Times New Roman" w:hAnsi="Times New Roman" w:hint="default"/>
      </w:rPr>
    </w:lvl>
    <w:lvl w:ilvl="1" w:tplc="8A428B10" w:tentative="1">
      <w:start w:val="1"/>
      <w:numFmt w:val="bullet"/>
      <w:lvlText w:val="•"/>
      <w:lvlJc w:val="left"/>
      <w:pPr>
        <w:tabs>
          <w:tab w:val="num" w:pos="1440"/>
        </w:tabs>
        <w:ind w:left="1440" w:hanging="360"/>
      </w:pPr>
      <w:rPr>
        <w:rFonts w:ascii="Times New Roman" w:hAnsi="Times New Roman" w:hint="default"/>
      </w:rPr>
    </w:lvl>
    <w:lvl w:ilvl="2" w:tplc="8B6C15C2" w:tentative="1">
      <w:start w:val="1"/>
      <w:numFmt w:val="bullet"/>
      <w:lvlText w:val="•"/>
      <w:lvlJc w:val="left"/>
      <w:pPr>
        <w:tabs>
          <w:tab w:val="num" w:pos="2160"/>
        </w:tabs>
        <w:ind w:left="2160" w:hanging="360"/>
      </w:pPr>
      <w:rPr>
        <w:rFonts w:ascii="Times New Roman" w:hAnsi="Times New Roman" w:hint="default"/>
      </w:rPr>
    </w:lvl>
    <w:lvl w:ilvl="3" w:tplc="31E204DE" w:tentative="1">
      <w:start w:val="1"/>
      <w:numFmt w:val="bullet"/>
      <w:lvlText w:val="•"/>
      <w:lvlJc w:val="left"/>
      <w:pPr>
        <w:tabs>
          <w:tab w:val="num" w:pos="2880"/>
        </w:tabs>
        <w:ind w:left="2880" w:hanging="360"/>
      </w:pPr>
      <w:rPr>
        <w:rFonts w:ascii="Times New Roman" w:hAnsi="Times New Roman" w:hint="default"/>
      </w:rPr>
    </w:lvl>
    <w:lvl w:ilvl="4" w:tplc="3976CAF4" w:tentative="1">
      <w:start w:val="1"/>
      <w:numFmt w:val="bullet"/>
      <w:lvlText w:val="•"/>
      <w:lvlJc w:val="left"/>
      <w:pPr>
        <w:tabs>
          <w:tab w:val="num" w:pos="3600"/>
        </w:tabs>
        <w:ind w:left="3600" w:hanging="360"/>
      </w:pPr>
      <w:rPr>
        <w:rFonts w:ascii="Times New Roman" w:hAnsi="Times New Roman" w:hint="default"/>
      </w:rPr>
    </w:lvl>
    <w:lvl w:ilvl="5" w:tplc="6778E3BA" w:tentative="1">
      <w:start w:val="1"/>
      <w:numFmt w:val="bullet"/>
      <w:lvlText w:val="•"/>
      <w:lvlJc w:val="left"/>
      <w:pPr>
        <w:tabs>
          <w:tab w:val="num" w:pos="4320"/>
        </w:tabs>
        <w:ind w:left="4320" w:hanging="360"/>
      </w:pPr>
      <w:rPr>
        <w:rFonts w:ascii="Times New Roman" w:hAnsi="Times New Roman" w:hint="default"/>
      </w:rPr>
    </w:lvl>
    <w:lvl w:ilvl="6" w:tplc="F60A5FEC" w:tentative="1">
      <w:start w:val="1"/>
      <w:numFmt w:val="bullet"/>
      <w:lvlText w:val="•"/>
      <w:lvlJc w:val="left"/>
      <w:pPr>
        <w:tabs>
          <w:tab w:val="num" w:pos="5040"/>
        </w:tabs>
        <w:ind w:left="5040" w:hanging="360"/>
      </w:pPr>
      <w:rPr>
        <w:rFonts w:ascii="Times New Roman" w:hAnsi="Times New Roman" w:hint="default"/>
      </w:rPr>
    </w:lvl>
    <w:lvl w:ilvl="7" w:tplc="3F2AA1B2" w:tentative="1">
      <w:start w:val="1"/>
      <w:numFmt w:val="bullet"/>
      <w:lvlText w:val="•"/>
      <w:lvlJc w:val="left"/>
      <w:pPr>
        <w:tabs>
          <w:tab w:val="num" w:pos="5760"/>
        </w:tabs>
        <w:ind w:left="5760" w:hanging="360"/>
      </w:pPr>
      <w:rPr>
        <w:rFonts w:ascii="Times New Roman" w:hAnsi="Times New Roman" w:hint="default"/>
      </w:rPr>
    </w:lvl>
    <w:lvl w:ilvl="8" w:tplc="B79EA91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22D7576"/>
    <w:multiLevelType w:val="hybridMultilevel"/>
    <w:tmpl w:val="F086C4F8"/>
    <w:lvl w:ilvl="0" w:tplc="D4AE8F5C">
      <w:start w:val="1"/>
      <w:numFmt w:val="bullet"/>
      <w:lvlText w:val="•"/>
      <w:lvlJc w:val="left"/>
      <w:pPr>
        <w:tabs>
          <w:tab w:val="num" w:pos="720"/>
        </w:tabs>
        <w:ind w:left="720" w:hanging="360"/>
      </w:pPr>
      <w:rPr>
        <w:rFonts w:ascii="Times New Roman" w:hAnsi="Times New Roman" w:hint="default"/>
      </w:rPr>
    </w:lvl>
    <w:lvl w:ilvl="1" w:tplc="4022E8C8" w:tentative="1">
      <w:start w:val="1"/>
      <w:numFmt w:val="bullet"/>
      <w:lvlText w:val="•"/>
      <w:lvlJc w:val="left"/>
      <w:pPr>
        <w:tabs>
          <w:tab w:val="num" w:pos="1440"/>
        </w:tabs>
        <w:ind w:left="1440" w:hanging="360"/>
      </w:pPr>
      <w:rPr>
        <w:rFonts w:ascii="Times New Roman" w:hAnsi="Times New Roman" w:hint="default"/>
      </w:rPr>
    </w:lvl>
    <w:lvl w:ilvl="2" w:tplc="ED267CEE" w:tentative="1">
      <w:start w:val="1"/>
      <w:numFmt w:val="bullet"/>
      <w:lvlText w:val="•"/>
      <w:lvlJc w:val="left"/>
      <w:pPr>
        <w:tabs>
          <w:tab w:val="num" w:pos="2160"/>
        </w:tabs>
        <w:ind w:left="2160" w:hanging="360"/>
      </w:pPr>
      <w:rPr>
        <w:rFonts w:ascii="Times New Roman" w:hAnsi="Times New Roman" w:hint="default"/>
      </w:rPr>
    </w:lvl>
    <w:lvl w:ilvl="3" w:tplc="2D043AC8" w:tentative="1">
      <w:start w:val="1"/>
      <w:numFmt w:val="bullet"/>
      <w:lvlText w:val="•"/>
      <w:lvlJc w:val="left"/>
      <w:pPr>
        <w:tabs>
          <w:tab w:val="num" w:pos="2880"/>
        </w:tabs>
        <w:ind w:left="2880" w:hanging="360"/>
      </w:pPr>
      <w:rPr>
        <w:rFonts w:ascii="Times New Roman" w:hAnsi="Times New Roman" w:hint="default"/>
      </w:rPr>
    </w:lvl>
    <w:lvl w:ilvl="4" w:tplc="66741116" w:tentative="1">
      <w:start w:val="1"/>
      <w:numFmt w:val="bullet"/>
      <w:lvlText w:val="•"/>
      <w:lvlJc w:val="left"/>
      <w:pPr>
        <w:tabs>
          <w:tab w:val="num" w:pos="3600"/>
        </w:tabs>
        <w:ind w:left="3600" w:hanging="360"/>
      </w:pPr>
      <w:rPr>
        <w:rFonts w:ascii="Times New Roman" w:hAnsi="Times New Roman" w:hint="default"/>
      </w:rPr>
    </w:lvl>
    <w:lvl w:ilvl="5" w:tplc="EB12C842" w:tentative="1">
      <w:start w:val="1"/>
      <w:numFmt w:val="bullet"/>
      <w:lvlText w:val="•"/>
      <w:lvlJc w:val="left"/>
      <w:pPr>
        <w:tabs>
          <w:tab w:val="num" w:pos="4320"/>
        </w:tabs>
        <w:ind w:left="4320" w:hanging="360"/>
      </w:pPr>
      <w:rPr>
        <w:rFonts w:ascii="Times New Roman" w:hAnsi="Times New Roman" w:hint="default"/>
      </w:rPr>
    </w:lvl>
    <w:lvl w:ilvl="6" w:tplc="356A9976" w:tentative="1">
      <w:start w:val="1"/>
      <w:numFmt w:val="bullet"/>
      <w:lvlText w:val="•"/>
      <w:lvlJc w:val="left"/>
      <w:pPr>
        <w:tabs>
          <w:tab w:val="num" w:pos="5040"/>
        </w:tabs>
        <w:ind w:left="5040" w:hanging="360"/>
      </w:pPr>
      <w:rPr>
        <w:rFonts w:ascii="Times New Roman" w:hAnsi="Times New Roman" w:hint="default"/>
      </w:rPr>
    </w:lvl>
    <w:lvl w:ilvl="7" w:tplc="DE46C698" w:tentative="1">
      <w:start w:val="1"/>
      <w:numFmt w:val="bullet"/>
      <w:lvlText w:val="•"/>
      <w:lvlJc w:val="left"/>
      <w:pPr>
        <w:tabs>
          <w:tab w:val="num" w:pos="5760"/>
        </w:tabs>
        <w:ind w:left="5760" w:hanging="360"/>
      </w:pPr>
      <w:rPr>
        <w:rFonts w:ascii="Times New Roman" w:hAnsi="Times New Roman" w:hint="default"/>
      </w:rPr>
    </w:lvl>
    <w:lvl w:ilvl="8" w:tplc="2CF4F20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4BF14A7"/>
    <w:multiLevelType w:val="hybridMultilevel"/>
    <w:tmpl w:val="BF72F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39703A"/>
    <w:multiLevelType w:val="hybridMultilevel"/>
    <w:tmpl w:val="823CCFAE"/>
    <w:lvl w:ilvl="0" w:tplc="FB8488A4">
      <w:start w:val="1"/>
      <w:numFmt w:val="bullet"/>
      <w:lvlText w:val="•"/>
      <w:lvlJc w:val="left"/>
      <w:pPr>
        <w:tabs>
          <w:tab w:val="num" w:pos="720"/>
        </w:tabs>
        <w:ind w:left="720" w:hanging="360"/>
      </w:pPr>
      <w:rPr>
        <w:rFonts w:ascii="Times New Roman" w:hAnsi="Times New Roman" w:hint="default"/>
      </w:rPr>
    </w:lvl>
    <w:lvl w:ilvl="1" w:tplc="A66CF7E6" w:tentative="1">
      <w:start w:val="1"/>
      <w:numFmt w:val="bullet"/>
      <w:lvlText w:val="•"/>
      <w:lvlJc w:val="left"/>
      <w:pPr>
        <w:tabs>
          <w:tab w:val="num" w:pos="1440"/>
        </w:tabs>
        <w:ind w:left="1440" w:hanging="360"/>
      </w:pPr>
      <w:rPr>
        <w:rFonts w:ascii="Times New Roman" w:hAnsi="Times New Roman" w:hint="default"/>
      </w:rPr>
    </w:lvl>
    <w:lvl w:ilvl="2" w:tplc="F0A0B42A" w:tentative="1">
      <w:start w:val="1"/>
      <w:numFmt w:val="bullet"/>
      <w:lvlText w:val="•"/>
      <w:lvlJc w:val="left"/>
      <w:pPr>
        <w:tabs>
          <w:tab w:val="num" w:pos="2160"/>
        </w:tabs>
        <w:ind w:left="2160" w:hanging="360"/>
      </w:pPr>
      <w:rPr>
        <w:rFonts w:ascii="Times New Roman" w:hAnsi="Times New Roman" w:hint="default"/>
      </w:rPr>
    </w:lvl>
    <w:lvl w:ilvl="3" w:tplc="589EFC3A" w:tentative="1">
      <w:start w:val="1"/>
      <w:numFmt w:val="bullet"/>
      <w:lvlText w:val="•"/>
      <w:lvlJc w:val="left"/>
      <w:pPr>
        <w:tabs>
          <w:tab w:val="num" w:pos="2880"/>
        </w:tabs>
        <w:ind w:left="2880" w:hanging="360"/>
      </w:pPr>
      <w:rPr>
        <w:rFonts w:ascii="Times New Roman" w:hAnsi="Times New Roman" w:hint="default"/>
      </w:rPr>
    </w:lvl>
    <w:lvl w:ilvl="4" w:tplc="D46CAAFC" w:tentative="1">
      <w:start w:val="1"/>
      <w:numFmt w:val="bullet"/>
      <w:lvlText w:val="•"/>
      <w:lvlJc w:val="left"/>
      <w:pPr>
        <w:tabs>
          <w:tab w:val="num" w:pos="3600"/>
        </w:tabs>
        <w:ind w:left="3600" w:hanging="360"/>
      </w:pPr>
      <w:rPr>
        <w:rFonts w:ascii="Times New Roman" w:hAnsi="Times New Roman" w:hint="default"/>
      </w:rPr>
    </w:lvl>
    <w:lvl w:ilvl="5" w:tplc="F116652C" w:tentative="1">
      <w:start w:val="1"/>
      <w:numFmt w:val="bullet"/>
      <w:lvlText w:val="•"/>
      <w:lvlJc w:val="left"/>
      <w:pPr>
        <w:tabs>
          <w:tab w:val="num" w:pos="4320"/>
        </w:tabs>
        <w:ind w:left="4320" w:hanging="360"/>
      </w:pPr>
      <w:rPr>
        <w:rFonts w:ascii="Times New Roman" w:hAnsi="Times New Roman" w:hint="default"/>
      </w:rPr>
    </w:lvl>
    <w:lvl w:ilvl="6" w:tplc="B81EF1C8" w:tentative="1">
      <w:start w:val="1"/>
      <w:numFmt w:val="bullet"/>
      <w:lvlText w:val="•"/>
      <w:lvlJc w:val="left"/>
      <w:pPr>
        <w:tabs>
          <w:tab w:val="num" w:pos="5040"/>
        </w:tabs>
        <w:ind w:left="5040" w:hanging="360"/>
      </w:pPr>
      <w:rPr>
        <w:rFonts w:ascii="Times New Roman" w:hAnsi="Times New Roman" w:hint="default"/>
      </w:rPr>
    </w:lvl>
    <w:lvl w:ilvl="7" w:tplc="0E9A890E" w:tentative="1">
      <w:start w:val="1"/>
      <w:numFmt w:val="bullet"/>
      <w:lvlText w:val="•"/>
      <w:lvlJc w:val="left"/>
      <w:pPr>
        <w:tabs>
          <w:tab w:val="num" w:pos="5760"/>
        </w:tabs>
        <w:ind w:left="5760" w:hanging="360"/>
      </w:pPr>
      <w:rPr>
        <w:rFonts w:ascii="Times New Roman" w:hAnsi="Times New Roman" w:hint="default"/>
      </w:rPr>
    </w:lvl>
    <w:lvl w:ilvl="8" w:tplc="8634FF6E" w:tentative="1">
      <w:start w:val="1"/>
      <w:numFmt w:val="bullet"/>
      <w:lvlText w:val="•"/>
      <w:lvlJc w:val="left"/>
      <w:pPr>
        <w:tabs>
          <w:tab w:val="num" w:pos="6480"/>
        </w:tabs>
        <w:ind w:left="6480" w:hanging="360"/>
      </w:pPr>
      <w:rPr>
        <w:rFonts w:ascii="Times New Roman" w:hAnsi="Times New Roman" w:hint="default"/>
      </w:rPr>
    </w:lvl>
  </w:abstractNum>
  <w:num w:numId="1" w16cid:durableId="437877055">
    <w:abstractNumId w:val="5"/>
  </w:num>
  <w:num w:numId="2" w16cid:durableId="1849175780">
    <w:abstractNumId w:val="17"/>
  </w:num>
  <w:num w:numId="3" w16cid:durableId="1532839863">
    <w:abstractNumId w:val="12"/>
  </w:num>
  <w:num w:numId="4" w16cid:durableId="1335451947">
    <w:abstractNumId w:val="13"/>
  </w:num>
  <w:num w:numId="5" w16cid:durableId="78527871">
    <w:abstractNumId w:val="25"/>
  </w:num>
  <w:num w:numId="6" w16cid:durableId="1847283846">
    <w:abstractNumId w:val="28"/>
  </w:num>
  <w:num w:numId="7" w16cid:durableId="1214076332">
    <w:abstractNumId w:val="16"/>
  </w:num>
  <w:num w:numId="8" w16cid:durableId="665598622">
    <w:abstractNumId w:val="9"/>
  </w:num>
  <w:num w:numId="9" w16cid:durableId="1210923414">
    <w:abstractNumId w:val="11"/>
  </w:num>
  <w:num w:numId="10" w16cid:durableId="1670864692">
    <w:abstractNumId w:val="31"/>
  </w:num>
  <w:num w:numId="11" w16cid:durableId="1528132534">
    <w:abstractNumId w:val="10"/>
  </w:num>
  <w:num w:numId="12" w16cid:durableId="1625191825">
    <w:abstractNumId w:val="2"/>
  </w:num>
  <w:num w:numId="13" w16cid:durableId="1387602704">
    <w:abstractNumId w:val="21"/>
  </w:num>
  <w:num w:numId="14" w16cid:durableId="461269572">
    <w:abstractNumId w:val="8"/>
  </w:num>
  <w:num w:numId="15" w16cid:durableId="112553560">
    <w:abstractNumId w:val="6"/>
  </w:num>
  <w:num w:numId="16" w16cid:durableId="983311007">
    <w:abstractNumId w:val="15"/>
  </w:num>
  <w:num w:numId="17" w16cid:durableId="2057122462">
    <w:abstractNumId w:val="23"/>
  </w:num>
  <w:num w:numId="18" w16cid:durableId="1697849194">
    <w:abstractNumId w:val="29"/>
  </w:num>
  <w:num w:numId="19" w16cid:durableId="1608271223">
    <w:abstractNumId w:val="24"/>
  </w:num>
  <w:num w:numId="20" w16cid:durableId="1841114842">
    <w:abstractNumId w:val="19"/>
  </w:num>
  <w:num w:numId="21" w16cid:durableId="855190059">
    <w:abstractNumId w:val="1"/>
  </w:num>
  <w:num w:numId="22" w16cid:durableId="172377677">
    <w:abstractNumId w:val="18"/>
  </w:num>
  <w:num w:numId="23" w16cid:durableId="1317996415">
    <w:abstractNumId w:val="26"/>
  </w:num>
  <w:num w:numId="24" w16cid:durableId="746223449">
    <w:abstractNumId w:val="30"/>
  </w:num>
  <w:num w:numId="25" w16cid:durableId="447159915">
    <w:abstractNumId w:val="22"/>
  </w:num>
  <w:num w:numId="26" w16cid:durableId="1518156728">
    <w:abstractNumId w:val="32"/>
  </w:num>
  <w:num w:numId="27" w16cid:durableId="1777942385">
    <w:abstractNumId w:val="27"/>
  </w:num>
  <w:num w:numId="28" w16cid:durableId="700013817">
    <w:abstractNumId w:val="4"/>
  </w:num>
  <w:num w:numId="29" w16cid:durableId="1506551681">
    <w:abstractNumId w:val="20"/>
  </w:num>
  <w:num w:numId="30" w16cid:durableId="1113784386">
    <w:abstractNumId w:val="7"/>
  </w:num>
  <w:num w:numId="31" w16cid:durableId="1637494123">
    <w:abstractNumId w:val="3"/>
  </w:num>
  <w:num w:numId="32" w16cid:durableId="1438527820">
    <w:abstractNumId w:val="0"/>
  </w:num>
  <w:num w:numId="33" w16cid:durableId="10718043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1AE"/>
    <w:rsid w:val="00000058"/>
    <w:rsid w:val="00002461"/>
    <w:rsid w:val="00004DED"/>
    <w:rsid w:val="00005704"/>
    <w:rsid w:val="0000619E"/>
    <w:rsid w:val="00011656"/>
    <w:rsid w:val="00012B91"/>
    <w:rsid w:val="00012D02"/>
    <w:rsid w:val="00016BCD"/>
    <w:rsid w:val="000177DA"/>
    <w:rsid w:val="00020472"/>
    <w:rsid w:val="00020A01"/>
    <w:rsid w:val="00022054"/>
    <w:rsid w:val="000239E9"/>
    <w:rsid w:val="00023D30"/>
    <w:rsid w:val="00026870"/>
    <w:rsid w:val="000302F2"/>
    <w:rsid w:val="00031B72"/>
    <w:rsid w:val="0003592C"/>
    <w:rsid w:val="000409CA"/>
    <w:rsid w:val="00041CBF"/>
    <w:rsid w:val="00044876"/>
    <w:rsid w:val="0005128A"/>
    <w:rsid w:val="00055F54"/>
    <w:rsid w:val="000578E9"/>
    <w:rsid w:val="00057F60"/>
    <w:rsid w:val="00062A09"/>
    <w:rsid w:val="0007049C"/>
    <w:rsid w:val="00071FC8"/>
    <w:rsid w:val="00072339"/>
    <w:rsid w:val="00072626"/>
    <w:rsid w:val="000730B4"/>
    <w:rsid w:val="00074F01"/>
    <w:rsid w:val="000816FE"/>
    <w:rsid w:val="000827F5"/>
    <w:rsid w:val="00092B19"/>
    <w:rsid w:val="00094174"/>
    <w:rsid w:val="00094E34"/>
    <w:rsid w:val="00095BFE"/>
    <w:rsid w:val="00096920"/>
    <w:rsid w:val="00096E56"/>
    <w:rsid w:val="000A048D"/>
    <w:rsid w:val="000A0D41"/>
    <w:rsid w:val="000A1622"/>
    <w:rsid w:val="000A445E"/>
    <w:rsid w:val="000A50E8"/>
    <w:rsid w:val="000A67FE"/>
    <w:rsid w:val="000B7041"/>
    <w:rsid w:val="000C03C1"/>
    <w:rsid w:val="000C3194"/>
    <w:rsid w:val="000C5304"/>
    <w:rsid w:val="000D0EEA"/>
    <w:rsid w:val="000D59B3"/>
    <w:rsid w:val="000D6AA0"/>
    <w:rsid w:val="000E2A34"/>
    <w:rsid w:val="000E3E31"/>
    <w:rsid w:val="000E3ED8"/>
    <w:rsid w:val="000E4352"/>
    <w:rsid w:val="000E500C"/>
    <w:rsid w:val="000F1A26"/>
    <w:rsid w:val="000F2175"/>
    <w:rsid w:val="000F584C"/>
    <w:rsid w:val="000F6A69"/>
    <w:rsid w:val="00101E1B"/>
    <w:rsid w:val="00102F84"/>
    <w:rsid w:val="001030F6"/>
    <w:rsid w:val="0011040F"/>
    <w:rsid w:val="00110E17"/>
    <w:rsid w:val="001142CF"/>
    <w:rsid w:val="00114DEE"/>
    <w:rsid w:val="001153DC"/>
    <w:rsid w:val="00117E5D"/>
    <w:rsid w:val="001215C9"/>
    <w:rsid w:val="0012727E"/>
    <w:rsid w:val="0013209C"/>
    <w:rsid w:val="00132259"/>
    <w:rsid w:val="00133DBE"/>
    <w:rsid w:val="00134907"/>
    <w:rsid w:val="001351FE"/>
    <w:rsid w:val="001363E4"/>
    <w:rsid w:val="001367D8"/>
    <w:rsid w:val="00136950"/>
    <w:rsid w:val="0014014A"/>
    <w:rsid w:val="0014444E"/>
    <w:rsid w:val="00145113"/>
    <w:rsid w:val="0015174D"/>
    <w:rsid w:val="001526DC"/>
    <w:rsid w:val="001541FF"/>
    <w:rsid w:val="001600E4"/>
    <w:rsid w:val="00160B45"/>
    <w:rsid w:val="00163121"/>
    <w:rsid w:val="00164028"/>
    <w:rsid w:val="00164B36"/>
    <w:rsid w:val="00165478"/>
    <w:rsid w:val="00171D74"/>
    <w:rsid w:val="0017263C"/>
    <w:rsid w:val="00173FC4"/>
    <w:rsid w:val="001752F2"/>
    <w:rsid w:val="00181F7A"/>
    <w:rsid w:val="0018236F"/>
    <w:rsid w:val="00185C8A"/>
    <w:rsid w:val="001930DD"/>
    <w:rsid w:val="001939B7"/>
    <w:rsid w:val="001A0EBE"/>
    <w:rsid w:val="001A26E4"/>
    <w:rsid w:val="001B0443"/>
    <w:rsid w:val="001B4F7E"/>
    <w:rsid w:val="001C2D34"/>
    <w:rsid w:val="001C3749"/>
    <w:rsid w:val="001C610B"/>
    <w:rsid w:val="001C6B1F"/>
    <w:rsid w:val="001D0E7E"/>
    <w:rsid w:val="001D1518"/>
    <w:rsid w:val="001D2F94"/>
    <w:rsid w:val="001D3D87"/>
    <w:rsid w:val="001D546D"/>
    <w:rsid w:val="001D5D09"/>
    <w:rsid w:val="001E082C"/>
    <w:rsid w:val="001E0AAE"/>
    <w:rsid w:val="001E0F48"/>
    <w:rsid w:val="001E4426"/>
    <w:rsid w:val="001E57F5"/>
    <w:rsid w:val="001E67A0"/>
    <w:rsid w:val="001F4573"/>
    <w:rsid w:val="001F47DE"/>
    <w:rsid w:val="002022D4"/>
    <w:rsid w:val="0021082F"/>
    <w:rsid w:val="00215F77"/>
    <w:rsid w:val="002162B8"/>
    <w:rsid w:val="002162F0"/>
    <w:rsid w:val="00216980"/>
    <w:rsid w:val="00217AE8"/>
    <w:rsid w:val="00220858"/>
    <w:rsid w:val="002273EF"/>
    <w:rsid w:val="00227D0B"/>
    <w:rsid w:val="00234D53"/>
    <w:rsid w:val="0023519A"/>
    <w:rsid w:val="00237257"/>
    <w:rsid w:val="00243016"/>
    <w:rsid w:val="00244552"/>
    <w:rsid w:val="00244F79"/>
    <w:rsid w:val="00245F0D"/>
    <w:rsid w:val="00246022"/>
    <w:rsid w:val="00250D53"/>
    <w:rsid w:val="00253DD5"/>
    <w:rsid w:val="00255D4D"/>
    <w:rsid w:val="00260D43"/>
    <w:rsid w:val="002632DD"/>
    <w:rsid w:val="00263DAA"/>
    <w:rsid w:val="00265FC9"/>
    <w:rsid w:val="00266729"/>
    <w:rsid w:val="002700CA"/>
    <w:rsid w:val="00270B7D"/>
    <w:rsid w:val="00270CDB"/>
    <w:rsid w:val="002710C2"/>
    <w:rsid w:val="002721CA"/>
    <w:rsid w:val="002721E4"/>
    <w:rsid w:val="00274C65"/>
    <w:rsid w:val="002750C8"/>
    <w:rsid w:val="00276C7E"/>
    <w:rsid w:val="00287250"/>
    <w:rsid w:val="00290F45"/>
    <w:rsid w:val="00292922"/>
    <w:rsid w:val="0029356B"/>
    <w:rsid w:val="0029569A"/>
    <w:rsid w:val="002969DD"/>
    <w:rsid w:val="00297B9D"/>
    <w:rsid w:val="002A562B"/>
    <w:rsid w:val="002A73FD"/>
    <w:rsid w:val="002A7717"/>
    <w:rsid w:val="002B0B0F"/>
    <w:rsid w:val="002B60D5"/>
    <w:rsid w:val="002B63BF"/>
    <w:rsid w:val="002B660A"/>
    <w:rsid w:val="002C5E96"/>
    <w:rsid w:val="002C6943"/>
    <w:rsid w:val="002E0C23"/>
    <w:rsid w:val="002E2719"/>
    <w:rsid w:val="002E2757"/>
    <w:rsid w:val="002E60DB"/>
    <w:rsid w:val="002F0ACB"/>
    <w:rsid w:val="002F1762"/>
    <w:rsid w:val="002F272C"/>
    <w:rsid w:val="002F5119"/>
    <w:rsid w:val="002F5600"/>
    <w:rsid w:val="002F5C13"/>
    <w:rsid w:val="002F6310"/>
    <w:rsid w:val="00302870"/>
    <w:rsid w:val="00303F53"/>
    <w:rsid w:val="003054F4"/>
    <w:rsid w:val="00306724"/>
    <w:rsid w:val="003069CC"/>
    <w:rsid w:val="00307FAD"/>
    <w:rsid w:val="00311425"/>
    <w:rsid w:val="00313B4B"/>
    <w:rsid w:val="0031713C"/>
    <w:rsid w:val="003225B1"/>
    <w:rsid w:val="0032275E"/>
    <w:rsid w:val="00325255"/>
    <w:rsid w:val="0032581F"/>
    <w:rsid w:val="00326E0E"/>
    <w:rsid w:val="0032732B"/>
    <w:rsid w:val="00331234"/>
    <w:rsid w:val="0033224F"/>
    <w:rsid w:val="00335BDC"/>
    <w:rsid w:val="0033684E"/>
    <w:rsid w:val="00337C28"/>
    <w:rsid w:val="003401B1"/>
    <w:rsid w:val="00345EAD"/>
    <w:rsid w:val="00347E68"/>
    <w:rsid w:val="00350EAD"/>
    <w:rsid w:val="00352747"/>
    <w:rsid w:val="00355E12"/>
    <w:rsid w:val="00357975"/>
    <w:rsid w:val="00360DFF"/>
    <w:rsid w:val="00360ED7"/>
    <w:rsid w:val="003625CB"/>
    <w:rsid w:val="0038481C"/>
    <w:rsid w:val="003853B3"/>
    <w:rsid w:val="0038658B"/>
    <w:rsid w:val="003922D4"/>
    <w:rsid w:val="00396A85"/>
    <w:rsid w:val="003A0AA0"/>
    <w:rsid w:val="003A12BE"/>
    <w:rsid w:val="003A7503"/>
    <w:rsid w:val="003B5717"/>
    <w:rsid w:val="003C3508"/>
    <w:rsid w:val="003C3A03"/>
    <w:rsid w:val="003C3C05"/>
    <w:rsid w:val="003D1502"/>
    <w:rsid w:val="003D62CE"/>
    <w:rsid w:val="003E6272"/>
    <w:rsid w:val="003E7EB4"/>
    <w:rsid w:val="003F04D6"/>
    <w:rsid w:val="003F56D8"/>
    <w:rsid w:val="003F6A8F"/>
    <w:rsid w:val="003F7593"/>
    <w:rsid w:val="00400DF6"/>
    <w:rsid w:val="00400E0F"/>
    <w:rsid w:val="00402480"/>
    <w:rsid w:val="004036B4"/>
    <w:rsid w:val="00403A00"/>
    <w:rsid w:val="004079CD"/>
    <w:rsid w:val="004132BA"/>
    <w:rsid w:val="00415888"/>
    <w:rsid w:val="00416F67"/>
    <w:rsid w:val="00420335"/>
    <w:rsid w:val="00422F80"/>
    <w:rsid w:val="004231A8"/>
    <w:rsid w:val="00426098"/>
    <w:rsid w:val="004264EA"/>
    <w:rsid w:val="00426FC0"/>
    <w:rsid w:val="004319A5"/>
    <w:rsid w:val="004347F7"/>
    <w:rsid w:val="00436A47"/>
    <w:rsid w:val="004404A7"/>
    <w:rsid w:val="00441BDB"/>
    <w:rsid w:val="00442034"/>
    <w:rsid w:val="004437C7"/>
    <w:rsid w:val="0044489E"/>
    <w:rsid w:val="00444FEA"/>
    <w:rsid w:val="004463EC"/>
    <w:rsid w:val="00447BE9"/>
    <w:rsid w:val="00450286"/>
    <w:rsid w:val="0045037B"/>
    <w:rsid w:val="0045320B"/>
    <w:rsid w:val="00455A59"/>
    <w:rsid w:val="0045625A"/>
    <w:rsid w:val="00461507"/>
    <w:rsid w:val="0046175A"/>
    <w:rsid w:val="00462B26"/>
    <w:rsid w:val="00466282"/>
    <w:rsid w:val="004704A1"/>
    <w:rsid w:val="00482093"/>
    <w:rsid w:val="0048282A"/>
    <w:rsid w:val="00482E83"/>
    <w:rsid w:val="00486CA5"/>
    <w:rsid w:val="004900A1"/>
    <w:rsid w:val="0049419D"/>
    <w:rsid w:val="00495783"/>
    <w:rsid w:val="0049695F"/>
    <w:rsid w:val="004A00E0"/>
    <w:rsid w:val="004A0F7E"/>
    <w:rsid w:val="004A105F"/>
    <w:rsid w:val="004A2D60"/>
    <w:rsid w:val="004A31B0"/>
    <w:rsid w:val="004A5E86"/>
    <w:rsid w:val="004B4C80"/>
    <w:rsid w:val="004B6C60"/>
    <w:rsid w:val="004C0FE9"/>
    <w:rsid w:val="004C40E4"/>
    <w:rsid w:val="004D4551"/>
    <w:rsid w:val="004D5E07"/>
    <w:rsid w:val="004E0273"/>
    <w:rsid w:val="004E08E4"/>
    <w:rsid w:val="004E0B1D"/>
    <w:rsid w:val="004E0BFC"/>
    <w:rsid w:val="004E2E3B"/>
    <w:rsid w:val="004E426F"/>
    <w:rsid w:val="004E4A8F"/>
    <w:rsid w:val="004E4B71"/>
    <w:rsid w:val="004F11AE"/>
    <w:rsid w:val="004F22A2"/>
    <w:rsid w:val="004F3B03"/>
    <w:rsid w:val="004F5B55"/>
    <w:rsid w:val="004F6E5E"/>
    <w:rsid w:val="0050071A"/>
    <w:rsid w:val="0050081D"/>
    <w:rsid w:val="00502A09"/>
    <w:rsid w:val="005116C2"/>
    <w:rsid w:val="00522E54"/>
    <w:rsid w:val="00533663"/>
    <w:rsid w:val="00534357"/>
    <w:rsid w:val="005343E1"/>
    <w:rsid w:val="00537E26"/>
    <w:rsid w:val="005426F0"/>
    <w:rsid w:val="0054459A"/>
    <w:rsid w:val="00546723"/>
    <w:rsid w:val="00546E1F"/>
    <w:rsid w:val="00553FC4"/>
    <w:rsid w:val="005576A2"/>
    <w:rsid w:val="00562510"/>
    <w:rsid w:val="0056286F"/>
    <w:rsid w:val="00562AE6"/>
    <w:rsid w:val="0056444D"/>
    <w:rsid w:val="00564669"/>
    <w:rsid w:val="005648B5"/>
    <w:rsid w:val="00565A40"/>
    <w:rsid w:val="00565C0A"/>
    <w:rsid w:val="00565FF0"/>
    <w:rsid w:val="00570102"/>
    <w:rsid w:val="00571F2B"/>
    <w:rsid w:val="00575B97"/>
    <w:rsid w:val="00576CDE"/>
    <w:rsid w:val="00576D0D"/>
    <w:rsid w:val="005815B8"/>
    <w:rsid w:val="005840F1"/>
    <w:rsid w:val="00590AA4"/>
    <w:rsid w:val="0059147F"/>
    <w:rsid w:val="00591DF0"/>
    <w:rsid w:val="0059474F"/>
    <w:rsid w:val="00594FFE"/>
    <w:rsid w:val="00595B8C"/>
    <w:rsid w:val="00595E6C"/>
    <w:rsid w:val="005A251F"/>
    <w:rsid w:val="005A333C"/>
    <w:rsid w:val="005A70F9"/>
    <w:rsid w:val="005B0D32"/>
    <w:rsid w:val="005B2033"/>
    <w:rsid w:val="005C23EC"/>
    <w:rsid w:val="005C248C"/>
    <w:rsid w:val="005C72A4"/>
    <w:rsid w:val="005D5BFD"/>
    <w:rsid w:val="005D7AF2"/>
    <w:rsid w:val="005E42A6"/>
    <w:rsid w:val="005E73E4"/>
    <w:rsid w:val="005E787B"/>
    <w:rsid w:val="005E7B7B"/>
    <w:rsid w:val="005E7BDA"/>
    <w:rsid w:val="005F01B9"/>
    <w:rsid w:val="005F5410"/>
    <w:rsid w:val="00600921"/>
    <w:rsid w:val="00600BFD"/>
    <w:rsid w:val="00603997"/>
    <w:rsid w:val="00603CED"/>
    <w:rsid w:val="006101F6"/>
    <w:rsid w:val="00613002"/>
    <w:rsid w:val="00617A1D"/>
    <w:rsid w:val="006231A2"/>
    <w:rsid w:val="006342C7"/>
    <w:rsid w:val="00634D03"/>
    <w:rsid w:val="00640443"/>
    <w:rsid w:val="006404DA"/>
    <w:rsid w:val="00640CB6"/>
    <w:rsid w:val="006440FA"/>
    <w:rsid w:val="00654324"/>
    <w:rsid w:val="006558CE"/>
    <w:rsid w:val="006644AB"/>
    <w:rsid w:val="00664EC7"/>
    <w:rsid w:val="00666AE6"/>
    <w:rsid w:val="00673F00"/>
    <w:rsid w:val="00673F4F"/>
    <w:rsid w:val="00674C25"/>
    <w:rsid w:val="00675CF9"/>
    <w:rsid w:val="00687312"/>
    <w:rsid w:val="006874D0"/>
    <w:rsid w:val="00694508"/>
    <w:rsid w:val="00695A04"/>
    <w:rsid w:val="006978C5"/>
    <w:rsid w:val="006A336C"/>
    <w:rsid w:val="006A49CD"/>
    <w:rsid w:val="006A52FA"/>
    <w:rsid w:val="006A69C3"/>
    <w:rsid w:val="006A7C57"/>
    <w:rsid w:val="006B133D"/>
    <w:rsid w:val="006B1B57"/>
    <w:rsid w:val="006B3623"/>
    <w:rsid w:val="006B4D54"/>
    <w:rsid w:val="006C4E99"/>
    <w:rsid w:val="006C7E3C"/>
    <w:rsid w:val="006D08D7"/>
    <w:rsid w:val="006D7AB6"/>
    <w:rsid w:val="006F0D53"/>
    <w:rsid w:val="006F0E9B"/>
    <w:rsid w:val="006F2D71"/>
    <w:rsid w:val="006F37FC"/>
    <w:rsid w:val="006F456E"/>
    <w:rsid w:val="006F5A7F"/>
    <w:rsid w:val="007026A6"/>
    <w:rsid w:val="00702A4D"/>
    <w:rsid w:val="00702C94"/>
    <w:rsid w:val="00704560"/>
    <w:rsid w:val="007052E2"/>
    <w:rsid w:val="00707A8C"/>
    <w:rsid w:val="007128D6"/>
    <w:rsid w:val="007201DF"/>
    <w:rsid w:val="00720712"/>
    <w:rsid w:val="00720D04"/>
    <w:rsid w:val="00723E6C"/>
    <w:rsid w:val="00724E1A"/>
    <w:rsid w:val="007254DF"/>
    <w:rsid w:val="007311A8"/>
    <w:rsid w:val="007348DD"/>
    <w:rsid w:val="00737AC0"/>
    <w:rsid w:val="00741EFF"/>
    <w:rsid w:val="007430BA"/>
    <w:rsid w:val="0074343A"/>
    <w:rsid w:val="007441F5"/>
    <w:rsid w:val="007446A0"/>
    <w:rsid w:val="007460C8"/>
    <w:rsid w:val="00747C2C"/>
    <w:rsid w:val="00752E2D"/>
    <w:rsid w:val="00756536"/>
    <w:rsid w:val="00757A06"/>
    <w:rsid w:val="00762761"/>
    <w:rsid w:val="007665FE"/>
    <w:rsid w:val="007705FA"/>
    <w:rsid w:val="0077133F"/>
    <w:rsid w:val="0077582B"/>
    <w:rsid w:val="00782AB1"/>
    <w:rsid w:val="0078424E"/>
    <w:rsid w:val="00785031"/>
    <w:rsid w:val="007A2724"/>
    <w:rsid w:val="007A6BDC"/>
    <w:rsid w:val="007B14C0"/>
    <w:rsid w:val="007B30AE"/>
    <w:rsid w:val="007B3B57"/>
    <w:rsid w:val="007B4F4F"/>
    <w:rsid w:val="007B693E"/>
    <w:rsid w:val="007C66A4"/>
    <w:rsid w:val="007D2303"/>
    <w:rsid w:val="007D4C6B"/>
    <w:rsid w:val="007D52E1"/>
    <w:rsid w:val="007D5AE6"/>
    <w:rsid w:val="007D7091"/>
    <w:rsid w:val="007E76BD"/>
    <w:rsid w:val="007F0D3D"/>
    <w:rsid w:val="007F0FBA"/>
    <w:rsid w:val="007F114E"/>
    <w:rsid w:val="007F1B7A"/>
    <w:rsid w:val="007F44C8"/>
    <w:rsid w:val="007F4CC0"/>
    <w:rsid w:val="007F7437"/>
    <w:rsid w:val="00802A79"/>
    <w:rsid w:val="008033E4"/>
    <w:rsid w:val="008037C6"/>
    <w:rsid w:val="008139DB"/>
    <w:rsid w:val="00822054"/>
    <w:rsid w:val="0082566E"/>
    <w:rsid w:val="008266CE"/>
    <w:rsid w:val="00826C50"/>
    <w:rsid w:val="00827974"/>
    <w:rsid w:val="008301AE"/>
    <w:rsid w:val="00831A0B"/>
    <w:rsid w:val="00831ED6"/>
    <w:rsid w:val="00835C04"/>
    <w:rsid w:val="008403F3"/>
    <w:rsid w:val="00844950"/>
    <w:rsid w:val="00844A2D"/>
    <w:rsid w:val="00845CD8"/>
    <w:rsid w:val="0085563A"/>
    <w:rsid w:val="00864738"/>
    <w:rsid w:val="00867F10"/>
    <w:rsid w:val="00871686"/>
    <w:rsid w:val="00873050"/>
    <w:rsid w:val="0087531C"/>
    <w:rsid w:val="00875380"/>
    <w:rsid w:val="00876DA7"/>
    <w:rsid w:val="00877D41"/>
    <w:rsid w:val="00880A6D"/>
    <w:rsid w:val="00882B08"/>
    <w:rsid w:val="00885526"/>
    <w:rsid w:val="00885900"/>
    <w:rsid w:val="00886159"/>
    <w:rsid w:val="0088689D"/>
    <w:rsid w:val="00895C86"/>
    <w:rsid w:val="008A10A3"/>
    <w:rsid w:val="008A1B83"/>
    <w:rsid w:val="008A54FA"/>
    <w:rsid w:val="008B1019"/>
    <w:rsid w:val="008B31FC"/>
    <w:rsid w:val="008B3FFA"/>
    <w:rsid w:val="008B4558"/>
    <w:rsid w:val="008B4886"/>
    <w:rsid w:val="008B7264"/>
    <w:rsid w:val="008C1136"/>
    <w:rsid w:val="008C44C3"/>
    <w:rsid w:val="008C526E"/>
    <w:rsid w:val="008D0245"/>
    <w:rsid w:val="008D0462"/>
    <w:rsid w:val="008D5F2A"/>
    <w:rsid w:val="008E4B0C"/>
    <w:rsid w:val="008F02A6"/>
    <w:rsid w:val="008F0B0E"/>
    <w:rsid w:val="008F380C"/>
    <w:rsid w:val="008F3D85"/>
    <w:rsid w:val="008F63FB"/>
    <w:rsid w:val="008F700A"/>
    <w:rsid w:val="009030B2"/>
    <w:rsid w:val="009035F8"/>
    <w:rsid w:val="0090434E"/>
    <w:rsid w:val="0090488E"/>
    <w:rsid w:val="00906FE9"/>
    <w:rsid w:val="00910E46"/>
    <w:rsid w:val="00912153"/>
    <w:rsid w:val="0091270A"/>
    <w:rsid w:val="009168BF"/>
    <w:rsid w:val="00916C53"/>
    <w:rsid w:val="00920A7B"/>
    <w:rsid w:val="00920C7D"/>
    <w:rsid w:val="009260C9"/>
    <w:rsid w:val="0092724E"/>
    <w:rsid w:val="009300E0"/>
    <w:rsid w:val="0093066D"/>
    <w:rsid w:val="00930F35"/>
    <w:rsid w:val="00931576"/>
    <w:rsid w:val="00932A49"/>
    <w:rsid w:val="00934B7D"/>
    <w:rsid w:val="00936109"/>
    <w:rsid w:val="009370EC"/>
    <w:rsid w:val="00937C67"/>
    <w:rsid w:val="00940497"/>
    <w:rsid w:val="009421F1"/>
    <w:rsid w:val="009524F5"/>
    <w:rsid w:val="00956104"/>
    <w:rsid w:val="00957A9E"/>
    <w:rsid w:val="00962281"/>
    <w:rsid w:val="00963CD6"/>
    <w:rsid w:val="00964341"/>
    <w:rsid w:val="0096498D"/>
    <w:rsid w:val="00964A47"/>
    <w:rsid w:val="00965DE0"/>
    <w:rsid w:val="009709EA"/>
    <w:rsid w:val="0097184D"/>
    <w:rsid w:val="00974E26"/>
    <w:rsid w:val="00976E4D"/>
    <w:rsid w:val="00980A2C"/>
    <w:rsid w:val="00986F85"/>
    <w:rsid w:val="00990914"/>
    <w:rsid w:val="00991045"/>
    <w:rsid w:val="00991E15"/>
    <w:rsid w:val="00992663"/>
    <w:rsid w:val="009944CB"/>
    <w:rsid w:val="009A03FA"/>
    <w:rsid w:val="009A31B2"/>
    <w:rsid w:val="009A6C97"/>
    <w:rsid w:val="009B4CAC"/>
    <w:rsid w:val="009B5EA6"/>
    <w:rsid w:val="009C0DF0"/>
    <w:rsid w:val="009C10AC"/>
    <w:rsid w:val="009C483D"/>
    <w:rsid w:val="009C67CC"/>
    <w:rsid w:val="009C79B4"/>
    <w:rsid w:val="009D1595"/>
    <w:rsid w:val="009D48CE"/>
    <w:rsid w:val="009D4F7C"/>
    <w:rsid w:val="009D7B4B"/>
    <w:rsid w:val="009E411A"/>
    <w:rsid w:val="009F04A6"/>
    <w:rsid w:val="009F0E7B"/>
    <w:rsid w:val="009F61A7"/>
    <w:rsid w:val="009F781B"/>
    <w:rsid w:val="009F7BA9"/>
    <w:rsid w:val="00A00641"/>
    <w:rsid w:val="00A01C4A"/>
    <w:rsid w:val="00A02F0C"/>
    <w:rsid w:val="00A036E2"/>
    <w:rsid w:val="00A03F8A"/>
    <w:rsid w:val="00A048C4"/>
    <w:rsid w:val="00A063CB"/>
    <w:rsid w:val="00A07D14"/>
    <w:rsid w:val="00A11082"/>
    <w:rsid w:val="00A13910"/>
    <w:rsid w:val="00A13AB0"/>
    <w:rsid w:val="00A13C9A"/>
    <w:rsid w:val="00A2214D"/>
    <w:rsid w:val="00A23E17"/>
    <w:rsid w:val="00A26051"/>
    <w:rsid w:val="00A33229"/>
    <w:rsid w:val="00A349F1"/>
    <w:rsid w:val="00A34C98"/>
    <w:rsid w:val="00A414FF"/>
    <w:rsid w:val="00A423C8"/>
    <w:rsid w:val="00A530D8"/>
    <w:rsid w:val="00A564CA"/>
    <w:rsid w:val="00A64A7E"/>
    <w:rsid w:val="00A65F57"/>
    <w:rsid w:val="00A66E65"/>
    <w:rsid w:val="00A708FB"/>
    <w:rsid w:val="00A71A36"/>
    <w:rsid w:val="00A72968"/>
    <w:rsid w:val="00A73141"/>
    <w:rsid w:val="00A77B03"/>
    <w:rsid w:val="00A81739"/>
    <w:rsid w:val="00A8638A"/>
    <w:rsid w:val="00A87CDC"/>
    <w:rsid w:val="00A912D5"/>
    <w:rsid w:val="00A92BBF"/>
    <w:rsid w:val="00AA0598"/>
    <w:rsid w:val="00AA0DE2"/>
    <w:rsid w:val="00AA17F6"/>
    <w:rsid w:val="00AA2E64"/>
    <w:rsid w:val="00AB4124"/>
    <w:rsid w:val="00AC0CB4"/>
    <w:rsid w:val="00AC168C"/>
    <w:rsid w:val="00AD2B2F"/>
    <w:rsid w:val="00AD7B8D"/>
    <w:rsid w:val="00AD7D5D"/>
    <w:rsid w:val="00AE009D"/>
    <w:rsid w:val="00AE124A"/>
    <w:rsid w:val="00AE1542"/>
    <w:rsid w:val="00AE2123"/>
    <w:rsid w:val="00AE4109"/>
    <w:rsid w:val="00AE5320"/>
    <w:rsid w:val="00AE64B3"/>
    <w:rsid w:val="00AF0E11"/>
    <w:rsid w:val="00AF11ED"/>
    <w:rsid w:val="00AF5C08"/>
    <w:rsid w:val="00B0256E"/>
    <w:rsid w:val="00B03029"/>
    <w:rsid w:val="00B03558"/>
    <w:rsid w:val="00B0442E"/>
    <w:rsid w:val="00B05364"/>
    <w:rsid w:val="00B07DA1"/>
    <w:rsid w:val="00B10C27"/>
    <w:rsid w:val="00B12F38"/>
    <w:rsid w:val="00B17A86"/>
    <w:rsid w:val="00B20A6B"/>
    <w:rsid w:val="00B219ED"/>
    <w:rsid w:val="00B248EF"/>
    <w:rsid w:val="00B26CB8"/>
    <w:rsid w:val="00B30654"/>
    <w:rsid w:val="00B3363E"/>
    <w:rsid w:val="00B34512"/>
    <w:rsid w:val="00B34615"/>
    <w:rsid w:val="00B35D81"/>
    <w:rsid w:val="00B36F35"/>
    <w:rsid w:val="00B54380"/>
    <w:rsid w:val="00B5512D"/>
    <w:rsid w:val="00B56C5F"/>
    <w:rsid w:val="00B57785"/>
    <w:rsid w:val="00B63745"/>
    <w:rsid w:val="00B64525"/>
    <w:rsid w:val="00B6609B"/>
    <w:rsid w:val="00B66842"/>
    <w:rsid w:val="00B66B01"/>
    <w:rsid w:val="00B707BC"/>
    <w:rsid w:val="00B71D39"/>
    <w:rsid w:val="00B77002"/>
    <w:rsid w:val="00B77A2A"/>
    <w:rsid w:val="00B81197"/>
    <w:rsid w:val="00B824D2"/>
    <w:rsid w:val="00B82C66"/>
    <w:rsid w:val="00B83509"/>
    <w:rsid w:val="00B84228"/>
    <w:rsid w:val="00B921A9"/>
    <w:rsid w:val="00B922A8"/>
    <w:rsid w:val="00B9238F"/>
    <w:rsid w:val="00B960DA"/>
    <w:rsid w:val="00B97CF5"/>
    <w:rsid w:val="00BA23D0"/>
    <w:rsid w:val="00BA54D3"/>
    <w:rsid w:val="00BA59AB"/>
    <w:rsid w:val="00BA737F"/>
    <w:rsid w:val="00BB0320"/>
    <w:rsid w:val="00BB10ED"/>
    <w:rsid w:val="00BB1411"/>
    <w:rsid w:val="00BB16CC"/>
    <w:rsid w:val="00BB2340"/>
    <w:rsid w:val="00BB3975"/>
    <w:rsid w:val="00BB782E"/>
    <w:rsid w:val="00BC0940"/>
    <w:rsid w:val="00BC47E5"/>
    <w:rsid w:val="00BC4F71"/>
    <w:rsid w:val="00BC64A6"/>
    <w:rsid w:val="00BD00EF"/>
    <w:rsid w:val="00BD02CE"/>
    <w:rsid w:val="00BD150E"/>
    <w:rsid w:val="00BD167B"/>
    <w:rsid w:val="00BD7E5F"/>
    <w:rsid w:val="00BE127C"/>
    <w:rsid w:val="00BE2FBB"/>
    <w:rsid w:val="00BE5BDA"/>
    <w:rsid w:val="00BF1883"/>
    <w:rsid w:val="00BF2E7D"/>
    <w:rsid w:val="00BF4ABC"/>
    <w:rsid w:val="00BF6B22"/>
    <w:rsid w:val="00C031AF"/>
    <w:rsid w:val="00C05448"/>
    <w:rsid w:val="00C11EF7"/>
    <w:rsid w:val="00C12E43"/>
    <w:rsid w:val="00C152B3"/>
    <w:rsid w:val="00C153F7"/>
    <w:rsid w:val="00C1751A"/>
    <w:rsid w:val="00C17CFA"/>
    <w:rsid w:val="00C21100"/>
    <w:rsid w:val="00C23616"/>
    <w:rsid w:val="00C27A6F"/>
    <w:rsid w:val="00C33429"/>
    <w:rsid w:val="00C34347"/>
    <w:rsid w:val="00C3720E"/>
    <w:rsid w:val="00C37F60"/>
    <w:rsid w:val="00C407E8"/>
    <w:rsid w:val="00C61323"/>
    <w:rsid w:val="00C613A2"/>
    <w:rsid w:val="00C65242"/>
    <w:rsid w:val="00C6553B"/>
    <w:rsid w:val="00C70BCE"/>
    <w:rsid w:val="00C71938"/>
    <w:rsid w:val="00C71E21"/>
    <w:rsid w:val="00C75827"/>
    <w:rsid w:val="00C80F02"/>
    <w:rsid w:val="00C8518F"/>
    <w:rsid w:val="00C9023E"/>
    <w:rsid w:val="00C90598"/>
    <w:rsid w:val="00C91BC9"/>
    <w:rsid w:val="00C95CB9"/>
    <w:rsid w:val="00C966E5"/>
    <w:rsid w:val="00C97CF8"/>
    <w:rsid w:val="00CA1F9C"/>
    <w:rsid w:val="00CA4CD8"/>
    <w:rsid w:val="00CA59E6"/>
    <w:rsid w:val="00CA5FA2"/>
    <w:rsid w:val="00CB2488"/>
    <w:rsid w:val="00CB5DD1"/>
    <w:rsid w:val="00CB5F79"/>
    <w:rsid w:val="00CB6E45"/>
    <w:rsid w:val="00CC06BE"/>
    <w:rsid w:val="00CC0A47"/>
    <w:rsid w:val="00CC0AA5"/>
    <w:rsid w:val="00CC0BB4"/>
    <w:rsid w:val="00CC2C1D"/>
    <w:rsid w:val="00CC5C70"/>
    <w:rsid w:val="00CC7DAD"/>
    <w:rsid w:val="00CD61F7"/>
    <w:rsid w:val="00CD7FFE"/>
    <w:rsid w:val="00CE6305"/>
    <w:rsid w:val="00CE70CF"/>
    <w:rsid w:val="00CF1700"/>
    <w:rsid w:val="00CF2204"/>
    <w:rsid w:val="00CF29E1"/>
    <w:rsid w:val="00CF2EF7"/>
    <w:rsid w:val="00CF3470"/>
    <w:rsid w:val="00CF6DF5"/>
    <w:rsid w:val="00CF7C0E"/>
    <w:rsid w:val="00CF7DB3"/>
    <w:rsid w:val="00D02B51"/>
    <w:rsid w:val="00D0519D"/>
    <w:rsid w:val="00D0549E"/>
    <w:rsid w:val="00D10FC1"/>
    <w:rsid w:val="00D115CD"/>
    <w:rsid w:val="00D11C97"/>
    <w:rsid w:val="00D15D0A"/>
    <w:rsid w:val="00D16862"/>
    <w:rsid w:val="00D16BF1"/>
    <w:rsid w:val="00D16C2E"/>
    <w:rsid w:val="00D16D11"/>
    <w:rsid w:val="00D21468"/>
    <w:rsid w:val="00D2172B"/>
    <w:rsid w:val="00D23573"/>
    <w:rsid w:val="00D25CD8"/>
    <w:rsid w:val="00D300AF"/>
    <w:rsid w:val="00D32DC9"/>
    <w:rsid w:val="00D37066"/>
    <w:rsid w:val="00D423BE"/>
    <w:rsid w:val="00D42CFC"/>
    <w:rsid w:val="00D45203"/>
    <w:rsid w:val="00D55076"/>
    <w:rsid w:val="00D63530"/>
    <w:rsid w:val="00D6580A"/>
    <w:rsid w:val="00D6761F"/>
    <w:rsid w:val="00D67760"/>
    <w:rsid w:val="00D72518"/>
    <w:rsid w:val="00D75EDC"/>
    <w:rsid w:val="00D7613A"/>
    <w:rsid w:val="00D76E64"/>
    <w:rsid w:val="00D814D5"/>
    <w:rsid w:val="00D81C84"/>
    <w:rsid w:val="00D84173"/>
    <w:rsid w:val="00D8596A"/>
    <w:rsid w:val="00D86847"/>
    <w:rsid w:val="00D87B88"/>
    <w:rsid w:val="00D92AF9"/>
    <w:rsid w:val="00D93FB2"/>
    <w:rsid w:val="00D9483C"/>
    <w:rsid w:val="00D958BF"/>
    <w:rsid w:val="00D964E7"/>
    <w:rsid w:val="00DA3171"/>
    <w:rsid w:val="00DA6368"/>
    <w:rsid w:val="00DA6965"/>
    <w:rsid w:val="00DA6B5F"/>
    <w:rsid w:val="00DB3CE0"/>
    <w:rsid w:val="00DB422F"/>
    <w:rsid w:val="00DB6099"/>
    <w:rsid w:val="00DB6A2A"/>
    <w:rsid w:val="00DC765B"/>
    <w:rsid w:val="00DC7E8C"/>
    <w:rsid w:val="00DE2412"/>
    <w:rsid w:val="00DE47CA"/>
    <w:rsid w:val="00DF4228"/>
    <w:rsid w:val="00E001EC"/>
    <w:rsid w:val="00E034E5"/>
    <w:rsid w:val="00E0545F"/>
    <w:rsid w:val="00E05E20"/>
    <w:rsid w:val="00E05FD4"/>
    <w:rsid w:val="00E102EF"/>
    <w:rsid w:val="00E11D82"/>
    <w:rsid w:val="00E13FCF"/>
    <w:rsid w:val="00E23C9E"/>
    <w:rsid w:val="00E25615"/>
    <w:rsid w:val="00E306B9"/>
    <w:rsid w:val="00E3694D"/>
    <w:rsid w:val="00E41827"/>
    <w:rsid w:val="00E44073"/>
    <w:rsid w:val="00E46514"/>
    <w:rsid w:val="00E4733D"/>
    <w:rsid w:val="00E507F7"/>
    <w:rsid w:val="00E5316D"/>
    <w:rsid w:val="00E557A1"/>
    <w:rsid w:val="00E56F9D"/>
    <w:rsid w:val="00E5723F"/>
    <w:rsid w:val="00E62320"/>
    <w:rsid w:val="00E65080"/>
    <w:rsid w:val="00E668B7"/>
    <w:rsid w:val="00E67867"/>
    <w:rsid w:val="00E678E7"/>
    <w:rsid w:val="00E70320"/>
    <w:rsid w:val="00E74F43"/>
    <w:rsid w:val="00E86F47"/>
    <w:rsid w:val="00E94C89"/>
    <w:rsid w:val="00E959E4"/>
    <w:rsid w:val="00E96AD0"/>
    <w:rsid w:val="00EA3B2F"/>
    <w:rsid w:val="00EA494D"/>
    <w:rsid w:val="00EB37C1"/>
    <w:rsid w:val="00EB487D"/>
    <w:rsid w:val="00EC33B4"/>
    <w:rsid w:val="00EC3BC4"/>
    <w:rsid w:val="00EC5CD3"/>
    <w:rsid w:val="00EC6874"/>
    <w:rsid w:val="00EC7C23"/>
    <w:rsid w:val="00ED1868"/>
    <w:rsid w:val="00ED5742"/>
    <w:rsid w:val="00ED5C81"/>
    <w:rsid w:val="00EE13E2"/>
    <w:rsid w:val="00EE143C"/>
    <w:rsid w:val="00EE21CA"/>
    <w:rsid w:val="00EE33C9"/>
    <w:rsid w:val="00EE6DFF"/>
    <w:rsid w:val="00EE78F2"/>
    <w:rsid w:val="00EF1458"/>
    <w:rsid w:val="00EF2B20"/>
    <w:rsid w:val="00EF5C48"/>
    <w:rsid w:val="00EF6437"/>
    <w:rsid w:val="00EF7BF6"/>
    <w:rsid w:val="00F0443C"/>
    <w:rsid w:val="00F055AC"/>
    <w:rsid w:val="00F14486"/>
    <w:rsid w:val="00F15DC6"/>
    <w:rsid w:val="00F15E73"/>
    <w:rsid w:val="00F162F8"/>
    <w:rsid w:val="00F2043E"/>
    <w:rsid w:val="00F20BF9"/>
    <w:rsid w:val="00F266B1"/>
    <w:rsid w:val="00F3009D"/>
    <w:rsid w:val="00F349C9"/>
    <w:rsid w:val="00F364D5"/>
    <w:rsid w:val="00F44A3F"/>
    <w:rsid w:val="00F44E32"/>
    <w:rsid w:val="00F47C3C"/>
    <w:rsid w:val="00F56DEB"/>
    <w:rsid w:val="00F57AD0"/>
    <w:rsid w:val="00F60AFC"/>
    <w:rsid w:val="00F6143C"/>
    <w:rsid w:val="00F63E46"/>
    <w:rsid w:val="00F7036A"/>
    <w:rsid w:val="00F80680"/>
    <w:rsid w:val="00F82037"/>
    <w:rsid w:val="00F853E6"/>
    <w:rsid w:val="00F87B9A"/>
    <w:rsid w:val="00F945AF"/>
    <w:rsid w:val="00F96084"/>
    <w:rsid w:val="00FA251F"/>
    <w:rsid w:val="00FA3597"/>
    <w:rsid w:val="00FB45AD"/>
    <w:rsid w:val="00FB5ADC"/>
    <w:rsid w:val="00FB626E"/>
    <w:rsid w:val="00FB6AC5"/>
    <w:rsid w:val="00FC3E56"/>
    <w:rsid w:val="00FC5D7B"/>
    <w:rsid w:val="00FD0691"/>
    <w:rsid w:val="00FD2636"/>
    <w:rsid w:val="00FD58AE"/>
    <w:rsid w:val="00FD5DDA"/>
    <w:rsid w:val="00FE0437"/>
    <w:rsid w:val="00FE0494"/>
    <w:rsid w:val="00FE0A3B"/>
    <w:rsid w:val="00FE41F4"/>
    <w:rsid w:val="00FE6327"/>
    <w:rsid w:val="00FE70BA"/>
    <w:rsid w:val="00FF0963"/>
    <w:rsid w:val="00FF18BA"/>
    <w:rsid w:val="00FF45E4"/>
    <w:rsid w:val="00FF4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EF8F3"/>
  <w15:chartTrackingRefBased/>
  <w15:docId w15:val="{F78F4136-848A-4A61-B081-B02186240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01AE"/>
    <w:rPr>
      <w:color w:val="0563C1" w:themeColor="hyperlink"/>
      <w:u w:val="single"/>
    </w:rPr>
  </w:style>
  <w:style w:type="character" w:styleId="UnresolvedMention">
    <w:name w:val="Unresolved Mention"/>
    <w:basedOn w:val="DefaultParagraphFont"/>
    <w:uiPriority w:val="99"/>
    <w:semiHidden/>
    <w:unhideWhenUsed/>
    <w:rsid w:val="008301AE"/>
    <w:rPr>
      <w:color w:val="605E5C"/>
      <w:shd w:val="clear" w:color="auto" w:fill="E1DFDD"/>
    </w:rPr>
  </w:style>
  <w:style w:type="paragraph" w:styleId="ListParagraph">
    <w:name w:val="List Paragraph"/>
    <w:basedOn w:val="Normal"/>
    <w:uiPriority w:val="34"/>
    <w:qFormat/>
    <w:rsid w:val="008301AE"/>
    <w:pPr>
      <w:ind w:left="720"/>
      <w:contextualSpacing/>
    </w:pPr>
  </w:style>
  <w:style w:type="paragraph" w:styleId="Header">
    <w:name w:val="header"/>
    <w:basedOn w:val="Normal"/>
    <w:link w:val="HeaderChar"/>
    <w:uiPriority w:val="99"/>
    <w:unhideWhenUsed/>
    <w:rsid w:val="00B36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F35"/>
  </w:style>
  <w:style w:type="paragraph" w:styleId="Footer">
    <w:name w:val="footer"/>
    <w:basedOn w:val="Normal"/>
    <w:link w:val="FooterChar"/>
    <w:uiPriority w:val="99"/>
    <w:unhideWhenUsed/>
    <w:rsid w:val="00B36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F35"/>
  </w:style>
  <w:style w:type="character" w:styleId="CommentReference">
    <w:name w:val="annotation reference"/>
    <w:basedOn w:val="DefaultParagraphFont"/>
    <w:uiPriority w:val="99"/>
    <w:semiHidden/>
    <w:unhideWhenUsed/>
    <w:rsid w:val="00D45203"/>
    <w:rPr>
      <w:sz w:val="16"/>
      <w:szCs w:val="16"/>
    </w:rPr>
  </w:style>
  <w:style w:type="paragraph" w:styleId="CommentText">
    <w:name w:val="annotation text"/>
    <w:basedOn w:val="Normal"/>
    <w:link w:val="CommentTextChar"/>
    <w:uiPriority w:val="99"/>
    <w:unhideWhenUsed/>
    <w:rsid w:val="00D45203"/>
    <w:pPr>
      <w:spacing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D45203"/>
    <w:rPr>
      <w:rFonts w:eastAsiaTheme="minorEastAsia"/>
      <w:kern w:val="0"/>
      <w:sz w:val="20"/>
      <w:szCs w:val="20"/>
      <w14:ligatures w14:val="none"/>
    </w:rPr>
  </w:style>
  <w:style w:type="paragraph" w:styleId="Bibliography">
    <w:name w:val="Bibliography"/>
    <w:basedOn w:val="Normal"/>
    <w:next w:val="Normal"/>
    <w:uiPriority w:val="37"/>
    <w:unhideWhenUsed/>
    <w:rsid w:val="004E0B1D"/>
    <w:pPr>
      <w:spacing w:after="240" w:line="240" w:lineRule="auto"/>
      <w:ind w:left="720" w:hanging="720"/>
    </w:pPr>
  </w:style>
  <w:style w:type="paragraph" w:styleId="NoSpacing">
    <w:name w:val="No Spacing"/>
    <w:link w:val="NoSpacingChar"/>
    <w:uiPriority w:val="1"/>
    <w:qFormat/>
    <w:rsid w:val="0048282A"/>
    <w:pPr>
      <w:spacing w:after="0" w:line="240" w:lineRule="auto"/>
    </w:pPr>
    <w:rPr>
      <w:rFonts w:ascii="Times New Roman" w:eastAsia="SimSun" w:hAnsi="Times New Roman" w:cs="Times New Roman"/>
      <w:kern w:val="0"/>
      <w:sz w:val="24"/>
      <w14:ligatures w14:val="none"/>
    </w:rPr>
  </w:style>
  <w:style w:type="character" w:customStyle="1" w:styleId="NoSpacingChar">
    <w:name w:val="No Spacing Char"/>
    <w:basedOn w:val="DefaultParagraphFont"/>
    <w:link w:val="NoSpacing"/>
    <w:uiPriority w:val="1"/>
    <w:locked/>
    <w:rsid w:val="0048282A"/>
    <w:rPr>
      <w:rFonts w:ascii="Times New Roman" w:eastAsia="SimSun" w:hAnsi="Times New Roman" w:cs="Times New Roman"/>
      <w:kern w:val="0"/>
      <w:sz w:val="24"/>
      <w14:ligatures w14:val="none"/>
    </w:rPr>
  </w:style>
  <w:style w:type="paragraph" w:styleId="FootnoteText">
    <w:name w:val="footnote text"/>
    <w:basedOn w:val="Normal"/>
    <w:link w:val="FootnoteTextChar"/>
    <w:uiPriority w:val="99"/>
    <w:semiHidden/>
    <w:unhideWhenUsed/>
    <w:rsid w:val="0048282A"/>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48282A"/>
    <w:rPr>
      <w:kern w:val="0"/>
      <w:sz w:val="20"/>
      <w:szCs w:val="20"/>
      <w14:ligatures w14:val="none"/>
    </w:rPr>
  </w:style>
  <w:style w:type="character" w:styleId="FootnoteReference">
    <w:name w:val="footnote reference"/>
    <w:basedOn w:val="DefaultParagraphFont"/>
    <w:uiPriority w:val="99"/>
    <w:semiHidden/>
    <w:unhideWhenUsed/>
    <w:rsid w:val="0048282A"/>
    <w:rPr>
      <w:vertAlign w:val="superscript"/>
    </w:rPr>
  </w:style>
  <w:style w:type="character" w:styleId="FollowedHyperlink">
    <w:name w:val="FollowedHyperlink"/>
    <w:basedOn w:val="DefaultParagraphFont"/>
    <w:uiPriority w:val="99"/>
    <w:semiHidden/>
    <w:unhideWhenUsed/>
    <w:rsid w:val="0048282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8282A"/>
    <w:rPr>
      <w:rFonts w:eastAsiaTheme="minorHAnsi"/>
      <w:b/>
      <w:bCs/>
    </w:rPr>
  </w:style>
  <w:style w:type="character" w:customStyle="1" w:styleId="CommentSubjectChar">
    <w:name w:val="Comment Subject Char"/>
    <w:basedOn w:val="CommentTextChar"/>
    <w:link w:val="CommentSubject"/>
    <w:uiPriority w:val="99"/>
    <w:semiHidden/>
    <w:rsid w:val="0048282A"/>
    <w:rPr>
      <w:rFonts w:eastAsiaTheme="minorEastAsia"/>
      <w:b/>
      <w:bCs/>
      <w:kern w:val="0"/>
      <w:sz w:val="20"/>
      <w:szCs w:val="20"/>
      <w14:ligatures w14:val="none"/>
    </w:rPr>
  </w:style>
  <w:style w:type="table" w:styleId="TableGrid">
    <w:name w:val="Table Grid"/>
    <w:basedOn w:val="TableNormal"/>
    <w:uiPriority w:val="39"/>
    <w:rsid w:val="0048282A"/>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48282A"/>
    <w:rPr>
      <w:vertAlign w:val="superscript"/>
    </w:rPr>
  </w:style>
  <w:style w:type="paragraph" w:styleId="Revision">
    <w:name w:val="Revision"/>
    <w:hidden/>
    <w:uiPriority w:val="99"/>
    <w:semiHidden/>
    <w:rsid w:val="0048282A"/>
    <w:pPr>
      <w:spacing w:after="0" w:line="240" w:lineRule="auto"/>
    </w:pPr>
    <w:rPr>
      <w:kern w:val="0"/>
      <w14:ligatures w14:val="none"/>
    </w:rPr>
  </w:style>
  <w:style w:type="paragraph" w:styleId="BalloonText">
    <w:name w:val="Balloon Text"/>
    <w:basedOn w:val="Normal"/>
    <w:link w:val="BalloonTextChar"/>
    <w:uiPriority w:val="99"/>
    <w:semiHidden/>
    <w:unhideWhenUsed/>
    <w:rsid w:val="0048282A"/>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48282A"/>
    <w:rPr>
      <w:rFonts w:ascii="Segoe UI" w:hAnsi="Segoe UI" w:cs="Segoe UI"/>
      <w:kern w:val="0"/>
      <w:sz w:val="18"/>
      <w:szCs w:val="18"/>
      <w14:ligatures w14:val="none"/>
    </w:rPr>
  </w:style>
  <w:style w:type="paragraph" w:styleId="PlainText">
    <w:name w:val="Plain Text"/>
    <w:basedOn w:val="Normal"/>
    <w:link w:val="PlainTextChar"/>
    <w:uiPriority w:val="99"/>
    <w:rsid w:val="0048282A"/>
    <w:pPr>
      <w:spacing w:after="0" w:line="240" w:lineRule="auto"/>
    </w:pPr>
    <w:rPr>
      <w:rFonts w:ascii="Courier New" w:eastAsia="Times New Roman" w:hAnsi="Courier New" w:cs="Courier New"/>
      <w:kern w:val="0"/>
      <w:sz w:val="20"/>
      <w:szCs w:val="20"/>
      <w14:ligatures w14:val="none"/>
    </w:rPr>
  </w:style>
  <w:style w:type="character" w:customStyle="1" w:styleId="PlainTextChar">
    <w:name w:val="Plain Text Char"/>
    <w:basedOn w:val="DefaultParagraphFont"/>
    <w:link w:val="PlainText"/>
    <w:uiPriority w:val="99"/>
    <w:rsid w:val="0048282A"/>
    <w:rPr>
      <w:rFonts w:ascii="Courier New" w:eastAsia="Times New Roman" w:hAnsi="Courier New" w:cs="Courier New"/>
      <w:kern w:val="0"/>
      <w:sz w:val="20"/>
      <w:szCs w:val="20"/>
      <w14:ligatures w14:val="none"/>
    </w:rPr>
  </w:style>
  <w:style w:type="character" w:styleId="PageNumber">
    <w:name w:val="page number"/>
    <w:basedOn w:val="DefaultParagraphFont"/>
    <w:uiPriority w:val="99"/>
    <w:semiHidden/>
    <w:unhideWhenUsed/>
    <w:rsid w:val="00D0519D"/>
  </w:style>
  <w:style w:type="character" w:styleId="Strong">
    <w:name w:val="Strong"/>
    <w:basedOn w:val="DefaultParagraphFont"/>
    <w:uiPriority w:val="22"/>
    <w:qFormat/>
    <w:rsid w:val="00D0519D"/>
    <w:rPr>
      <w:b/>
      <w:bCs/>
    </w:rPr>
  </w:style>
  <w:style w:type="character" w:customStyle="1" w:styleId="UnresolvedMention1">
    <w:name w:val="Unresolved Mention1"/>
    <w:basedOn w:val="DefaultParagraphFont"/>
    <w:uiPriority w:val="99"/>
    <w:semiHidden/>
    <w:unhideWhenUsed/>
    <w:rsid w:val="00D0519D"/>
    <w:rPr>
      <w:color w:val="605E5C"/>
      <w:shd w:val="clear" w:color="auto" w:fill="E1DFDD"/>
    </w:rPr>
  </w:style>
  <w:style w:type="paragraph" w:customStyle="1" w:styleId="EndNoteBibliography">
    <w:name w:val="EndNote Bibliography"/>
    <w:basedOn w:val="Normal"/>
    <w:link w:val="EndNoteBibliographyChar"/>
    <w:rsid w:val="00D0519D"/>
    <w:pPr>
      <w:spacing w:after="0" w:line="240" w:lineRule="auto"/>
      <w:jc w:val="center"/>
    </w:pPr>
    <w:rPr>
      <w:rFonts w:ascii="Calibri" w:hAnsi="Calibri" w:cs="Calibri"/>
      <w:kern w:val="0"/>
      <w:sz w:val="24"/>
      <w:szCs w:val="24"/>
      <w14:ligatures w14:val="none"/>
    </w:rPr>
  </w:style>
  <w:style w:type="character" w:customStyle="1" w:styleId="EndNoteBibliographyChar">
    <w:name w:val="EndNote Bibliography Char"/>
    <w:basedOn w:val="DefaultParagraphFont"/>
    <w:link w:val="EndNoteBibliography"/>
    <w:rsid w:val="00D0519D"/>
    <w:rPr>
      <w:rFonts w:ascii="Calibri" w:hAnsi="Calibri" w:cs="Calibri"/>
      <w:kern w:val="0"/>
      <w:sz w:val="24"/>
      <w:szCs w:val="24"/>
      <w14:ligatures w14:val="none"/>
    </w:rPr>
  </w:style>
  <w:style w:type="paragraph" w:customStyle="1" w:styleId="paragraph">
    <w:name w:val="paragraph"/>
    <w:basedOn w:val="Normal"/>
    <w:rsid w:val="00D0519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D0519D"/>
  </w:style>
  <w:style w:type="character" w:customStyle="1" w:styleId="normaltextrun">
    <w:name w:val="normaltextrun"/>
    <w:basedOn w:val="DefaultParagraphFont"/>
    <w:rsid w:val="00D0519D"/>
  </w:style>
  <w:style w:type="character" w:customStyle="1" w:styleId="UnresolvedMention2">
    <w:name w:val="Unresolved Mention2"/>
    <w:basedOn w:val="DefaultParagraphFont"/>
    <w:uiPriority w:val="99"/>
    <w:rsid w:val="00D0519D"/>
    <w:rPr>
      <w:color w:val="605E5C"/>
      <w:shd w:val="clear" w:color="auto" w:fill="E1DFDD"/>
    </w:rPr>
  </w:style>
  <w:style w:type="paragraph" w:styleId="BodyText">
    <w:name w:val="Body Text"/>
    <w:basedOn w:val="Normal"/>
    <w:link w:val="BodyTextChar"/>
    <w:uiPriority w:val="1"/>
    <w:qFormat/>
    <w:rsid w:val="00D0519D"/>
    <w:pPr>
      <w:widowControl w:val="0"/>
      <w:autoSpaceDE w:val="0"/>
      <w:autoSpaceDN w:val="0"/>
      <w:spacing w:before="20" w:after="0" w:line="240" w:lineRule="auto"/>
      <w:ind w:left="820" w:hanging="360"/>
    </w:pPr>
    <w:rPr>
      <w:rFonts w:ascii="Arial" w:eastAsia="Arial" w:hAnsi="Arial" w:cs="Arial"/>
      <w:kern w:val="0"/>
      <w:sz w:val="28"/>
      <w:szCs w:val="28"/>
      <w14:ligatures w14:val="none"/>
    </w:rPr>
  </w:style>
  <w:style w:type="character" w:customStyle="1" w:styleId="BodyTextChar">
    <w:name w:val="Body Text Char"/>
    <w:basedOn w:val="DefaultParagraphFont"/>
    <w:link w:val="BodyText"/>
    <w:uiPriority w:val="1"/>
    <w:rsid w:val="00D0519D"/>
    <w:rPr>
      <w:rFonts w:ascii="Arial" w:eastAsia="Arial" w:hAnsi="Arial" w:cs="Arial"/>
      <w:kern w:val="0"/>
      <w:sz w:val="28"/>
      <w:szCs w:val="28"/>
      <w14:ligatures w14:val="none"/>
    </w:rPr>
  </w:style>
  <w:style w:type="paragraph" w:customStyle="1" w:styleId="xmsonormal">
    <w:name w:val="x_msonormal"/>
    <w:basedOn w:val="Normal"/>
    <w:rsid w:val="0044203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i">
    <w:name w:val="mi"/>
    <w:basedOn w:val="DefaultParagraphFont"/>
    <w:rsid w:val="00442034"/>
  </w:style>
  <w:style w:type="character" w:customStyle="1" w:styleId="mo">
    <w:name w:val="mo"/>
    <w:basedOn w:val="DefaultParagraphFont"/>
    <w:rsid w:val="00442034"/>
  </w:style>
  <w:style w:type="character" w:customStyle="1" w:styleId="mn">
    <w:name w:val="mn"/>
    <w:basedOn w:val="DefaultParagraphFont"/>
    <w:rsid w:val="00442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07162">
      <w:bodyDiv w:val="1"/>
      <w:marLeft w:val="0"/>
      <w:marRight w:val="0"/>
      <w:marTop w:val="0"/>
      <w:marBottom w:val="0"/>
      <w:divBdr>
        <w:top w:val="none" w:sz="0" w:space="0" w:color="auto"/>
        <w:left w:val="none" w:sz="0" w:space="0" w:color="auto"/>
        <w:bottom w:val="none" w:sz="0" w:space="0" w:color="auto"/>
        <w:right w:val="none" w:sz="0" w:space="0" w:color="auto"/>
      </w:divBdr>
      <w:divsChild>
        <w:div w:id="1584414824">
          <w:marLeft w:val="480"/>
          <w:marRight w:val="0"/>
          <w:marTop w:val="0"/>
          <w:marBottom w:val="0"/>
          <w:divBdr>
            <w:top w:val="none" w:sz="0" w:space="0" w:color="auto"/>
            <w:left w:val="none" w:sz="0" w:space="0" w:color="auto"/>
            <w:bottom w:val="none" w:sz="0" w:space="0" w:color="auto"/>
            <w:right w:val="none" w:sz="0" w:space="0" w:color="auto"/>
          </w:divBdr>
          <w:divsChild>
            <w:div w:id="60229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4986">
      <w:bodyDiv w:val="1"/>
      <w:marLeft w:val="0"/>
      <w:marRight w:val="0"/>
      <w:marTop w:val="0"/>
      <w:marBottom w:val="0"/>
      <w:divBdr>
        <w:top w:val="none" w:sz="0" w:space="0" w:color="auto"/>
        <w:left w:val="none" w:sz="0" w:space="0" w:color="auto"/>
        <w:bottom w:val="none" w:sz="0" w:space="0" w:color="auto"/>
        <w:right w:val="none" w:sz="0" w:space="0" w:color="auto"/>
      </w:divBdr>
      <w:divsChild>
        <w:div w:id="1731615143">
          <w:marLeft w:val="480"/>
          <w:marRight w:val="0"/>
          <w:marTop w:val="0"/>
          <w:marBottom w:val="0"/>
          <w:divBdr>
            <w:top w:val="none" w:sz="0" w:space="0" w:color="auto"/>
            <w:left w:val="none" w:sz="0" w:space="0" w:color="auto"/>
            <w:bottom w:val="none" w:sz="0" w:space="0" w:color="auto"/>
            <w:right w:val="none" w:sz="0" w:space="0" w:color="auto"/>
          </w:divBdr>
          <w:divsChild>
            <w:div w:id="14223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9383">
      <w:bodyDiv w:val="1"/>
      <w:marLeft w:val="0"/>
      <w:marRight w:val="0"/>
      <w:marTop w:val="0"/>
      <w:marBottom w:val="0"/>
      <w:divBdr>
        <w:top w:val="none" w:sz="0" w:space="0" w:color="auto"/>
        <w:left w:val="none" w:sz="0" w:space="0" w:color="auto"/>
        <w:bottom w:val="none" w:sz="0" w:space="0" w:color="auto"/>
        <w:right w:val="none" w:sz="0" w:space="0" w:color="auto"/>
      </w:divBdr>
      <w:divsChild>
        <w:div w:id="133956565">
          <w:marLeft w:val="480"/>
          <w:marRight w:val="0"/>
          <w:marTop w:val="0"/>
          <w:marBottom w:val="0"/>
          <w:divBdr>
            <w:top w:val="none" w:sz="0" w:space="0" w:color="auto"/>
            <w:left w:val="none" w:sz="0" w:space="0" w:color="auto"/>
            <w:bottom w:val="none" w:sz="0" w:space="0" w:color="auto"/>
            <w:right w:val="none" w:sz="0" w:space="0" w:color="auto"/>
          </w:divBdr>
          <w:divsChild>
            <w:div w:id="8879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763280">
      <w:bodyDiv w:val="1"/>
      <w:marLeft w:val="0"/>
      <w:marRight w:val="0"/>
      <w:marTop w:val="0"/>
      <w:marBottom w:val="0"/>
      <w:divBdr>
        <w:top w:val="none" w:sz="0" w:space="0" w:color="auto"/>
        <w:left w:val="none" w:sz="0" w:space="0" w:color="auto"/>
        <w:bottom w:val="none" w:sz="0" w:space="0" w:color="auto"/>
        <w:right w:val="none" w:sz="0" w:space="0" w:color="auto"/>
      </w:divBdr>
      <w:divsChild>
        <w:div w:id="1734619286">
          <w:marLeft w:val="480"/>
          <w:marRight w:val="0"/>
          <w:marTop w:val="0"/>
          <w:marBottom w:val="0"/>
          <w:divBdr>
            <w:top w:val="none" w:sz="0" w:space="0" w:color="auto"/>
            <w:left w:val="none" w:sz="0" w:space="0" w:color="auto"/>
            <w:bottom w:val="none" w:sz="0" w:space="0" w:color="auto"/>
            <w:right w:val="none" w:sz="0" w:space="0" w:color="auto"/>
          </w:divBdr>
          <w:divsChild>
            <w:div w:id="4340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52913">
      <w:bodyDiv w:val="1"/>
      <w:marLeft w:val="0"/>
      <w:marRight w:val="0"/>
      <w:marTop w:val="0"/>
      <w:marBottom w:val="0"/>
      <w:divBdr>
        <w:top w:val="none" w:sz="0" w:space="0" w:color="auto"/>
        <w:left w:val="none" w:sz="0" w:space="0" w:color="auto"/>
        <w:bottom w:val="none" w:sz="0" w:space="0" w:color="auto"/>
        <w:right w:val="none" w:sz="0" w:space="0" w:color="auto"/>
      </w:divBdr>
      <w:divsChild>
        <w:div w:id="795568823">
          <w:marLeft w:val="480"/>
          <w:marRight w:val="0"/>
          <w:marTop w:val="0"/>
          <w:marBottom w:val="0"/>
          <w:divBdr>
            <w:top w:val="none" w:sz="0" w:space="0" w:color="auto"/>
            <w:left w:val="none" w:sz="0" w:space="0" w:color="auto"/>
            <w:bottom w:val="none" w:sz="0" w:space="0" w:color="auto"/>
            <w:right w:val="none" w:sz="0" w:space="0" w:color="auto"/>
          </w:divBdr>
          <w:divsChild>
            <w:div w:id="11034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82546">
      <w:bodyDiv w:val="1"/>
      <w:marLeft w:val="0"/>
      <w:marRight w:val="0"/>
      <w:marTop w:val="0"/>
      <w:marBottom w:val="0"/>
      <w:divBdr>
        <w:top w:val="none" w:sz="0" w:space="0" w:color="auto"/>
        <w:left w:val="none" w:sz="0" w:space="0" w:color="auto"/>
        <w:bottom w:val="none" w:sz="0" w:space="0" w:color="auto"/>
        <w:right w:val="none" w:sz="0" w:space="0" w:color="auto"/>
      </w:divBdr>
      <w:divsChild>
        <w:div w:id="723482800">
          <w:marLeft w:val="480"/>
          <w:marRight w:val="0"/>
          <w:marTop w:val="0"/>
          <w:marBottom w:val="0"/>
          <w:divBdr>
            <w:top w:val="none" w:sz="0" w:space="0" w:color="auto"/>
            <w:left w:val="none" w:sz="0" w:space="0" w:color="auto"/>
            <w:bottom w:val="none" w:sz="0" w:space="0" w:color="auto"/>
            <w:right w:val="none" w:sz="0" w:space="0" w:color="auto"/>
          </w:divBdr>
          <w:divsChild>
            <w:div w:id="85191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175552">
      <w:bodyDiv w:val="1"/>
      <w:marLeft w:val="0"/>
      <w:marRight w:val="0"/>
      <w:marTop w:val="0"/>
      <w:marBottom w:val="0"/>
      <w:divBdr>
        <w:top w:val="none" w:sz="0" w:space="0" w:color="auto"/>
        <w:left w:val="none" w:sz="0" w:space="0" w:color="auto"/>
        <w:bottom w:val="none" w:sz="0" w:space="0" w:color="auto"/>
        <w:right w:val="none" w:sz="0" w:space="0" w:color="auto"/>
      </w:divBdr>
      <w:divsChild>
        <w:div w:id="272441944">
          <w:marLeft w:val="480"/>
          <w:marRight w:val="0"/>
          <w:marTop w:val="0"/>
          <w:marBottom w:val="0"/>
          <w:divBdr>
            <w:top w:val="none" w:sz="0" w:space="0" w:color="auto"/>
            <w:left w:val="none" w:sz="0" w:space="0" w:color="auto"/>
            <w:bottom w:val="none" w:sz="0" w:space="0" w:color="auto"/>
            <w:right w:val="none" w:sz="0" w:space="0" w:color="auto"/>
          </w:divBdr>
          <w:divsChild>
            <w:div w:id="15484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80599">
      <w:bodyDiv w:val="1"/>
      <w:marLeft w:val="0"/>
      <w:marRight w:val="0"/>
      <w:marTop w:val="0"/>
      <w:marBottom w:val="0"/>
      <w:divBdr>
        <w:top w:val="none" w:sz="0" w:space="0" w:color="auto"/>
        <w:left w:val="none" w:sz="0" w:space="0" w:color="auto"/>
        <w:bottom w:val="none" w:sz="0" w:space="0" w:color="auto"/>
        <w:right w:val="none" w:sz="0" w:space="0" w:color="auto"/>
      </w:divBdr>
      <w:divsChild>
        <w:div w:id="1228759081">
          <w:marLeft w:val="480"/>
          <w:marRight w:val="0"/>
          <w:marTop w:val="0"/>
          <w:marBottom w:val="0"/>
          <w:divBdr>
            <w:top w:val="none" w:sz="0" w:space="0" w:color="auto"/>
            <w:left w:val="none" w:sz="0" w:space="0" w:color="auto"/>
            <w:bottom w:val="none" w:sz="0" w:space="0" w:color="auto"/>
            <w:right w:val="none" w:sz="0" w:space="0" w:color="auto"/>
          </w:divBdr>
          <w:divsChild>
            <w:div w:id="29040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4451">
      <w:bodyDiv w:val="1"/>
      <w:marLeft w:val="0"/>
      <w:marRight w:val="0"/>
      <w:marTop w:val="0"/>
      <w:marBottom w:val="0"/>
      <w:divBdr>
        <w:top w:val="none" w:sz="0" w:space="0" w:color="auto"/>
        <w:left w:val="none" w:sz="0" w:space="0" w:color="auto"/>
        <w:bottom w:val="none" w:sz="0" w:space="0" w:color="auto"/>
        <w:right w:val="none" w:sz="0" w:space="0" w:color="auto"/>
      </w:divBdr>
      <w:divsChild>
        <w:div w:id="1240284259">
          <w:marLeft w:val="480"/>
          <w:marRight w:val="0"/>
          <w:marTop w:val="0"/>
          <w:marBottom w:val="0"/>
          <w:divBdr>
            <w:top w:val="none" w:sz="0" w:space="0" w:color="auto"/>
            <w:left w:val="none" w:sz="0" w:space="0" w:color="auto"/>
            <w:bottom w:val="none" w:sz="0" w:space="0" w:color="auto"/>
            <w:right w:val="none" w:sz="0" w:space="0" w:color="auto"/>
          </w:divBdr>
          <w:divsChild>
            <w:div w:id="191007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667764">
      <w:bodyDiv w:val="1"/>
      <w:marLeft w:val="0"/>
      <w:marRight w:val="0"/>
      <w:marTop w:val="0"/>
      <w:marBottom w:val="0"/>
      <w:divBdr>
        <w:top w:val="none" w:sz="0" w:space="0" w:color="auto"/>
        <w:left w:val="none" w:sz="0" w:space="0" w:color="auto"/>
        <w:bottom w:val="none" w:sz="0" w:space="0" w:color="auto"/>
        <w:right w:val="none" w:sz="0" w:space="0" w:color="auto"/>
      </w:divBdr>
      <w:divsChild>
        <w:div w:id="735084528">
          <w:marLeft w:val="480"/>
          <w:marRight w:val="0"/>
          <w:marTop w:val="0"/>
          <w:marBottom w:val="0"/>
          <w:divBdr>
            <w:top w:val="none" w:sz="0" w:space="0" w:color="auto"/>
            <w:left w:val="none" w:sz="0" w:space="0" w:color="auto"/>
            <w:bottom w:val="none" w:sz="0" w:space="0" w:color="auto"/>
            <w:right w:val="none" w:sz="0" w:space="0" w:color="auto"/>
          </w:divBdr>
          <w:divsChild>
            <w:div w:id="17861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135798">
      <w:bodyDiv w:val="1"/>
      <w:marLeft w:val="0"/>
      <w:marRight w:val="0"/>
      <w:marTop w:val="0"/>
      <w:marBottom w:val="0"/>
      <w:divBdr>
        <w:top w:val="none" w:sz="0" w:space="0" w:color="auto"/>
        <w:left w:val="none" w:sz="0" w:space="0" w:color="auto"/>
        <w:bottom w:val="none" w:sz="0" w:space="0" w:color="auto"/>
        <w:right w:val="none" w:sz="0" w:space="0" w:color="auto"/>
      </w:divBdr>
      <w:divsChild>
        <w:div w:id="2141455499">
          <w:marLeft w:val="480"/>
          <w:marRight w:val="0"/>
          <w:marTop w:val="0"/>
          <w:marBottom w:val="0"/>
          <w:divBdr>
            <w:top w:val="none" w:sz="0" w:space="0" w:color="auto"/>
            <w:left w:val="none" w:sz="0" w:space="0" w:color="auto"/>
            <w:bottom w:val="none" w:sz="0" w:space="0" w:color="auto"/>
            <w:right w:val="none" w:sz="0" w:space="0" w:color="auto"/>
          </w:divBdr>
          <w:divsChild>
            <w:div w:id="77845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13665">
      <w:bodyDiv w:val="1"/>
      <w:marLeft w:val="0"/>
      <w:marRight w:val="0"/>
      <w:marTop w:val="0"/>
      <w:marBottom w:val="0"/>
      <w:divBdr>
        <w:top w:val="none" w:sz="0" w:space="0" w:color="auto"/>
        <w:left w:val="none" w:sz="0" w:space="0" w:color="auto"/>
        <w:bottom w:val="none" w:sz="0" w:space="0" w:color="auto"/>
        <w:right w:val="none" w:sz="0" w:space="0" w:color="auto"/>
      </w:divBdr>
      <w:divsChild>
        <w:div w:id="1197037059">
          <w:marLeft w:val="480"/>
          <w:marRight w:val="0"/>
          <w:marTop w:val="0"/>
          <w:marBottom w:val="0"/>
          <w:divBdr>
            <w:top w:val="none" w:sz="0" w:space="0" w:color="auto"/>
            <w:left w:val="none" w:sz="0" w:space="0" w:color="auto"/>
            <w:bottom w:val="none" w:sz="0" w:space="0" w:color="auto"/>
            <w:right w:val="none" w:sz="0" w:space="0" w:color="auto"/>
          </w:divBdr>
          <w:divsChild>
            <w:div w:id="11699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57814">
      <w:bodyDiv w:val="1"/>
      <w:marLeft w:val="0"/>
      <w:marRight w:val="0"/>
      <w:marTop w:val="0"/>
      <w:marBottom w:val="0"/>
      <w:divBdr>
        <w:top w:val="none" w:sz="0" w:space="0" w:color="auto"/>
        <w:left w:val="none" w:sz="0" w:space="0" w:color="auto"/>
        <w:bottom w:val="none" w:sz="0" w:space="0" w:color="auto"/>
        <w:right w:val="none" w:sz="0" w:space="0" w:color="auto"/>
      </w:divBdr>
      <w:divsChild>
        <w:div w:id="1701316894">
          <w:marLeft w:val="480"/>
          <w:marRight w:val="0"/>
          <w:marTop w:val="0"/>
          <w:marBottom w:val="0"/>
          <w:divBdr>
            <w:top w:val="none" w:sz="0" w:space="0" w:color="auto"/>
            <w:left w:val="none" w:sz="0" w:space="0" w:color="auto"/>
            <w:bottom w:val="none" w:sz="0" w:space="0" w:color="auto"/>
            <w:right w:val="none" w:sz="0" w:space="0" w:color="auto"/>
          </w:divBdr>
          <w:divsChild>
            <w:div w:id="163617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6304">
      <w:bodyDiv w:val="1"/>
      <w:marLeft w:val="0"/>
      <w:marRight w:val="0"/>
      <w:marTop w:val="0"/>
      <w:marBottom w:val="0"/>
      <w:divBdr>
        <w:top w:val="none" w:sz="0" w:space="0" w:color="auto"/>
        <w:left w:val="none" w:sz="0" w:space="0" w:color="auto"/>
        <w:bottom w:val="none" w:sz="0" w:space="0" w:color="auto"/>
        <w:right w:val="none" w:sz="0" w:space="0" w:color="auto"/>
      </w:divBdr>
      <w:divsChild>
        <w:div w:id="392433104">
          <w:marLeft w:val="480"/>
          <w:marRight w:val="0"/>
          <w:marTop w:val="0"/>
          <w:marBottom w:val="0"/>
          <w:divBdr>
            <w:top w:val="none" w:sz="0" w:space="0" w:color="auto"/>
            <w:left w:val="none" w:sz="0" w:space="0" w:color="auto"/>
            <w:bottom w:val="none" w:sz="0" w:space="0" w:color="auto"/>
            <w:right w:val="none" w:sz="0" w:space="0" w:color="auto"/>
          </w:divBdr>
          <w:divsChild>
            <w:div w:id="4246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99150">
      <w:bodyDiv w:val="1"/>
      <w:marLeft w:val="0"/>
      <w:marRight w:val="0"/>
      <w:marTop w:val="0"/>
      <w:marBottom w:val="0"/>
      <w:divBdr>
        <w:top w:val="none" w:sz="0" w:space="0" w:color="auto"/>
        <w:left w:val="none" w:sz="0" w:space="0" w:color="auto"/>
        <w:bottom w:val="none" w:sz="0" w:space="0" w:color="auto"/>
        <w:right w:val="none" w:sz="0" w:space="0" w:color="auto"/>
      </w:divBdr>
      <w:divsChild>
        <w:div w:id="2145730954">
          <w:marLeft w:val="480"/>
          <w:marRight w:val="0"/>
          <w:marTop w:val="0"/>
          <w:marBottom w:val="0"/>
          <w:divBdr>
            <w:top w:val="none" w:sz="0" w:space="0" w:color="auto"/>
            <w:left w:val="none" w:sz="0" w:space="0" w:color="auto"/>
            <w:bottom w:val="none" w:sz="0" w:space="0" w:color="auto"/>
            <w:right w:val="none" w:sz="0" w:space="0" w:color="auto"/>
          </w:divBdr>
          <w:divsChild>
            <w:div w:id="12978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17979">
      <w:bodyDiv w:val="1"/>
      <w:marLeft w:val="0"/>
      <w:marRight w:val="0"/>
      <w:marTop w:val="0"/>
      <w:marBottom w:val="0"/>
      <w:divBdr>
        <w:top w:val="none" w:sz="0" w:space="0" w:color="auto"/>
        <w:left w:val="none" w:sz="0" w:space="0" w:color="auto"/>
        <w:bottom w:val="none" w:sz="0" w:space="0" w:color="auto"/>
        <w:right w:val="none" w:sz="0" w:space="0" w:color="auto"/>
      </w:divBdr>
      <w:divsChild>
        <w:div w:id="1647851416">
          <w:marLeft w:val="480"/>
          <w:marRight w:val="0"/>
          <w:marTop w:val="0"/>
          <w:marBottom w:val="0"/>
          <w:divBdr>
            <w:top w:val="none" w:sz="0" w:space="0" w:color="auto"/>
            <w:left w:val="none" w:sz="0" w:space="0" w:color="auto"/>
            <w:bottom w:val="none" w:sz="0" w:space="0" w:color="auto"/>
            <w:right w:val="none" w:sz="0" w:space="0" w:color="auto"/>
          </w:divBdr>
          <w:divsChild>
            <w:div w:id="926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18132">
      <w:bodyDiv w:val="1"/>
      <w:marLeft w:val="0"/>
      <w:marRight w:val="0"/>
      <w:marTop w:val="0"/>
      <w:marBottom w:val="0"/>
      <w:divBdr>
        <w:top w:val="none" w:sz="0" w:space="0" w:color="auto"/>
        <w:left w:val="none" w:sz="0" w:space="0" w:color="auto"/>
        <w:bottom w:val="none" w:sz="0" w:space="0" w:color="auto"/>
        <w:right w:val="none" w:sz="0" w:space="0" w:color="auto"/>
      </w:divBdr>
      <w:divsChild>
        <w:div w:id="685640641">
          <w:marLeft w:val="480"/>
          <w:marRight w:val="0"/>
          <w:marTop w:val="0"/>
          <w:marBottom w:val="0"/>
          <w:divBdr>
            <w:top w:val="none" w:sz="0" w:space="0" w:color="auto"/>
            <w:left w:val="none" w:sz="0" w:space="0" w:color="auto"/>
            <w:bottom w:val="none" w:sz="0" w:space="0" w:color="auto"/>
            <w:right w:val="none" w:sz="0" w:space="0" w:color="auto"/>
          </w:divBdr>
          <w:divsChild>
            <w:div w:id="92911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7474">
      <w:bodyDiv w:val="1"/>
      <w:marLeft w:val="0"/>
      <w:marRight w:val="0"/>
      <w:marTop w:val="0"/>
      <w:marBottom w:val="0"/>
      <w:divBdr>
        <w:top w:val="none" w:sz="0" w:space="0" w:color="auto"/>
        <w:left w:val="none" w:sz="0" w:space="0" w:color="auto"/>
        <w:bottom w:val="none" w:sz="0" w:space="0" w:color="auto"/>
        <w:right w:val="none" w:sz="0" w:space="0" w:color="auto"/>
      </w:divBdr>
      <w:divsChild>
        <w:div w:id="638339730">
          <w:marLeft w:val="480"/>
          <w:marRight w:val="0"/>
          <w:marTop w:val="0"/>
          <w:marBottom w:val="0"/>
          <w:divBdr>
            <w:top w:val="none" w:sz="0" w:space="0" w:color="auto"/>
            <w:left w:val="none" w:sz="0" w:space="0" w:color="auto"/>
            <w:bottom w:val="none" w:sz="0" w:space="0" w:color="auto"/>
            <w:right w:val="none" w:sz="0" w:space="0" w:color="auto"/>
          </w:divBdr>
          <w:divsChild>
            <w:div w:id="19392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617">
      <w:bodyDiv w:val="1"/>
      <w:marLeft w:val="0"/>
      <w:marRight w:val="0"/>
      <w:marTop w:val="0"/>
      <w:marBottom w:val="0"/>
      <w:divBdr>
        <w:top w:val="none" w:sz="0" w:space="0" w:color="auto"/>
        <w:left w:val="none" w:sz="0" w:space="0" w:color="auto"/>
        <w:bottom w:val="none" w:sz="0" w:space="0" w:color="auto"/>
        <w:right w:val="none" w:sz="0" w:space="0" w:color="auto"/>
      </w:divBdr>
      <w:divsChild>
        <w:div w:id="1323655651">
          <w:marLeft w:val="480"/>
          <w:marRight w:val="0"/>
          <w:marTop w:val="0"/>
          <w:marBottom w:val="0"/>
          <w:divBdr>
            <w:top w:val="none" w:sz="0" w:space="0" w:color="auto"/>
            <w:left w:val="none" w:sz="0" w:space="0" w:color="auto"/>
            <w:bottom w:val="none" w:sz="0" w:space="0" w:color="auto"/>
            <w:right w:val="none" w:sz="0" w:space="0" w:color="auto"/>
          </w:divBdr>
          <w:divsChild>
            <w:div w:id="20150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5978">
      <w:bodyDiv w:val="1"/>
      <w:marLeft w:val="0"/>
      <w:marRight w:val="0"/>
      <w:marTop w:val="0"/>
      <w:marBottom w:val="0"/>
      <w:divBdr>
        <w:top w:val="none" w:sz="0" w:space="0" w:color="auto"/>
        <w:left w:val="none" w:sz="0" w:space="0" w:color="auto"/>
        <w:bottom w:val="none" w:sz="0" w:space="0" w:color="auto"/>
        <w:right w:val="none" w:sz="0" w:space="0" w:color="auto"/>
      </w:divBdr>
      <w:divsChild>
        <w:div w:id="1885016892">
          <w:marLeft w:val="480"/>
          <w:marRight w:val="0"/>
          <w:marTop w:val="0"/>
          <w:marBottom w:val="0"/>
          <w:divBdr>
            <w:top w:val="none" w:sz="0" w:space="0" w:color="auto"/>
            <w:left w:val="none" w:sz="0" w:space="0" w:color="auto"/>
            <w:bottom w:val="none" w:sz="0" w:space="0" w:color="auto"/>
            <w:right w:val="none" w:sz="0" w:space="0" w:color="auto"/>
          </w:divBdr>
          <w:divsChild>
            <w:div w:id="94183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0348">
      <w:bodyDiv w:val="1"/>
      <w:marLeft w:val="0"/>
      <w:marRight w:val="0"/>
      <w:marTop w:val="0"/>
      <w:marBottom w:val="0"/>
      <w:divBdr>
        <w:top w:val="none" w:sz="0" w:space="0" w:color="auto"/>
        <w:left w:val="none" w:sz="0" w:space="0" w:color="auto"/>
        <w:bottom w:val="none" w:sz="0" w:space="0" w:color="auto"/>
        <w:right w:val="none" w:sz="0" w:space="0" w:color="auto"/>
      </w:divBdr>
      <w:divsChild>
        <w:div w:id="127281291">
          <w:marLeft w:val="480"/>
          <w:marRight w:val="0"/>
          <w:marTop w:val="0"/>
          <w:marBottom w:val="0"/>
          <w:divBdr>
            <w:top w:val="none" w:sz="0" w:space="0" w:color="auto"/>
            <w:left w:val="none" w:sz="0" w:space="0" w:color="auto"/>
            <w:bottom w:val="none" w:sz="0" w:space="0" w:color="auto"/>
            <w:right w:val="none" w:sz="0" w:space="0" w:color="auto"/>
          </w:divBdr>
          <w:divsChild>
            <w:div w:id="17273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56478">
      <w:bodyDiv w:val="1"/>
      <w:marLeft w:val="0"/>
      <w:marRight w:val="0"/>
      <w:marTop w:val="0"/>
      <w:marBottom w:val="0"/>
      <w:divBdr>
        <w:top w:val="none" w:sz="0" w:space="0" w:color="auto"/>
        <w:left w:val="none" w:sz="0" w:space="0" w:color="auto"/>
        <w:bottom w:val="none" w:sz="0" w:space="0" w:color="auto"/>
        <w:right w:val="none" w:sz="0" w:space="0" w:color="auto"/>
      </w:divBdr>
      <w:divsChild>
        <w:div w:id="385377190">
          <w:marLeft w:val="480"/>
          <w:marRight w:val="0"/>
          <w:marTop w:val="0"/>
          <w:marBottom w:val="0"/>
          <w:divBdr>
            <w:top w:val="none" w:sz="0" w:space="0" w:color="auto"/>
            <w:left w:val="none" w:sz="0" w:space="0" w:color="auto"/>
            <w:bottom w:val="none" w:sz="0" w:space="0" w:color="auto"/>
            <w:right w:val="none" w:sz="0" w:space="0" w:color="auto"/>
          </w:divBdr>
          <w:divsChild>
            <w:div w:id="38765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29132">
      <w:bodyDiv w:val="1"/>
      <w:marLeft w:val="0"/>
      <w:marRight w:val="0"/>
      <w:marTop w:val="0"/>
      <w:marBottom w:val="0"/>
      <w:divBdr>
        <w:top w:val="none" w:sz="0" w:space="0" w:color="auto"/>
        <w:left w:val="none" w:sz="0" w:space="0" w:color="auto"/>
        <w:bottom w:val="none" w:sz="0" w:space="0" w:color="auto"/>
        <w:right w:val="none" w:sz="0" w:space="0" w:color="auto"/>
      </w:divBdr>
      <w:divsChild>
        <w:div w:id="794907860">
          <w:marLeft w:val="480"/>
          <w:marRight w:val="0"/>
          <w:marTop w:val="0"/>
          <w:marBottom w:val="0"/>
          <w:divBdr>
            <w:top w:val="none" w:sz="0" w:space="0" w:color="auto"/>
            <w:left w:val="none" w:sz="0" w:space="0" w:color="auto"/>
            <w:bottom w:val="none" w:sz="0" w:space="0" w:color="auto"/>
            <w:right w:val="none" w:sz="0" w:space="0" w:color="auto"/>
          </w:divBdr>
          <w:divsChild>
            <w:div w:id="41805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7/0011000015589190" TargetMode="External"/><Relationship Id="rId21" Type="http://schemas.openxmlformats.org/officeDocument/2006/relationships/chart" Target="charts/chart1.xml"/><Relationship Id="rId42" Type="http://schemas.openxmlformats.org/officeDocument/2006/relationships/hyperlink" Target="https://doi.org/10.1111/jan.12329" TargetMode="External"/><Relationship Id="rId47" Type="http://schemas.openxmlformats.org/officeDocument/2006/relationships/hyperlink" Target="https://doi.org/10.1080/15548732.2016.1221368" TargetMode="External"/><Relationship Id="rId63" Type="http://schemas.openxmlformats.org/officeDocument/2006/relationships/hyperlink" Target="https://doi.org/10.1037/ort0000320" TargetMode="External"/><Relationship Id="rId68" Type="http://schemas.openxmlformats.org/officeDocument/2006/relationships/hyperlink" Target="https://doi.org/10.1080/1550428X.2011.537229"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s://doi.org/10.1016/j.paid.2010.07.036" TargetMode="External"/><Relationship Id="rId11" Type="http://schemas.openxmlformats.org/officeDocument/2006/relationships/footer" Target="footer4.xml"/><Relationship Id="rId24" Type="http://schemas.openxmlformats.org/officeDocument/2006/relationships/hyperlink" Target="https://doi.org/10.1542/peds.2017-4211" TargetMode="External"/><Relationship Id="rId32" Type="http://schemas.openxmlformats.org/officeDocument/2006/relationships/hyperlink" Target="http://www.jstor.org/stable/3600247" TargetMode="External"/><Relationship Id="rId37" Type="http://schemas.openxmlformats.org/officeDocument/2006/relationships/hyperlink" Target="https://doi.org/10.1016/S0749-3797(98)00017-8" TargetMode="External"/><Relationship Id="rId40" Type="http://schemas.openxmlformats.org/officeDocument/2006/relationships/hyperlink" Target="https://doi.org/10.1007/s10560-016-0460-6" TargetMode="External"/><Relationship Id="rId45" Type="http://schemas.openxmlformats.org/officeDocument/2006/relationships/hyperlink" Target="https://doi.org/10.1007/978-1-4419-6284-3" TargetMode="External"/><Relationship Id="rId53" Type="http://schemas.openxmlformats.org/officeDocument/2006/relationships/hyperlink" Target="https://doi.org/10.1016/j.childyouth.2020.105481" TargetMode="External"/><Relationship Id="rId58" Type="http://schemas.openxmlformats.org/officeDocument/2006/relationships/hyperlink" Target="https://doi.org/10.1016/B978-0-12-386492-5.00004-X" TargetMode="External"/><Relationship Id="rId66" Type="http://schemas.openxmlformats.org/officeDocument/2006/relationships/hyperlink" Target="https://doi.org/10.1016/j.childyouth.2015.08.016" TargetMode="External"/><Relationship Id="rId5" Type="http://schemas.openxmlformats.org/officeDocument/2006/relationships/webSettings" Target="webSettings.xml"/><Relationship Id="rId61" Type="http://schemas.openxmlformats.org/officeDocument/2006/relationships/hyperlink" Target="https://doi.org/10.1080/10705500802222972" TargetMode="External"/><Relationship Id="rId19" Type="http://schemas.openxmlformats.org/officeDocument/2006/relationships/footer" Target="footer7.xml"/><Relationship Id="rId14" Type="http://schemas.openxmlformats.org/officeDocument/2006/relationships/footer" Target="footer5.xml"/><Relationship Id="rId22" Type="http://schemas.openxmlformats.org/officeDocument/2006/relationships/image" Target="media/image2.emf"/><Relationship Id="rId27" Type="http://schemas.openxmlformats.org/officeDocument/2006/relationships/hyperlink" Target="https://doi.org/10.1177/00110000211033255" TargetMode="External"/><Relationship Id="rId30" Type="http://schemas.openxmlformats.org/officeDocument/2006/relationships/hyperlink" Target="https://doi.org.10.1002/imhj.21460" TargetMode="External"/><Relationship Id="rId35" Type="http://schemas.openxmlformats.org/officeDocument/2006/relationships/hyperlink" Target="https://doi.org/10.1007/s12187-020-09722-y" TargetMode="External"/><Relationship Id="rId43" Type="http://schemas.openxmlformats.org/officeDocument/2006/relationships/hyperlink" Target="http://doi.org/10.1136/bmjopen-2019-030675" TargetMode="External"/><Relationship Id="rId48" Type="http://schemas.openxmlformats.org/officeDocument/2006/relationships/hyperlink" Target="https://doi.org/10.1037/trm0000224" TargetMode="External"/><Relationship Id="rId56" Type="http://schemas.openxmlformats.org/officeDocument/2006/relationships/hyperlink" Target="https://doi.org/10.1016/j.childyouth.2019.104520" TargetMode="External"/><Relationship Id="rId64" Type="http://schemas.openxmlformats.org/officeDocument/2006/relationships/hyperlink" Target="https://doi.org/10.17763/haer.79.3.n0016675661t3n15" TargetMode="External"/><Relationship Id="rId69" Type="http://schemas.openxmlformats.org/officeDocument/2006/relationships/hyperlink" Target="https://doi.org/10.1016/j.childyouth.2022.106682" TargetMode="External"/><Relationship Id="rId8" Type="http://schemas.openxmlformats.org/officeDocument/2006/relationships/footer" Target="footer1.xml"/><Relationship Id="rId51" Type="http://schemas.openxmlformats.org/officeDocument/2006/relationships/hyperlink" Target="http://doi.org/10.1007/s12187-018-9566-z" TargetMode="External"/><Relationship Id="rId3" Type="http://schemas.openxmlformats.org/officeDocument/2006/relationships/styles" Target="styles.xml"/><Relationship Id="rId12" Type="http://schemas.openxmlformats.org/officeDocument/2006/relationships/hyperlink" Target="https://www.tandfonline.com/doi/full/10.1080/15548732.2023.2193141" TargetMode="External"/><Relationship Id="rId17" Type="http://schemas.openxmlformats.org/officeDocument/2006/relationships/footer" Target="footer6.xml"/><Relationship Id="rId25" Type="http://schemas.openxmlformats.org/officeDocument/2006/relationships/hyperlink" Target="https://doi.org/10.1207/s15326888chc2701_2" TargetMode="External"/><Relationship Id="rId33" Type="http://schemas.openxmlformats.org/officeDocument/2006/relationships/hyperlink" Target="https://doi.org/10.1016/j.chiabu.2020.104623" TargetMode="External"/><Relationship Id="rId38" Type="http://schemas.openxmlformats.org/officeDocument/2006/relationships/hyperlink" Target="https://doi.org/10.1016/j.chiabu.2019.01.005" TargetMode="External"/><Relationship Id="rId46" Type="http://schemas.openxmlformats.org/officeDocument/2006/relationships/hyperlink" Target="https://doi.org/10.1002/pits.21833" TargetMode="External"/><Relationship Id="rId59" Type="http://schemas.openxmlformats.org/officeDocument/2006/relationships/hyperlink" Target="https://doi.org/10.1016/j.jpsychires.2019.09.001" TargetMode="External"/><Relationship Id="rId67" Type="http://schemas.openxmlformats.org/officeDocument/2006/relationships/hyperlink" Target="https://doi.org/10.1080/00918369.2012.720529" TargetMode="External"/><Relationship Id="rId20" Type="http://schemas.openxmlformats.org/officeDocument/2006/relationships/image" Target="media/image1.png"/><Relationship Id="rId41" Type="http://schemas.openxmlformats.org/officeDocument/2006/relationships/hyperlink" Target="https://doi.org/10.1016/j.childyouth.2021.106330" TargetMode="External"/><Relationship Id="rId54" Type="http://schemas.openxmlformats.org/officeDocument/2006/relationships/hyperlink" Target="https://doi.org/10.1016/j.chiabu.2019.104127" TargetMode="External"/><Relationship Id="rId62" Type="http://schemas.openxmlformats.org/officeDocument/2006/relationships/hyperlink" Target="https://doi.org/10.1207/S15327965PLI1304/01"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doi.org/10.1177/0265407517699713" TargetMode="External"/><Relationship Id="rId28" Type="http://schemas.openxmlformats.org/officeDocument/2006/relationships/hyperlink" Target="https://doi.org/10.1080/10538712.2017.1365319" TargetMode="External"/><Relationship Id="rId36" Type="http://schemas.openxmlformats.org/officeDocument/2006/relationships/hyperlink" Target="https://doi.org/10.1016/j.chiabu/2018.03.009" TargetMode="External"/><Relationship Id="rId49" Type="http://schemas.openxmlformats.org/officeDocument/2006/relationships/hyperlink" Target="https://doi.org/10/1037/trm0000149" TargetMode="External"/><Relationship Id="rId57" Type="http://schemas.openxmlformats.org/officeDocument/2006/relationships/hyperlink" Target="https://www.childtrends.org/publications/prevalence-adverse-childhood-experiences-nationally-state-race-ethnicity" TargetMode="External"/><Relationship Id="rId10" Type="http://schemas.openxmlformats.org/officeDocument/2006/relationships/footer" Target="footer3.xml"/><Relationship Id="rId31" Type="http://schemas.openxmlformats.org/officeDocument/2006/relationships/hyperlink" Target="https://doi.org/10.1016/j.chiabu.2009.09.020" TargetMode="External"/><Relationship Id="rId44" Type="http://schemas.openxmlformats.org/officeDocument/2006/relationships/hyperlink" Target="https://doi.org/10.1037/a0037799" TargetMode="External"/><Relationship Id="rId52" Type="http://schemas.openxmlformats.org/officeDocument/2006/relationships/hyperlink" Target="https://doi.org/10.1002/pits/20054" TargetMode="External"/><Relationship Id="rId60" Type="http://schemas.openxmlformats.org/officeDocument/2006/relationships/hyperlink" Target="https://doi.org/10.1016/j.childyouth.2015.12.012" TargetMode="External"/><Relationship Id="rId65" Type="http://schemas.openxmlformats.org/officeDocument/2006/relationships/hyperlink" Target="https://doi.org/10/1016/j.chiabu.2016.12.009"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hyperlink" Target="https://doi.org/10.1016/j.childyouth.2022.106537" TargetMode="External"/><Relationship Id="rId34" Type="http://schemas.openxmlformats.org/officeDocument/2006/relationships/hyperlink" Target="https://doi.org/10.1016/j.childyouth.2019.01.026" TargetMode="External"/><Relationship Id="rId50" Type="http://schemas.openxmlformats.org/officeDocument/2006/relationships/hyperlink" Target="https://doi-org.ezproxy.lib.ou.edu/10.1007/s10896-021-00282-5" TargetMode="External"/><Relationship Id="rId55" Type="http://schemas.openxmlformats.org/officeDocument/2006/relationships/hyperlink" Target="https://doi.org/10.1177/15424838021101312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Sheet1!$A$7</c:f>
              <c:strCache>
                <c:ptCount val="1"/>
                <c:pt idx="0">
                  <c:v>LGBQ</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Sheet1!$B$6:$D$6</c:f>
              <c:strCache>
                <c:ptCount val="3"/>
                <c:pt idx="0">
                  <c:v>Low Peer Support</c:v>
                </c:pt>
                <c:pt idx="1">
                  <c:v>Medium Peer Support</c:v>
                </c:pt>
                <c:pt idx="2">
                  <c:v>High Peer Support</c:v>
                </c:pt>
              </c:strCache>
            </c:strRef>
          </c:cat>
          <c:val>
            <c:numRef>
              <c:f>Sheet1!$B$7:$D$7</c:f>
              <c:numCache>
                <c:formatCode>General</c:formatCode>
                <c:ptCount val="3"/>
                <c:pt idx="0">
                  <c:v>37.19</c:v>
                </c:pt>
                <c:pt idx="1">
                  <c:v>35.369999999999997</c:v>
                </c:pt>
                <c:pt idx="2">
                  <c:v>32.11</c:v>
                </c:pt>
              </c:numCache>
            </c:numRef>
          </c:val>
          <c:extLst>
            <c:ext xmlns:c16="http://schemas.microsoft.com/office/drawing/2014/chart" uri="{C3380CC4-5D6E-409C-BE32-E72D297353CC}">
              <c16:uniqueId val="{00000000-B987-4C33-9516-53B8C71D6349}"/>
            </c:ext>
          </c:extLst>
        </c:ser>
        <c:ser>
          <c:idx val="1"/>
          <c:order val="1"/>
          <c:tx>
            <c:strRef>
              <c:f>Sheet1!$A$8</c:f>
              <c:strCache>
                <c:ptCount val="1"/>
                <c:pt idx="0">
                  <c:v>Non-LGBQ</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Sheet1!$B$6:$D$6</c:f>
              <c:strCache>
                <c:ptCount val="3"/>
                <c:pt idx="0">
                  <c:v>Low Peer Support</c:v>
                </c:pt>
                <c:pt idx="1">
                  <c:v>Medium Peer Support</c:v>
                </c:pt>
                <c:pt idx="2">
                  <c:v>High Peer Support</c:v>
                </c:pt>
              </c:strCache>
            </c:strRef>
          </c:cat>
          <c:val>
            <c:numRef>
              <c:f>Sheet1!$B$8:$D$8</c:f>
              <c:numCache>
                <c:formatCode>General</c:formatCode>
                <c:ptCount val="3"/>
                <c:pt idx="0">
                  <c:v>38.29</c:v>
                </c:pt>
                <c:pt idx="1">
                  <c:v>36.32</c:v>
                </c:pt>
                <c:pt idx="2">
                  <c:v>34.299999999999997</c:v>
                </c:pt>
              </c:numCache>
            </c:numRef>
          </c:val>
          <c:extLst>
            <c:ext xmlns:c16="http://schemas.microsoft.com/office/drawing/2014/chart" uri="{C3380CC4-5D6E-409C-BE32-E72D297353CC}">
              <c16:uniqueId val="{00000001-B987-4C33-9516-53B8C71D6349}"/>
            </c:ext>
          </c:extLst>
        </c:ser>
        <c:dLbls>
          <c:showLegendKey val="0"/>
          <c:showVal val="0"/>
          <c:showCatName val="0"/>
          <c:showSerName val="0"/>
          <c:showPercent val="0"/>
          <c:showBubbleSize val="0"/>
        </c:dLbls>
        <c:gapWidth val="219"/>
        <c:overlap val="-27"/>
        <c:axId val="173788816"/>
        <c:axId val="173789296"/>
      </c:barChart>
      <c:catAx>
        <c:axId val="17378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3789296"/>
        <c:crosses val="autoZero"/>
        <c:auto val="1"/>
        <c:lblAlgn val="ctr"/>
        <c:lblOffset val="100"/>
        <c:noMultiLvlLbl val="0"/>
      </c:catAx>
      <c:valAx>
        <c:axId val="1737892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Predicted</a:t>
                </a:r>
                <a:r>
                  <a:rPr lang="en-US" baseline="0">
                    <a:latin typeface="Times New Roman" panose="02020603050405020304" pitchFamily="18" charset="0"/>
                    <a:cs typeface="Times New Roman" panose="02020603050405020304" pitchFamily="18" charset="0"/>
                  </a:rPr>
                  <a:t> Probabilities</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3788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94BE5-361B-E341-9EAE-C0E488E35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148</Pages>
  <Words>127600</Words>
  <Characters>727320</Characters>
  <Application>Microsoft Office Word</Application>
  <DocSecurity>0</DocSecurity>
  <Lines>6061</Lines>
  <Paragraphs>1706</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853214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Lepper-Pappan, Heather M.</dc:creator>
  <cp:keywords/>
  <dc:description/>
  <cp:lastModifiedBy>Lepper-Pappan, Heather M.</cp:lastModifiedBy>
  <cp:revision>10</cp:revision>
  <dcterms:created xsi:type="dcterms:W3CDTF">2024-04-29T16:09:00Z</dcterms:created>
  <dcterms:modified xsi:type="dcterms:W3CDTF">2024-04-30T16:14:00Z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id="YBZhZeV1"/&gt;&lt;style id="http://www.zotero.org/styles/american-sociological-association" locale="en-US"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ies>
</file>