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82C995" w14:textId="77777777" w:rsidR="00A94EF3" w:rsidRPr="00DA4CEC" w:rsidRDefault="00A94EF3" w:rsidP="00A94EF3">
      <w:pPr>
        <w:pStyle w:val="NoSpacing"/>
        <w:jc w:val="center"/>
        <w:rPr>
          <w:caps/>
        </w:rPr>
      </w:pPr>
      <w:r w:rsidRPr="00DA4CEC">
        <w:rPr>
          <w:caps/>
        </w:rPr>
        <w:t>University of Oklahoma</w:t>
      </w:r>
    </w:p>
    <w:p w14:paraId="0E7C2197" w14:textId="77777777" w:rsidR="00A94EF3" w:rsidRPr="00DA4CEC" w:rsidRDefault="00A94EF3" w:rsidP="00A94EF3">
      <w:pPr>
        <w:pStyle w:val="NoSpacing"/>
        <w:jc w:val="center"/>
        <w:rPr>
          <w:caps/>
        </w:rPr>
      </w:pPr>
    </w:p>
    <w:p w14:paraId="4B2143C5" w14:textId="77777777" w:rsidR="00A94EF3" w:rsidRPr="00DA4CEC" w:rsidRDefault="00A94EF3" w:rsidP="00A94EF3">
      <w:pPr>
        <w:pStyle w:val="NoSpacing"/>
        <w:jc w:val="center"/>
        <w:rPr>
          <w:caps/>
        </w:rPr>
      </w:pPr>
      <w:r w:rsidRPr="00DA4CEC">
        <w:rPr>
          <w:caps/>
        </w:rPr>
        <w:t>Graduate College</w:t>
      </w:r>
    </w:p>
    <w:p w14:paraId="5631B2F5" w14:textId="77777777" w:rsidR="00A94EF3" w:rsidRPr="00DA4CEC" w:rsidRDefault="00A94EF3" w:rsidP="00A94EF3">
      <w:pPr>
        <w:pStyle w:val="NoSpacing"/>
        <w:jc w:val="center"/>
        <w:rPr>
          <w:caps/>
        </w:rPr>
      </w:pPr>
    </w:p>
    <w:p w14:paraId="4BAB4B67" w14:textId="77777777" w:rsidR="00A94EF3" w:rsidRPr="00DA4CEC" w:rsidRDefault="00A94EF3" w:rsidP="00A94EF3">
      <w:pPr>
        <w:pStyle w:val="NoSpacing"/>
        <w:jc w:val="center"/>
        <w:rPr>
          <w:caps/>
        </w:rPr>
      </w:pPr>
    </w:p>
    <w:p w14:paraId="05788590" w14:textId="77777777" w:rsidR="00A94EF3" w:rsidRPr="00DA4CEC" w:rsidRDefault="00A94EF3" w:rsidP="00A94EF3">
      <w:pPr>
        <w:pStyle w:val="NoSpacing"/>
        <w:jc w:val="center"/>
        <w:rPr>
          <w:caps/>
        </w:rPr>
      </w:pPr>
    </w:p>
    <w:p w14:paraId="7BA8A24D" w14:textId="77777777" w:rsidR="00A94EF3" w:rsidRPr="00DA4CEC" w:rsidRDefault="00A94EF3" w:rsidP="00A94EF3">
      <w:pPr>
        <w:pStyle w:val="NoSpacing"/>
        <w:jc w:val="center"/>
        <w:rPr>
          <w:caps/>
        </w:rPr>
      </w:pPr>
    </w:p>
    <w:p w14:paraId="0F675EA2" w14:textId="77777777" w:rsidR="00A94EF3" w:rsidRPr="00DA4CEC" w:rsidRDefault="00A94EF3" w:rsidP="00A94EF3">
      <w:pPr>
        <w:pStyle w:val="NoSpacing"/>
        <w:jc w:val="center"/>
        <w:rPr>
          <w:caps/>
        </w:rPr>
      </w:pPr>
    </w:p>
    <w:p w14:paraId="0BA62DAB" w14:textId="77777777" w:rsidR="00A94EF3" w:rsidRPr="00DA4CEC" w:rsidRDefault="00A94EF3" w:rsidP="00A94EF3">
      <w:pPr>
        <w:pStyle w:val="NoSpacing"/>
        <w:jc w:val="center"/>
        <w:rPr>
          <w:caps/>
        </w:rPr>
      </w:pPr>
    </w:p>
    <w:p w14:paraId="0132B12C" w14:textId="77777777" w:rsidR="00A94EF3" w:rsidRPr="00DA4CEC" w:rsidRDefault="00A94EF3" w:rsidP="00A94EF3">
      <w:pPr>
        <w:pStyle w:val="NoSpacing"/>
        <w:spacing w:line="480" w:lineRule="auto"/>
        <w:jc w:val="center"/>
        <w:rPr>
          <w:caps/>
        </w:rPr>
      </w:pPr>
      <w:r w:rsidRPr="00DA4CEC">
        <w:rPr>
          <w:caps/>
        </w:rPr>
        <w:t xml:space="preserve">IMPACT OF PHOTOOXIDATION AND BIODEGRADATION ON THE FATE OF THE OIL SPILLED DURING THE DEEPWATER HORIZON INCIDENT: </w:t>
      </w:r>
    </w:p>
    <w:p w14:paraId="10C3935E" w14:textId="77777777" w:rsidR="00A94EF3" w:rsidRPr="00DA4CEC" w:rsidRDefault="00A94EF3" w:rsidP="00A94EF3">
      <w:pPr>
        <w:pStyle w:val="NoSpacing"/>
        <w:spacing w:line="480" w:lineRule="auto"/>
        <w:jc w:val="center"/>
        <w:rPr>
          <w:caps/>
        </w:rPr>
      </w:pPr>
      <w:r w:rsidRPr="00DA4CEC">
        <w:rPr>
          <w:caps/>
        </w:rPr>
        <w:t>THE ADVANCED STAGES OF WEATHERING</w:t>
      </w:r>
    </w:p>
    <w:p w14:paraId="39F94156" w14:textId="77777777" w:rsidR="00A94EF3" w:rsidRPr="00DA4CEC" w:rsidRDefault="00A94EF3" w:rsidP="00A94EF3">
      <w:pPr>
        <w:pStyle w:val="NoSpacing"/>
        <w:spacing w:line="480" w:lineRule="auto"/>
        <w:jc w:val="center"/>
        <w:rPr>
          <w:caps/>
        </w:rPr>
      </w:pPr>
    </w:p>
    <w:p w14:paraId="2A4C4A76" w14:textId="77777777" w:rsidR="00A94EF3" w:rsidRPr="00DA4CEC" w:rsidRDefault="00A94EF3" w:rsidP="00A94EF3">
      <w:pPr>
        <w:pStyle w:val="NoSpacing"/>
        <w:jc w:val="center"/>
        <w:rPr>
          <w:caps/>
        </w:rPr>
      </w:pPr>
    </w:p>
    <w:p w14:paraId="4BD1544D" w14:textId="77777777" w:rsidR="00A94EF3" w:rsidRPr="00DA4CEC" w:rsidRDefault="00A94EF3" w:rsidP="00A94EF3">
      <w:pPr>
        <w:pStyle w:val="NoSpacing"/>
        <w:jc w:val="center"/>
        <w:rPr>
          <w:caps/>
        </w:rPr>
      </w:pPr>
    </w:p>
    <w:p w14:paraId="389BFA18" w14:textId="77777777" w:rsidR="00A94EF3" w:rsidRPr="00DA4CEC" w:rsidRDefault="00A94EF3" w:rsidP="00A94EF3">
      <w:pPr>
        <w:pStyle w:val="NoSpacing"/>
        <w:jc w:val="center"/>
        <w:rPr>
          <w:caps/>
        </w:rPr>
      </w:pPr>
    </w:p>
    <w:p w14:paraId="52D648AE" w14:textId="77777777" w:rsidR="00A94EF3" w:rsidRPr="00DA4CEC" w:rsidRDefault="00A94EF3" w:rsidP="00A94EF3">
      <w:pPr>
        <w:pStyle w:val="NoSpacing"/>
        <w:jc w:val="center"/>
        <w:rPr>
          <w:caps/>
        </w:rPr>
      </w:pPr>
    </w:p>
    <w:p w14:paraId="01AF0C83" w14:textId="77777777" w:rsidR="00A94EF3" w:rsidRPr="00DA4CEC" w:rsidRDefault="00A94EF3" w:rsidP="00A94EF3">
      <w:pPr>
        <w:pStyle w:val="NoSpacing"/>
        <w:jc w:val="center"/>
        <w:rPr>
          <w:caps/>
        </w:rPr>
      </w:pPr>
    </w:p>
    <w:p w14:paraId="337FB424" w14:textId="77777777" w:rsidR="00A94EF3" w:rsidRPr="00DA4CEC" w:rsidRDefault="00A94EF3" w:rsidP="00A94EF3">
      <w:pPr>
        <w:pStyle w:val="NoSpacing"/>
        <w:jc w:val="center"/>
        <w:rPr>
          <w:caps/>
        </w:rPr>
      </w:pPr>
    </w:p>
    <w:p w14:paraId="452E858C" w14:textId="77777777" w:rsidR="00A94EF3" w:rsidRPr="00DA4CEC" w:rsidRDefault="00A94EF3" w:rsidP="00A94EF3">
      <w:pPr>
        <w:pStyle w:val="NoSpacing"/>
        <w:jc w:val="center"/>
        <w:rPr>
          <w:caps/>
        </w:rPr>
      </w:pPr>
      <w:r w:rsidRPr="00DA4CEC">
        <w:rPr>
          <w:caps/>
        </w:rPr>
        <w:t>A thesis</w:t>
      </w:r>
    </w:p>
    <w:p w14:paraId="24C62CBE" w14:textId="77777777" w:rsidR="00A94EF3" w:rsidRPr="00DA4CEC" w:rsidRDefault="00A94EF3" w:rsidP="00A94EF3">
      <w:pPr>
        <w:pStyle w:val="NoSpacing"/>
        <w:jc w:val="center"/>
        <w:rPr>
          <w:caps/>
        </w:rPr>
      </w:pPr>
    </w:p>
    <w:p w14:paraId="61AF498A" w14:textId="77777777" w:rsidR="00A94EF3" w:rsidRPr="00DA4CEC" w:rsidRDefault="00A94EF3" w:rsidP="00A94EF3">
      <w:pPr>
        <w:pStyle w:val="NoSpacing"/>
        <w:jc w:val="center"/>
        <w:rPr>
          <w:caps/>
        </w:rPr>
      </w:pPr>
      <w:r w:rsidRPr="00DA4CEC">
        <w:rPr>
          <w:caps/>
        </w:rPr>
        <w:t>submitted to the Graduate Faculty</w:t>
      </w:r>
    </w:p>
    <w:p w14:paraId="1CA52F24" w14:textId="77777777" w:rsidR="00A94EF3" w:rsidRPr="00DA4CEC" w:rsidRDefault="00A94EF3" w:rsidP="00A94EF3">
      <w:pPr>
        <w:pStyle w:val="NoSpacing"/>
        <w:jc w:val="center"/>
      </w:pPr>
    </w:p>
    <w:p w14:paraId="080E4329" w14:textId="77777777" w:rsidR="00A94EF3" w:rsidRPr="00DA4CEC" w:rsidRDefault="00A94EF3" w:rsidP="00A94EF3">
      <w:pPr>
        <w:pStyle w:val="NoSpacing"/>
        <w:jc w:val="center"/>
      </w:pPr>
      <w:r w:rsidRPr="00DA4CEC">
        <w:t>in partial fulfillment of the requirements for the</w:t>
      </w:r>
    </w:p>
    <w:p w14:paraId="26332F86" w14:textId="77777777" w:rsidR="00A94EF3" w:rsidRPr="00DA4CEC" w:rsidRDefault="00A94EF3" w:rsidP="00A94EF3">
      <w:pPr>
        <w:pStyle w:val="NoSpacing"/>
        <w:jc w:val="center"/>
      </w:pPr>
    </w:p>
    <w:p w14:paraId="14B2E0EE" w14:textId="77777777" w:rsidR="00A94EF3" w:rsidRPr="00DA4CEC" w:rsidRDefault="00A94EF3" w:rsidP="00A94EF3">
      <w:pPr>
        <w:pStyle w:val="NoSpacing"/>
        <w:jc w:val="center"/>
      </w:pPr>
      <w:r w:rsidRPr="00DA4CEC">
        <w:t>Degree of</w:t>
      </w:r>
    </w:p>
    <w:p w14:paraId="2D6BB53F" w14:textId="77777777" w:rsidR="00A94EF3" w:rsidRPr="00DA4CEC" w:rsidRDefault="00A94EF3" w:rsidP="00A94EF3">
      <w:pPr>
        <w:pStyle w:val="NoSpacing"/>
        <w:jc w:val="center"/>
        <w:rPr>
          <w:caps/>
        </w:rPr>
      </w:pPr>
    </w:p>
    <w:p w14:paraId="181500DD" w14:textId="77777777" w:rsidR="00A94EF3" w:rsidRPr="00DA4CEC" w:rsidRDefault="00A94EF3" w:rsidP="00A94EF3">
      <w:pPr>
        <w:pStyle w:val="NoSpacing"/>
        <w:jc w:val="center"/>
      </w:pPr>
      <w:r w:rsidRPr="00DA4CEC">
        <w:rPr>
          <w:caps/>
        </w:rPr>
        <w:t>MASTER OF SCIENCE</w:t>
      </w:r>
    </w:p>
    <w:p w14:paraId="78CEE2FE" w14:textId="77777777" w:rsidR="00A94EF3" w:rsidRPr="00DA4CEC" w:rsidRDefault="00A94EF3" w:rsidP="00A94EF3">
      <w:pPr>
        <w:pStyle w:val="NoSpacing"/>
        <w:jc w:val="center"/>
      </w:pPr>
    </w:p>
    <w:p w14:paraId="33E719C5" w14:textId="77777777" w:rsidR="00A94EF3" w:rsidRPr="00DA4CEC" w:rsidRDefault="00A94EF3" w:rsidP="00A94EF3">
      <w:pPr>
        <w:pStyle w:val="NoSpacing"/>
        <w:jc w:val="center"/>
      </w:pPr>
    </w:p>
    <w:p w14:paraId="43D458D5" w14:textId="77777777" w:rsidR="00A94EF3" w:rsidRPr="00DA4CEC" w:rsidRDefault="00A94EF3" w:rsidP="00A94EF3">
      <w:pPr>
        <w:pStyle w:val="NoSpacing"/>
        <w:jc w:val="center"/>
      </w:pPr>
    </w:p>
    <w:p w14:paraId="4460BB0C" w14:textId="77777777" w:rsidR="00A94EF3" w:rsidRPr="00DA4CEC" w:rsidRDefault="00A94EF3" w:rsidP="00A94EF3">
      <w:pPr>
        <w:pStyle w:val="NoSpacing"/>
        <w:jc w:val="center"/>
      </w:pPr>
    </w:p>
    <w:p w14:paraId="4DF482C4" w14:textId="77777777" w:rsidR="00A94EF3" w:rsidRPr="00DA4CEC" w:rsidRDefault="00A94EF3" w:rsidP="00A94EF3">
      <w:pPr>
        <w:pStyle w:val="NoSpacing"/>
        <w:jc w:val="center"/>
      </w:pPr>
    </w:p>
    <w:p w14:paraId="38497704" w14:textId="77777777" w:rsidR="00A94EF3" w:rsidRPr="00DA4CEC" w:rsidRDefault="00A94EF3" w:rsidP="00A94EF3">
      <w:pPr>
        <w:pStyle w:val="NoSpacing"/>
        <w:jc w:val="center"/>
      </w:pPr>
    </w:p>
    <w:p w14:paraId="756797D0" w14:textId="77777777" w:rsidR="00A94EF3" w:rsidRPr="00DA4CEC" w:rsidRDefault="00A94EF3" w:rsidP="00A94EF3">
      <w:pPr>
        <w:pStyle w:val="NoSpacing"/>
        <w:jc w:val="center"/>
      </w:pPr>
    </w:p>
    <w:p w14:paraId="2237EBB8" w14:textId="77777777" w:rsidR="00A94EF3" w:rsidRPr="00DA4CEC" w:rsidRDefault="00A94EF3" w:rsidP="00A94EF3">
      <w:pPr>
        <w:pStyle w:val="NoSpacing"/>
        <w:jc w:val="center"/>
      </w:pPr>
    </w:p>
    <w:p w14:paraId="565AADB6" w14:textId="77777777" w:rsidR="00A94EF3" w:rsidRPr="00DA4CEC" w:rsidRDefault="00A94EF3" w:rsidP="00A94EF3">
      <w:pPr>
        <w:pStyle w:val="NoSpacing"/>
        <w:jc w:val="center"/>
      </w:pPr>
      <w:r w:rsidRPr="00DA4CEC">
        <w:t>By</w:t>
      </w:r>
    </w:p>
    <w:p w14:paraId="6FC6FDF9" w14:textId="77777777" w:rsidR="00A94EF3" w:rsidRPr="00DA4CEC" w:rsidRDefault="00A94EF3" w:rsidP="00A94EF3">
      <w:pPr>
        <w:pStyle w:val="NoSpacing"/>
        <w:jc w:val="center"/>
      </w:pPr>
    </w:p>
    <w:p w14:paraId="400A3803" w14:textId="77777777" w:rsidR="00A94EF3" w:rsidRPr="00DA4CEC" w:rsidRDefault="00A94EF3" w:rsidP="00A94EF3">
      <w:pPr>
        <w:pStyle w:val="NoSpacing"/>
        <w:jc w:val="center"/>
      </w:pPr>
      <w:r w:rsidRPr="00DA4CEC">
        <w:t>BRIAN HEATH HARRIMAN</w:t>
      </w:r>
    </w:p>
    <w:p w14:paraId="63139CFC" w14:textId="77777777" w:rsidR="00A94EF3" w:rsidRPr="00DA4CEC" w:rsidRDefault="00A94EF3" w:rsidP="00A94EF3">
      <w:pPr>
        <w:pStyle w:val="NoSpacing"/>
        <w:jc w:val="center"/>
      </w:pPr>
      <w:r w:rsidRPr="00DA4CEC">
        <w:t>Norman, Oklahoma</w:t>
      </w:r>
    </w:p>
    <w:p w14:paraId="027A5DD8" w14:textId="77777777" w:rsidR="00A94EF3" w:rsidRPr="00DA4CEC" w:rsidRDefault="00A94EF3" w:rsidP="00A94EF3">
      <w:pPr>
        <w:pStyle w:val="NoSpacing"/>
        <w:jc w:val="center"/>
      </w:pPr>
      <w:r w:rsidRPr="00DA4CEC">
        <w:t>2016</w:t>
      </w:r>
    </w:p>
    <w:p w14:paraId="2B6EE955" w14:textId="77777777" w:rsidR="00A94EF3" w:rsidRPr="00DA4CEC" w:rsidRDefault="00A94EF3" w:rsidP="00A94EF3">
      <w:pPr>
        <w:pStyle w:val="NoSpacing"/>
        <w:jc w:val="center"/>
      </w:pPr>
      <w:r w:rsidRPr="00DA4CEC">
        <w:br w:type="page"/>
      </w:r>
    </w:p>
    <w:p w14:paraId="58FA2EC2" w14:textId="77777777" w:rsidR="00A94EF3" w:rsidRPr="00DA4CEC" w:rsidRDefault="00A94EF3" w:rsidP="00A94EF3">
      <w:pPr>
        <w:pStyle w:val="NoSpacing"/>
        <w:jc w:val="center"/>
      </w:pPr>
    </w:p>
    <w:p w14:paraId="10E0A0E5" w14:textId="77777777" w:rsidR="00A94EF3" w:rsidRPr="00DA4CEC" w:rsidRDefault="00A94EF3" w:rsidP="00A94EF3">
      <w:pPr>
        <w:pStyle w:val="NoSpacing"/>
        <w:jc w:val="center"/>
      </w:pPr>
    </w:p>
    <w:p w14:paraId="1489318F" w14:textId="77777777" w:rsidR="00A94EF3" w:rsidRPr="00DA4CEC" w:rsidRDefault="00A94EF3" w:rsidP="00A94EF3">
      <w:pPr>
        <w:pStyle w:val="NoSpacing"/>
        <w:jc w:val="center"/>
      </w:pPr>
    </w:p>
    <w:p w14:paraId="6E3EEF8C" w14:textId="77777777" w:rsidR="00A94EF3" w:rsidRPr="00DA4CEC" w:rsidRDefault="00A94EF3" w:rsidP="00A94EF3">
      <w:pPr>
        <w:pStyle w:val="NoSpacing"/>
        <w:jc w:val="center"/>
      </w:pPr>
    </w:p>
    <w:p w14:paraId="7F78BB53" w14:textId="77777777" w:rsidR="00A94EF3" w:rsidRPr="00DA4CEC" w:rsidRDefault="00A94EF3" w:rsidP="00A94EF3">
      <w:pPr>
        <w:pStyle w:val="NoSpacing"/>
        <w:jc w:val="center"/>
      </w:pPr>
    </w:p>
    <w:p w14:paraId="55B76DE4" w14:textId="77777777" w:rsidR="00A94EF3" w:rsidRPr="00DA4CEC" w:rsidRDefault="00A94EF3" w:rsidP="00A94EF3">
      <w:pPr>
        <w:pStyle w:val="NoSpacing"/>
        <w:jc w:val="center"/>
        <w:rPr>
          <w:caps/>
        </w:rPr>
      </w:pPr>
      <w:r w:rsidRPr="00DA4CEC">
        <w:rPr>
          <w:caps/>
        </w:rPr>
        <w:t xml:space="preserve">IMPACT OF PHOTOOXIDATION AND BIODEGRADATION ON THE FATE OF THE OIL SPILLED DURING THE DEEPWATER HORIZON INCIDENT: </w:t>
      </w:r>
    </w:p>
    <w:p w14:paraId="78FF9EB7" w14:textId="77777777" w:rsidR="00A94EF3" w:rsidRPr="00DA4CEC" w:rsidRDefault="00A94EF3" w:rsidP="00A94EF3">
      <w:pPr>
        <w:pStyle w:val="NoSpacing"/>
        <w:jc w:val="center"/>
        <w:rPr>
          <w:caps/>
        </w:rPr>
      </w:pPr>
      <w:r w:rsidRPr="00DA4CEC">
        <w:rPr>
          <w:caps/>
        </w:rPr>
        <w:t>THE ADVANCED STAGES OF WEATHERING</w:t>
      </w:r>
    </w:p>
    <w:p w14:paraId="0178B8FD" w14:textId="77777777" w:rsidR="00A94EF3" w:rsidRPr="00DA4CEC" w:rsidRDefault="00A94EF3" w:rsidP="00A94EF3">
      <w:pPr>
        <w:pStyle w:val="NoSpacing"/>
        <w:jc w:val="center"/>
        <w:rPr>
          <w:caps/>
        </w:rPr>
      </w:pPr>
    </w:p>
    <w:p w14:paraId="0F5D619C" w14:textId="77777777" w:rsidR="00A94EF3" w:rsidRPr="00DA4CEC" w:rsidRDefault="00A94EF3" w:rsidP="00A94EF3">
      <w:pPr>
        <w:pStyle w:val="NoSpacing"/>
        <w:jc w:val="center"/>
        <w:rPr>
          <w:caps/>
        </w:rPr>
      </w:pPr>
    </w:p>
    <w:p w14:paraId="0C764AC9" w14:textId="77777777" w:rsidR="00A94EF3" w:rsidRPr="00DA4CEC" w:rsidRDefault="00A94EF3" w:rsidP="00A94EF3">
      <w:pPr>
        <w:pStyle w:val="NoSpacing"/>
        <w:jc w:val="center"/>
        <w:rPr>
          <w:caps/>
        </w:rPr>
      </w:pPr>
      <w:r w:rsidRPr="00DA4CEC">
        <w:rPr>
          <w:caps/>
        </w:rPr>
        <w:t>A thesis approved for the</w:t>
      </w:r>
    </w:p>
    <w:p w14:paraId="311FA6F9" w14:textId="77777777" w:rsidR="00A94EF3" w:rsidRPr="00DA4CEC" w:rsidRDefault="00A94EF3" w:rsidP="00A94EF3">
      <w:pPr>
        <w:pStyle w:val="NoSpacing"/>
        <w:jc w:val="center"/>
        <w:rPr>
          <w:caps/>
        </w:rPr>
      </w:pPr>
      <w:r w:rsidRPr="00DA4CEC">
        <w:rPr>
          <w:caps/>
        </w:rPr>
        <w:t>DEPARTMENT OF MICROBIOLOGY AND PLANT BIOLOGY</w:t>
      </w:r>
    </w:p>
    <w:p w14:paraId="26556527" w14:textId="77777777" w:rsidR="00A94EF3" w:rsidRPr="00DA4CEC" w:rsidRDefault="00A94EF3" w:rsidP="00A94EF3">
      <w:pPr>
        <w:pStyle w:val="NoSpacing"/>
        <w:jc w:val="center"/>
        <w:rPr>
          <w:caps/>
        </w:rPr>
      </w:pPr>
    </w:p>
    <w:p w14:paraId="35165E53" w14:textId="77777777" w:rsidR="00A94EF3" w:rsidRPr="00DA4CEC" w:rsidRDefault="00A94EF3" w:rsidP="00A94EF3">
      <w:pPr>
        <w:pStyle w:val="NoSpacing"/>
        <w:jc w:val="center"/>
        <w:rPr>
          <w:caps/>
        </w:rPr>
      </w:pPr>
    </w:p>
    <w:p w14:paraId="362D6D7B" w14:textId="77777777" w:rsidR="00A94EF3" w:rsidRPr="00DA4CEC" w:rsidRDefault="00A94EF3" w:rsidP="00A94EF3">
      <w:pPr>
        <w:pStyle w:val="NoSpacing"/>
        <w:jc w:val="center"/>
        <w:rPr>
          <w:caps/>
        </w:rPr>
      </w:pPr>
    </w:p>
    <w:p w14:paraId="07CDE948" w14:textId="77777777" w:rsidR="00A94EF3" w:rsidRPr="00DA4CEC" w:rsidRDefault="00A94EF3" w:rsidP="00A94EF3">
      <w:pPr>
        <w:pStyle w:val="NoSpacing"/>
        <w:jc w:val="center"/>
        <w:rPr>
          <w:caps/>
        </w:rPr>
      </w:pPr>
    </w:p>
    <w:p w14:paraId="017B2602" w14:textId="77777777" w:rsidR="00A94EF3" w:rsidRPr="00DA4CEC" w:rsidRDefault="00A94EF3" w:rsidP="00A94EF3">
      <w:pPr>
        <w:pStyle w:val="NoSpacing"/>
        <w:jc w:val="center"/>
        <w:rPr>
          <w:caps/>
        </w:rPr>
      </w:pPr>
    </w:p>
    <w:p w14:paraId="6C6DCCB4" w14:textId="77777777" w:rsidR="00A94EF3" w:rsidRPr="00DA4CEC" w:rsidRDefault="00A94EF3" w:rsidP="00A94EF3">
      <w:pPr>
        <w:pStyle w:val="NoSpacing"/>
        <w:jc w:val="center"/>
        <w:rPr>
          <w:caps/>
        </w:rPr>
      </w:pPr>
    </w:p>
    <w:p w14:paraId="4B52F526" w14:textId="77777777" w:rsidR="00A94EF3" w:rsidRPr="00DA4CEC" w:rsidRDefault="00A94EF3" w:rsidP="00A94EF3">
      <w:pPr>
        <w:pStyle w:val="NoSpacing"/>
        <w:jc w:val="center"/>
        <w:rPr>
          <w:caps/>
        </w:rPr>
      </w:pPr>
    </w:p>
    <w:p w14:paraId="48939D6D" w14:textId="77777777" w:rsidR="00A94EF3" w:rsidRPr="00DA4CEC" w:rsidRDefault="00A94EF3" w:rsidP="00A94EF3">
      <w:pPr>
        <w:pStyle w:val="NoSpacing"/>
        <w:jc w:val="center"/>
        <w:rPr>
          <w:caps/>
        </w:rPr>
      </w:pPr>
    </w:p>
    <w:p w14:paraId="620B4AA4" w14:textId="77777777" w:rsidR="00A94EF3" w:rsidRPr="00DA4CEC" w:rsidRDefault="00A94EF3" w:rsidP="00A94EF3">
      <w:pPr>
        <w:pStyle w:val="NoSpacing"/>
        <w:jc w:val="center"/>
        <w:rPr>
          <w:caps/>
        </w:rPr>
      </w:pPr>
      <w:r w:rsidRPr="00DA4CEC">
        <w:rPr>
          <w:caps/>
        </w:rPr>
        <w:t>By</w:t>
      </w:r>
    </w:p>
    <w:p w14:paraId="663B72EE" w14:textId="77777777" w:rsidR="00A94EF3" w:rsidRPr="00DA4CEC" w:rsidRDefault="00A94EF3" w:rsidP="00A94EF3">
      <w:pPr>
        <w:pStyle w:val="NoSpacing"/>
        <w:jc w:val="center"/>
      </w:pPr>
    </w:p>
    <w:p w14:paraId="11B5103F" w14:textId="77777777" w:rsidR="00A94EF3" w:rsidRPr="00DA4CEC" w:rsidRDefault="00A94EF3" w:rsidP="00A94EF3">
      <w:pPr>
        <w:pStyle w:val="NoSpacing"/>
        <w:jc w:val="center"/>
      </w:pPr>
    </w:p>
    <w:p w14:paraId="6A3CF70F" w14:textId="77777777" w:rsidR="00A94EF3" w:rsidRPr="00DA4CEC" w:rsidRDefault="00A94EF3" w:rsidP="00A94EF3">
      <w:pPr>
        <w:pStyle w:val="NoSpacing"/>
        <w:jc w:val="center"/>
      </w:pPr>
    </w:p>
    <w:p w14:paraId="3FDEE0CD" w14:textId="77777777" w:rsidR="00A94EF3" w:rsidRPr="00DA4CEC" w:rsidRDefault="00A94EF3" w:rsidP="00A94EF3">
      <w:pPr>
        <w:pStyle w:val="NoSpacing"/>
        <w:jc w:val="right"/>
      </w:pPr>
      <w:r w:rsidRPr="00DA4CEC">
        <w:t>______________________________</w:t>
      </w:r>
    </w:p>
    <w:p w14:paraId="6462F6F5" w14:textId="77777777" w:rsidR="00A94EF3" w:rsidRPr="00DA4CEC" w:rsidRDefault="00A94EF3" w:rsidP="00A94EF3">
      <w:pPr>
        <w:pStyle w:val="NoSpacing"/>
        <w:jc w:val="right"/>
      </w:pPr>
      <w:r w:rsidRPr="00DA4CEC">
        <w:t>Dr. Joseph M. Suflita, Chair</w:t>
      </w:r>
    </w:p>
    <w:p w14:paraId="43A8F0B7" w14:textId="77777777" w:rsidR="00A94EF3" w:rsidRPr="00DA4CEC" w:rsidRDefault="00A94EF3" w:rsidP="00A94EF3">
      <w:pPr>
        <w:pStyle w:val="NoSpacing"/>
        <w:jc w:val="right"/>
      </w:pPr>
    </w:p>
    <w:p w14:paraId="432782E8" w14:textId="77777777" w:rsidR="00A94EF3" w:rsidRPr="00DA4CEC" w:rsidRDefault="00A94EF3" w:rsidP="00A94EF3">
      <w:pPr>
        <w:pStyle w:val="NoSpacing"/>
        <w:jc w:val="right"/>
      </w:pPr>
    </w:p>
    <w:p w14:paraId="5DD5E3BC" w14:textId="77777777" w:rsidR="00A94EF3" w:rsidRPr="00DA4CEC" w:rsidRDefault="00A94EF3" w:rsidP="00A94EF3">
      <w:pPr>
        <w:pStyle w:val="NoSpacing"/>
        <w:jc w:val="right"/>
      </w:pPr>
      <w:r w:rsidRPr="00DA4CEC">
        <w:t>______________________________</w:t>
      </w:r>
    </w:p>
    <w:p w14:paraId="718E7AE3" w14:textId="77777777" w:rsidR="00A94EF3" w:rsidRPr="00DA4CEC" w:rsidRDefault="00A94EF3" w:rsidP="00A94EF3">
      <w:pPr>
        <w:pStyle w:val="NoSpacing"/>
        <w:jc w:val="right"/>
      </w:pPr>
      <w:r w:rsidRPr="00DA4CEC">
        <w:t>Dr. Amy V. Callaghan</w:t>
      </w:r>
    </w:p>
    <w:p w14:paraId="020D3D45" w14:textId="77777777" w:rsidR="00A94EF3" w:rsidRPr="00DA4CEC" w:rsidRDefault="00A94EF3" w:rsidP="00A94EF3">
      <w:pPr>
        <w:pStyle w:val="NoSpacing"/>
        <w:jc w:val="right"/>
      </w:pPr>
    </w:p>
    <w:p w14:paraId="50F43BA2" w14:textId="77777777" w:rsidR="00A94EF3" w:rsidRPr="00DA4CEC" w:rsidRDefault="00A94EF3" w:rsidP="00A94EF3">
      <w:pPr>
        <w:pStyle w:val="NoSpacing"/>
        <w:jc w:val="right"/>
      </w:pPr>
    </w:p>
    <w:p w14:paraId="44A09F34" w14:textId="77777777" w:rsidR="00A94EF3" w:rsidRPr="00DA4CEC" w:rsidRDefault="00A94EF3" w:rsidP="00A94EF3">
      <w:pPr>
        <w:pStyle w:val="NoSpacing"/>
        <w:jc w:val="right"/>
      </w:pPr>
      <w:r w:rsidRPr="00DA4CEC">
        <w:t>______________________________</w:t>
      </w:r>
    </w:p>
    <w:p w14:paraId="61086734" w14:textId="77777777" w:rsidR="00A94EF3" w:rsidRPr="00DA4CEC" w:rsidRDefault="00A94EF3" w:rsidP="00A94EF3">
      <w:pPr>
        <w:pStyle w:val="NoSpacing"/>
        <w:jc w:val="right"/>
      </w:pPr>
      <w:r w:rsidRPr="00DA4CEC">
        <w:t>Dr. Kathleen E. Duncan</w:t>
      </w:r>
    </w:p>
    <w:p w14:paraId="1A6C2383" w14:textId="77777777" w:rsidR="00A94EF3" w:rsidRPr="00DA4CEC" w:rsidRDefault="00A94EF3" w:rsidP="00A94EF3">
      <w:pPr>
        <w:pStyle w:val="NoSpacing"/>
        <w:jc w:val="right"/>
      </w:pPr>
    </w:p>
    <w:p w14:paraId="419B2877" w14:textId="77777777" w:rsidR="00A94EF3" w:rsidRPr="00DA4CEC" w:rsidRDefault="00A94EF3" w:rsidP="00A94EF3">
      <w:pPr>
        <w:pStyle w:val="NoSpacing"/>
        <w:jc w:val="center"/>
      </w:pPr>
      <w:r w:rsidRPr="00DA4CEC">
        <w:br w:type="page"/>
      </w:r>
    </w:p>
    <w:p w14:paraId="786C28D4" w14:textId="77777777" w:rsidR="00A94EF3" w:rsidRPr="00DA4CEC" w:rsidRDefault="00A94EF3" w:rsidP="00A94EF3">
      <w:pPr>
        <w:pStyle w:val="NoSpacing"/>
        <w:jc w:val="center"/>
      </w:pPr>
    </w:p>
    <w:p w14:paraId="686757C8" w14:textId="77777777" w:rsidR="00A94EF3" w:rsidRPr="00DA4CEC" w:rsidRDefault="00A94EF3" w:rsidP="00A94EF3">
      <w:pPr>
        <w:pStyle w:val="NoSpacing"/>
        <w:jc w:val="center"/>
      </w:pPr>
    </w:p>
    <w:p w14:paraId="5F9F7CC7" w14:textId="77777777" w:rsidR="00A94EF3" w:rsidRPr="00DA4CEC" w:rsidRDefault="00A94EF3" w:rsidP="00A94EF3">
      <w:pPr>
        <w:pStyle w:val="NoSpacing"/>
        <w:jc w:val="center"/>
      </w:pPr>
    </w:p>
    <w:p w14:paraId="0482D86E" w14:textId="77777777" w:rsidR="00A94EF3" w:rsidRPr="00DA4CEC" w:rsidRDefault="00A94EF3" w:rsidP="00A94EF3">
      <w:pPr>
        <w:pStyle w:val="NoSpacing"/>
        <w:jc w:val="center"/>
      </w:pPr>
    </w:p>
    <w:p w14:paraId="2AB5AA49" w14:textId="77777777" w:rsidR="00A94EF3" w:rsidRPr="00DA4CEC" w:rsidRDefault="00A94EF3" w:rsidP="00A94EF3">
      <w:pPr>
        <w:pStyle w:val="NoSpacing"/>
        <w:jc w:val="center"/>
      </w:pPr>
    </w:p>
    <w:p w14:paraId="16528073" w14:textId="77777777" w:rsidR="00A94EF3" w:rsidRPr="00DA4CEC" w:rsidRDefault="00A94EF3" w:rsidP="00A94EF3">
      <w:pPr>
        <w:pStyle w:val="NoSpacing"/>
        <w:jc w:val="center"/>
      </w:pPr>
    </w:p>
    <w:p w14:paraId="76166BA7" w14:textId="77777777" w:rsidR="00A94EF3" w:rsidRPr="00DA4CEC" w:rsidRDefault="00A94EF3" w:rsidP="00A94EF3">
      <w:pPr>
        <w:pStyle w:val="NoSpacing"/>
        <w:jc w:val="center"/>
      </w:pPr>
    </w:p>
    <w:p w14:paraId="552CE87E" w14:textId="77777777" w:rsidR="00A94EF3" w:rsidRPr="00DA4CEC" w:rsidRDefault="00A94EF3" w:rsidP="00A94EF3">
      <w:pPr>
        <w:pStyle w:val="NoSpacing"/>
        <w:jc w:val="center"/>
      </w:pPr>
    </w:p>
    <w:p w14:paraId="36E0094F" w14:textId="77777777" w:rsidR="00A94EF3" w:rsidRPr="00DA4CEC" w:rsidRDefault="00A94EF3" w:rsidP="00A94EF3">
      <w:pPr>
        <w:pStyle w:val="NoSpacing"/>
        <w:jc w:val="center"/>
      </w:pPr>
    </w:p>
    <w:p w14:paraId="4BD1E5E1" w14:textId="77777777" w:rsidR="00A94EF3" w:rsidRPr="00DA4CEC" w:rsidRDefault="00A94EF3" w:rsidP="00A94EF3">
      <w:pPr>
        <w:pStyle w:val="NoSpacing"/>
        <w:jc w:val="center"/>
      </w:pPr>
    </w:p>
    <w:p w14:paraId="4E6CBBD5" w14:textId="77777777" w:rsidR="00A94EF3" w:rsidRPr="00DA4CEC" w:rsidRDefault="00A94EF3" w:rsidP="00A94EF3">
      <w:pPr>
        <w:pStyle w:val="NoSpacing"/>
        <w:jc w:val="center"/>
      </w:pPr>
    </w:p>
    <w:p w14:paraId="3C6EC514" w14:textId="77777777" w:rsidR="00A94EF3" w:rsidRPr="00DA4CEC" w:rsidRDefault="00A94EF3" w:rsidP="00A94EF3">
      <w:pPr>
        <w:pStyle w:val="NoSpacing"/>
        <w:jc w:val="center"/>
      </w:pPr>
    </w:p>
    <w:p w14:paraId="008B5CEC" w14:textId="77777777" w:rsidR="00A94EF3" w:rsidRPr="00DA4CEC" w:rsidRDefault="00A94EF3" w:rsidP="00A94EF3">
      <w:pPr>
        <w:pStyle w:val="NoSpacing"/>
        <w:jc w:val="center"/>
      </w:pPr>
    </w:p>
    <w:p w14:paraId="7D78763D" w14:textId="77777777" w:rsidR="00A94EF3" w:rsidRPr="00DA4CEC" w:rsidRDefault="00A94EF3" w:rsidP="00A94EF3">
      <w:pPr>
        <w:pStyle w:val="NoSpacing"/>
        <w:jc w:val="center"/>
      </w:pPr>
    </w:p>
    <w:p w14:paraId="115CFE52" w14:textId="77777777" w:rsidR="00A94EF3" w:rsidRPr="00DA4CEC" w:rsidRDefault="00A94EF3" w:rsidP="00A94EF3">
      <w:pPr>
        <w:pStyle w:val="NoSpacing"/>
        <w:jc w:val="center"/>
      </w:pPr>
    </w:p>
    <w:p w14:paraId="37954E0E" w14:textId="77777777" w:rsidR="00A94EF3" w:rsidRPr="00DA4CEC" w:rsidRDefault="00A94EF3" w:rsidP="00A94EF3">
      <w:pPr>
        <w:pStyle w:val="NoSpacing"/>
        <w:jc w:val="center"/>
      </w:pPr>
    </w:p>
    <w:p w14:paraId="75E046C0" w14:textId="77777777" w:rsidR="00A94EF3" w:rsidRPr="00DA4CEC" w:rsidRDefault="00A94EF3" w:rsidP="00A94EF3">
      <w:pPr>
        <w:pStyle w:val="NoSpacing"/>
        <w:jc w:val="center"/>
      </w:pPr>
    </w:p>
    <w:p w14:paraId="38072185" w14:textId="77777777" w:rsidR="00A94EF3" w:rsidRPr="00DA4CEC" w:rsidRDefault="00A94EF3" w:rsidP="00A94EF3">
      <w:pPr>
        <w:pStyle w:val="NoSpacing"/>
        <w:jc w:val="center"/>
      </w:pPr>
    </w:p>
    <w:p w14:paraId="049DC935" w14:textId="77777777" w:rsidR="00A94EF3" w:rsidRPr="00DA4CEC" w:rsidRDefault="00A94EF3" w:rsidP="00A94EF3">
      <w:pPr>
        <w:pStyle w:val="NoSpacing"/>
        <w:jc w:val="center"/>
      </w:pPr>
    </w:p>
    <w:p w14:paraId="343C9A38" w14:textId="77777777" w:rsidR="00A94EF3" w:rsidRPr="00DA4CEC" w:rsidRDefault="00A94EF3" w:rsidP="00A94EF3">
      <w:pPr>
        <w:pStyle w:val="NoSpacing"/>
        <w:jc w:val="center"/>
      </w:pPr>
    </w:p>
    <w:p w14:paraId="13F53761" w14:textId="77777777" w:rsidR="00A94EF3" w:rsidRPr="00DA4CEC" w:rsidRDefault="00A94EF3" w:rsidP="00A94EF3">
      <w:pPr>
        <w:pStyle w:val="NoSpacing"/>
        <w:jc w:val="center"/>
      </w:pPr>
    </w:p>
    <w:p w14:paraId="415A4055" w14:textId="77777777" w:rsidR="00A94EF3" w:rsidRPr="00DA4CEC" w:rsidRDefault="00A94EF3" w:rsidP="00A94EF3">
      <w:pPr>
        <w:pStyle w:val="NoSpacing"/>
        <w:jc w:val="center"/>
      </w:pPr>
    </w:p>
    <w:p w14:paraId="3E62CA48" w14:textId="77777777" w:rsidR="00A94EF3" w:rsidRPr="00DA4CEC" w:rsidRDefault="00A94EF3" w:rsidP="00A94EF3">
      <w:pPr>
        <w:pStyle w:val="NoSpacing"/>
        <w:jc w:val="center"/>
      </w:pPr>
    </w:p>
    <w:p w14:paraId="6EF6F7FB" w14:textId="77777777" w:rsidR="00A94EF3" w:rsidRPr="00DA4CEC" w:rsidRDefault="00A94EF3" w:rsidP="00A94EF3">
      <w:pPr>
        <w:pStyle w:val="NoSpacing"/>
        <w:jc w:val="center"/>
      </w:pPr>
    </w:p>
    <w:p w14:paraId="1394517F" w14:textId="77777777" w:rsidR="00A94EF3" w:rsidRPr="00DA4CEC" w:rsidRDefault="00A94EF3" w:rsidP="00A94EF3">
      <w:pPr>
        <w:pStyle w:val="NoSpacing"/>
        <w:jc w:val="center"/>
      </w:pPr>
    </w:p>
    <w:p w14:paraId="3C072B9C" w14:textId="77777777" w:rsidR="00A94EF3" w:rsidRPr="00DA4CEC" w:rsidRDefault="00A94EF3" w:rsidP="00A94EF3">
      <w:pPr>
        <w:pStyle w:val="NoSpacing"/>
        <w:jc w:val="center"/>
      </w:pPr>
    </w:p>
    <w:p w14:paraId="7A20DB88" w14:textId="77777777" w:rsidR="00A94EF3" w:rsidRPr="00DA4CEC" w:rsidRDefault="00A94EF3" w:rsidP="00A94EF3">
      <w:pPr>
        <w:pStyle w:val="NoSpacing"/>
        <w:jc w:val="center"/>
      </w:pPr>
    </w:p>
    <w:p w14:paraId="5992E4C5" w14:textId="77777777" w:rsidR="00A94EF3" w:rsidRPr="00DA4CEC" w:rsidRDefault="00A94EF3" w:rsidP="00A94EF3">
      <w:pPr>
        <w:pStyle w:val="NoSpacing"/>
        <w:jc w:val="center"/>
      </w:pPr>
    </w:p>
    <w:p w14:paraId="735F36D9" w14:textId="77777777" w:rsidR="00A94EF3" w:rsidRPr="00DA4CEC" w:rsidRDefault="00A94EF3" w:rsidP="00A94EF3">
      <w:pPr>
        <w:pStyle w:val="NoSpacing"/>
        <w:jc w:val="center"/>
      </w:pPr>
    </w:p>
    <w:p w14:paraId="26C82882" w14:textId="77777777" w:rsidR="00A94EF3" w:rsidRPr="00DA4CEC" w:rsidRDefault="00A94EF3" w:rsidP="00A94EF3">
      <w:pPr>
        <w:pStyle w:val="NoSpacing"/>
        <w:jc w:val="center"/>
      </w:pPr>
    </w:p>
    <w:p w14:paraId="67C6B880" w14:textId="77777777" w:rsidR="00A94EF3" w:rsidRPr="00DA4CEC" w:rsidRDefault="00A94EF3" w:rsidP="00A94EF3">
      <w:pPr>
        <w:pStyle w:val="NoSpacing"/>
        <w:jc w:val="center"/>
      </w:pPr>
    </w:p>
    <w:p w14:paraId="4DA0E5F5" w14:textId="77777777" w:rsidR="00A94EF3" w:rsidRPr="00DA4CEC" w:rsidRDefault="00A94EF3" w:rsidP="00A94EF3">
      <w:pPr>
        <w:pStyle w:val="NoSpacing"/>
        <w:jc w:val="center"/>
      </w:pPr>
    </w:p>
    <w:p w14:paraId="30A2D194" w14:textId="77777777" w:rsidR="00A94EF3" w:rsidRPr="00DA4CEC" w:rsidRDefault="00A94EF3" w:rsidP="00A94EF3">
      <w:pPr>
        <w:pStyle w:val="NoSpacing"/>
        <w:jc w:val="center"/>
      </w:pPr>
    </w:p>
    <w:p w14:paraId="714EF1FB" w14:textId="77777777" w:rsidR="00A94EF3" w:rsidRPr="00DA4CEC" w:rsidRDefault="00A94EF3" w:rsidP="00A94EF3">
      <w:pPr>
        <w:pStyle w:val="NoSpacing"/>
        <w:jc w:val="center"/>
      </w:pPr>
    </w:p>
    <w:p w14:paraId="7CA61481" w14:textId="77777777" w:rsidR="00A94EF3" w:rsidRPr="00DA4CEC" w:rsidRDefault="00A94EF3" w:rsidP="00A94EF3">
      <w:pPr>
        <w:pStyle w:val="NoSpacing"/>
        <w:jc w:val="center"/>
      </w:pPr>
    </w:p>
    <w:p w14:paraId="0A6D8F7A" w14:textId="77777777" w:rsidR="00A94EF3" w:rsidRPr="00DA4CEC" w:rsidRDefault="00A94EF3" w:rsidP="00A94EF3">
      <w:pPr>
        <w:pStyle w:val="NoSpacing"/>
        <w:jc w:val="center"/>
      </w:pPr>
    </w:p>
    <w:p w14:paraId="2826037A" w14:textId="77777777" w:rsidR="00A94EF3" w:rsidRPr="00DA4CEC" w:rsidRDefault="00A94EF3" w:rsidP="00A94EF3">
      <w:pPr>
        <w:pStyle w:val="NoSpacing"/>
        <w:jc w:val="center"/>
      </w:pPr>
    </w:p>
    <w:p w14:paraId="55603616" w14:textId="77777777" w:rsidR="00A94EF3" w:rsidRPr="00DA4CEC" w:rsidRDefault="00A94EF3" w:rsidP="00A94EF3">
      <w:pPr>
        <w:pStyle w:val="NoSpacing"/>
        <w:jc w:val="center"/>
      </w:pPr>
    </w:p>
    <w:p w14:paraId="6707D0DE" w14:textId="77777777" w:rsidR="00A94EF3" w:rsidRPr="00DA4CEC" w:rsidRDefault="00A94EF3" w:rsidP="00A94EF3">
      <w:pPr>
        <w:pStyle w:val="NoSpacing"/>
        <w:jc w:val="center"/>
      </w:pPr>
    </w:p>
    <w:p w14:paraId="31E4BD8D" w14:textId="77777777" w:rsidR="00A94EF3" w:rsidRPr="00DA4CEC" w:rsidRDefault="00A94EF3" w:rsidP="00A94EF3">
      <w:pPr>
        <w:pStyle w:val="NoSpacing"/>
        <w:jc w:val="center"/>
      </w:pPr>
    </w:p>
    <w:p w14:paraId="2F488917" w14:textId="77777777" w:rsidR="00A94EF3" w:rsidRPr="00DA4CEC" w:rsidRDefault="00A94EF3" w:rsidP="00A94EF3">
      <w:pPr>
        <w:pStyle w:val="NoSpacing"/>
        <w:jc w:val="center"/>
      </w:pPr>
    </w:p>
    <w:p w14:paraId="0CBFFA0C" w14:textId="77777777" w:rsidR="00A94EF3" w:rsidRPr="00DA4CEC" w:rsidRDefault="00A94EF3" w:rsidP="00A94EF3">
      <w:pPr>
        <w:pStyle w:val="NoSpacing"/>
        <w:jc w:val="center"/>
      </w:pPr>
    </w:p>
    <w:p w14:paraId="3BE844CC" w14:textId="77777777" w:rsidR="00A94EF3" w:rsidRPr="00DA4CEC" w:rsidRDefault="00A94EF3" w:rsidP="00A94EF3">
      <w:pPr>
        <w:pStyle w:val="NoSpacing"/>
        <w:jc w:val="center"/>
      </w:pPr>
      <w:r w:rsidRPr="00DA4CEC">
        <w:t>© Copyright by BRIAN HEATH HARRIMAN 2016</w:t>
      </w:r>
    </w:p>
    <w:p w14:paraId="58A426EA" w14:textId="77777777" w:rsidR="00A94EF3" w:rsidRPr="00DA4CEC" w:rsidRDefault="00A94EF3" w:rsidP="00A94EF3">
      <w:pPr>
        <w:pStyle w:val="NoSpacing"/>
        <w:jc w:val="center"/>
      </w:pPr>
      <w:r w:rsidRPr="00DA4CEC">
        <w:t>All Rights Reserved.</w:t>
      </w:r>
    </w:p>
    <w:p w14:paraId="2C75D2EC" w14:textId="77777777" w:rsidR="00A94EF3" w:rsidRPr="00DA4CEC" w:rsidRDefault="00A94EF3" w:rsidP="00A94EF3">
      <w:pPr>
        <w:jc w:val="center"/>
      </w:pPr>
      <w:r w:rsidRPr="00DA4CEC">
        <w:br w:type="page"/>
      </w:r>
      <w:r w:rsidRPr="00DA4CEC">
        <w:lastRenderedPageBreak/>
        <w:t>Dedication</w:t>
      </w:r>
    </w:p>
    <w:p w14:paraId="3F298180" w14:textId="77777777" w:rsidR="00A94EF3" w:rsidRPr="00DA4CEC" w:rsidRDefault="00A94EF3" w:rsidP="00A94EF3">
      <w:pPr>
        <w:jc w:val="center"/>
      </w:pPr>
    </w:p>
    <w:p w14:paraId="3659D634" w14:textId="77777777" w:rsidR="00A94EF3" w:rsidRPr="00DA4CEC" w:rsidRDefault="00A94EF3" w:rsidP="00A94EF3">
      <w:pPr>
        <w:spacing w:line="240" w:lineRule="auto"/>
        <w:jc w:val="center"/>
        <w:sectPr w:rsidR="00A94EF3" w:rsidRPr="00DA4CEC" w:rsidSect="00A94EF3">
          <w:pgSz w:w="12240" w:h="15840" w:code="1"/>
          <w:pgMar w:top="1440" w:right="1440" w:bottom="1440" w:left="2304" w:header="720" w:footer="720" w:gutter="0"/>
          <w:cols w:space="720"/>
          <w:docGrid w:linePitch="360"/>
        </w:sectPr>
      </w:pPr>
      <w:r w:rsidRPr="00DA4CEC">
        <w:t>I dedicate this thesis to my parents, Leigh and Howard Harriman. I would not be the man I am today without your constant support, no matter my endeavor.</w:t>
      </w:r>
      <w:r w:rsidR="004C74EA" w:rsidRPr="00DA4CEC">
        <w:t xml:space="preserve"> </w:t>
      </w:r>
    </w:p>
    <w:p w14:paraId="2F7B6667" w14:textId="77777777" w:rsidR="00DA4CEC" w:rsidRPr="00DA4CEC" w:rsidRDefault="00DA4CEC" w:rsidP="00DA4CEC">
      <w:pPr>
        <w:pStyle w:val="Heading1"/>
        <w:rPr>
          <w:b/>
        </w:rPr>
      </w:pPr>
      <w:r w:rsidRPr="00DA4CEC">
        <w:rPr>
          <w:b/>
        </w:rPr>
        <w:lastRenderedPageBreak/>
        <w:t>Acknowledgements</w:t>
      </w:r>
    </w:p>
    <w:p w14:paraId="2C144B45" w14:textId="77777777" w:rsidR="008D5D5B" w:rsidRPr="00DA4CEC" w:rsidRDefault="00DA4CEC" w:rsidP="00DA4CEC">
      <w:pPr>
        <w:pStyle w:val="Heading1"/>
        <w:jc w:val="left"/>
        <w:rPr>
          <w:b/>
        </w:rPr>
      </w:pPr>
      <w:r w:rsidRPr="00DA4CEC">
        <w:rPr>
          <w:b/>
        </w:rPr>
        <w:tab/>
      </w:r>
      <w:r w:rsidR="00430B3F">
        <w:t>I would like to thank</w:t>
      </w:r>
      <w:r w:rsidR="008D5D5B" w:rsidRPr="00DA4CEC">
        <w:t xml:space="preserve"> Dr. Joseph Sulfita, my advisor. You have been instrumental in my growth in the lab and at a keyboard. I have achieved more than I once thought I could, and strive to achieve more every day. I have been afforded opportunities that I never dreamed of, nor would have imagined had I not persisted in you taking me into your lab. I am amazed and honored to be able to claim the title of “Last Suflita Student.” </w:t>
      </w:r>
    </w:p>
    <w:p w14:paraId="21986558" w14:textId="77777777" w:rsidR="008D5D5B" w:rsidRPr="00DA4CEC" w:rsidRDefault="008D5D5B" w:rsidP="00DA4CEC">
      <w:r w:rsidRPr="00DA4CEC">
        <w:tab/>
        <w:t xml:space="preserve">I would also like to thank my other committee members, Dr. Amy Callaghan and Dr. Kathleen Duncan. I am grateful for everything you both have taught me, as well as always keeping open doors, and words of wisdom at the ready. </w:t>
      </w:r>
    </w:p>
    <w:p w14:paraId="6E749B2F" w14:textId="77777777" w:rsidR="008D5D5B" w:rsidRPr="00DA4CEC" w:rsidRDefault="008D5D5B" w:rsidP="00DA4CEC">
      <w:r w:rsidRPr="00DA4CEC">
        <w:tab/>
        <w:t xml:space="preserve">To the many members of the </w:t>
      </w:r>
      <w:r w:rsidR="008A1DB4" w:rsidRPr="00DA4CEC">
        <w:t xml:space="preserve">Suflita lab during my time here, I thank you for helping at the bench, sampling, teaching me, listening, and sharing a laugh. I would be remiss if I did not mention each and every one of you by name. Dr. Irene Davidova, thank you for teaching me the SRAs that I so frequently used. Dr. Lenhart and Dr. Aktas, thank you for always keeping me on my toes with another project or idea. Dr. Lyles, thank you for making the office a warm and loving environment I looked forward to every day. Dr. Liang, thank you for always making me laugh. Thank you Katy, Margarita, Terri for always having open ears. Finally, thank you Dr. Christopher Marks for constant advice and years of friendship (even if we started on a rough note). </w:t>
      </w:r>
    </w:p>
    <w:p w14:paraId="0A725F73" w14:textId="77777777" w:rsidR="00A94EF3" w:rsidRPr="00DA4CEC" w:rsidRDefault="00F44CEA" w:rsidP="00DA4CEC">
      <w:r w:rsidRPr="00DA4CEC">
        <w:tab/>
        <w:t xml:space="preserve">Finally, I would like to thank my family. To my parents, I thank you for the constant support, through thick and thin, and for never giving up on me. I would also like to thank Suzanna. Although it’s been a bit of a tumultuous start, this is only just the beginning. </w:t>
      </w:r>
      <w:r w:rsidR="008B7FD2" w:rsidRPr="00DA4CEC">
        <w:t>Lastly</w:t>
      </w:r>
      <w:r w:rsidRPr="00DA4CEC">
        <w:t>, I would like to thank Fitzgerald, the perfect writing companion.</w:t>
      </w:r>
    </w:p>
    <w:p w14:paraId="60C47E8A" w14:textId="77777777" w:rsidR="00DC42AB" w:rsidRPr="00DA4CEC" w:rsidRDefault="00DC42AB" w:rsidP="00863D6C">
      <w:pPr>
        <w:pStyle w:val="Heading1"/>
        <w:rPr>
          <w:b/>
        </w:rPr>
      </w:pPr>
      <w:r w:rsidRPr="00DA4CEC">
        <w:rPr>
          <w:b/>
        </w:rPr>
        <w:lastRenderedPageBreak/>
        <w:t>Table of Contents</w:t>
      </w:r>
    </w:p>
    <w:p w14:paraId="6D376413" w14:textId="77777777" w:rsidR="00DC42AB" w:rsidRPr="00DA4CEC" w:rsidRDefault="00DC42AB" w:rsidP="00863D6C">
      <w:pPr>
        <w:pStyle w:val="Heading1"/>
      </w:pPr>
      <w:r w:rsidRPr="00DA4CEC">
        <w:t>Acknowledgements……………………………………………………………………. iv</w:t>
      </w:r>
    </w:p>
    <w:p w14:paraId="010714FB" w14:textId="77777777" w:rsidR="00DC42AB" w:rsidRPr="00DA4CEC" w:rsidRDefault="00DC42AB" w:rsidP="00863D6C">
      <w:pPr>
        <w:pStyle w:val="Heading1"/>
      </w:pPr>
      <w:r w:rsidRPr="00DA4CEC">
        <w:t>List of Tables…............................................................................................................... vi</w:t>
      </w:r>
    </w:p>
    <w:p w14:paraId="07BCA034" w14:textId="77777777" w:rsidR="00DC42AB" w:rsidRPr="00DA4CEC" w:rsidRDefault="00DC42AB" w:rsidP="00863D6C">
      <w:pPr>
        <w:pStyle w:val="Heading1"/>
      </w:pPr>
      <w:r w:rsidRPr="00DA4CEC">
        <w:t>List of Figures…............................................................................................................ vii</w:t>
      </w:r>
    </w:p>
    <w:p w14:paraId="6A5A9526" w14:textId="77777777" w:rsidR="00DC42AB" w:rsidRPr="00DA4CEC" w:rsidRDefault="00DC42AB" w:rsidP="00DC42AB">
      <w:pPr>
        <w:jc w:val="center"/>
      </w:pPr>
      <w:r w:rsidRPr="00DA4CEC">
        <w:t>Abstract..........................</w:t>
      </w:r>
      <w:r w:rsidR="00430B3F">
        <w:t>..........................</w:t>
      </w:r>
      <w:r w:rsidRPr="00DA4CEC">
        <w:t>........................................</w:t>
      </w:r>
      <w:r w:rsidR="00430B3F">
        <w:t>............................. viii</w:t>
      </w:r>
    </w:p>
    <w:p w14:paraId="3018C93B" w14:textId="77777777" w:rsidR="00DC42AB" w:rsidRPr="00DA4CEC" w:rsidRDefault="00DC42AB" w:rsidP="00863D6C">
      <w:pPr>
        <w:pStyle w:val="Heading1"/>
      </w:pPr>
    </w:p>
    <w:p w14:paraId="41ECA650" w14:textId="77777777" w:rsidR="00DC42AB" w:rsidRPr="00DA4CEC" w:rsidRDefault="00DC42AB" w:rsidP="00DA4CEC">
      <w:pPr>
        <w:pStyle w:val="Heading1"/>
        <w:jc w:val="left"/>
      </w:pPr>
      <w:r w:rsidRPr="00DA4CEC">
        <w:t>Chapter 1.</w:t>
      </w:r>
    </w:p>
    <w:p w14:paraId="2EB528A6" w14:textId="77777777" w:rsidR="00430B3F" w:rsidRDefault="00430B3F" w:rsidP="00863D6C">
      <w:pPr>
        <w:pStyle w:val="Heading1"/>
      </w:pPr>
      <w:r>
        <w:t>Preface............................................................................................................................  1</w:t>
      </w:r>
    </w:p>
    <w:p w14:paraId="76E53D1F" w14:textId="77777777" w:rsidR="00DC42AB" w:rsidRPr="00DA4CEC" w:rsidRDefault="00DC42AB" w:rsidP="00863D6C">
      <w:pPr>
        <w:pStyle w:val="Heading1"/>
      </w:pPr>
      <w:r w:rsidRPr="00DA4CEC">
        <w:t>Introduction…....................................................................................</w:t>
      </w:r>
      <w:r w:rsidR="00430B3F">
        <w:t>.............................  4</w:t>
      </w:r>
    </w:p>
    <w:p w14:paraId="5366BFC7" w14:textId="77777777" w:rsidR="00DC42AB" w:rsidRPr="00DA4CEC" w:rsidRDefault="00DC42AB" w:rsidP="00863D6C">
      <w:pPr>
        <w:pStyle w:val="Heading1"/>
      </w:pPr>
      <w:r w:rsidRPr="00DA4CEC">
        <w:t>Materials and Methods.......................................................................</w:t>
      </w:r>
      <w:r w:rsidR="00430B3F">
        <w:t>.............................  6</w:t>
      </w:r>
    </w:p>
    <w:p w14:paraId="27D81654" w14:textId="77777777" w:rsidR="00DC42AB" w:rsidRPr="00DA4CEC" w:rsidRDefault="00DC42AB" w:rsidP="00863D6C">
      <w:pPr>
        <w:pStyle w:val="Heading1"/>
      </w:pPr>
      <w:r w:rsidRPr="00DA4CEC">
        <w:t>Results................................................................................................</w:t>
      </w:r>
      <w:r w:rsidR="00430B3F">
        <w:t>...........................  11</w:t>
      </w:r>
    </w:p>
    <w:p w14:paraId="27DD509C" w14:textId="77777777" w:rsidR="00DC42AB" w:rsidRPr="00DA4CEC" w:rsidRDefault="00DC42AB" w:rsidP="00863D6C">
      <w:pPr>
        <w:pStyle w:val="Heading1"/>
      </w:pPr>
      <w:r w:rsidRPr="00DA4CEC">
        <w:t>Discussion.........................................................................................</w:t>
      </w:r>
      <w:r w:rsidR="00430B3F">
        <w:t>............................  22</w:t>
      </w:r>
    </w:p>
    <w:p w14:paraId="706A3E12" w14:textId="77777777" w:rsidR="00DC42AB" w:rsidRPr="00DA4CEC" w:rsidRDefault="00DC42AB" w:rsidP="00DC42AB">
      <w:pPr>
        <w:jc w:val="center"/>
      </w:pPr>
      <w:r w:rsidRPr="00DA4CEC">
        <w:t>References........................................................................................</w:t>
      </w:r>
      <w:r w:rsidR="00430B3F">
        <w:t>............................. 28</w:t>
      </w:r>
    </w:p>
    <w:p w14:paraId="36DC2ABB" w14:textId="77777777" w:rsidR="00DC42AB" w:rsidRPr="00DA4CEC" w:rsidRDefault="00DC42AB" w:rsidP="00DC42AB">
      <w:pPr>
        <w:jc w:val="center"/>
      </w:pPr>
    </w:p>
    <w:p w14:paraId="37601AE1" w14:textId="77777777" w:rsidR="00DC42AB" w:rsidRPr="00DA4CEC" w:rsidRDefault="00DC42AB" w:rsidP="00DC42AB">
      <w:pPr>
        <w:jc w:val="center"/>
      </w:pPr>
      <w:r w:rsidRPr="00DA4CEC">
        <w:t>Appendix A: Impact of photooxidation and biodegradation on the environmental fate of sand patties formed from oil spilled during the Deepwater Horizon Incident: Anaerobic Conditions.</w:t>
      </w:r>
    </w:p>
    <w:p w14:paraId="7CF4067F" w14:textId="77777777" w:rsidR="00DC42AB" w:rsidRPr="00DA4CEC" w:rsidRDefault="00DC42AB" w:rsidP="00DC42AB">
      <w:pPr>
        <w:jc w:val="center"/>
      </w:pPr>
      <w:r w:rsidRPr="00DA4CEC">
        <w:t>Introduction.......................................................................................</w:t>
      </w:r>
      <w:r w:rsidR="00430B3F">
        <w:t>............................. 42</w:t>
      </w:r>
    </w:p>
    <w:p w14:paraId="38AA3165" w14:textId="77777777" w:rsidR="00DC42AB" w:rsidRPr="00DA4CEC" w:rsidRDefault="00DC42AB" w:rsidP="00DC42AB">
      <w:pPr>
        <w:jc w:val="center"/>
      </w:pPr>
      <w:r w:rsidRPr="00DA4CEC">
        <w:t>Materials and Methods......................................................................</w:t>
      </w:r>
      <w:r w:rsidR="00430B3F">
        <w:t>............................. 43</w:t>
      </w:r>
    </w:p>
    <w:p w14:paraId="7435C1E3" w14:textId="77777777" w:rsidR="00DC42AB" w:rsidRPr="00DA4CEC" w:rsidRDefault="00DC42AB" w:rsidP="00DC42AB">
      <w:pPr>
        <w:jc w:val="center"/>
      </w:pPr>
      <w:r w:rsidRPr="00DA4CEC">
        <w:t>Results...............................................................................................</w:t>
      </w:r>
      <w:r w:rsidR="00430B3F">
        <w:t>............................. 45</w:t>
      </w:r>
    </w:p>
    <w:p w14:paraId="4D5C0545" w14:textId="77777777" w:rsidR="00A94EF3" w:rsidRPr="00DA4CEC" w:rsidRDefault="00DC42AB" w:rsidP="00DC42AB">
      <w:r w:rsidRPr="00DA4CEC">
        <w:t>Discussion.........................................................................................</w:t>
      </w:r>
      <w:r w:rsidR="00140871">
        <w:t>.</w:t>
      </w:r>
      <w:r w:rsidR="00430B3F">
        <w:t>............................. 47</w:t>
      </w:r>
    </w:p>
    <w:p w14:paraId="5E42FFCE" w14:textId="77777777" w:rsidR="00DA4CEC" w:rsidRPr="00DA4CEC" w:rsidRDefault="00A94EF3" w:rsidP="00DA4CEC">
      <w:pPr>
        <w:pStyle w:val="Heading1"/>
        <w:rPr>
          <w:b/>
        </w:rPr>
      </w:pPr>
      <w:r w:rsidRPr="00DA4CEC">
        <w:br w:type="page"/>
      </w:r>
      <w:r w:rsidR="00DA4CEC" w:rsidRPr="00DA4CEC">
        <w:rPr>
          <w:b/>
        </w:rPr>
        <w:lastRenderedPageBreak/>
        <w:t>List of Tables</w:t>
      </w:r>
    </w:p>
    <w:p w14:paraId="4B5C7693" w14:textId="77777777" w:rsidR="00A94EF3" w:rsidRPr="00DA4CEC" w:rsidRDefault="00A94EF3" w:rsidP="00DA4CEC">
      <w:pPr>
        <w:pStyle w:val="Heading1"/>
        <w:jc w:val="left"/>
        <w:rPr>
          <w:b/>
        </w:rPr>
      </w:pPr>
      <w:r w:rsidRPr="00DA4CEC">
        <w:t>Chapter 1.</w:t>
      </w:r>
    </w:p>
    <w:p w14:paraId="353DBF18" w14:textId="77777777" w:rsidR="00A94EF3" w:rsidRPr="00DA4CEC" w:rsidRDefault="00A94EF3" w:rsidP="00A94EF3">
      <w:pPr>
        <w:pStyle w:val="NoSpacing"/>
      </w:pPr>
    </w:p>
    <w:p w14:paraId="1CD8BF75" w14:textId="77777777" w:rsidR="00A94EF3" w:rsidRPr="00DA4CEC" w:rsidRDefault="00A94EF3">
      <w:pPr>
        <w:pStyle w:val="TableofFigures"/>
        <w:tabs>
          <w:tab w:val="right" w:leader="dot" w:pos="8486"/>
        </w:tabs>
        <w:rPr>
          <w:rFonts w:eastAsia="ＭＳ 明朝"/>
          <w:noProof/>
          <w:lang w:eastAsia="ja-JP" w:bidi="ar-SA"/>
        </w:rPr>
      </w:pPr>
      <w:r w:rsidRPr="00DA4CEC">
        <w:fldChar w:fldCharType="begin"/>
      </w:r>
      <w:r w:rsidRPr="00DA4CEC">
        <w:instrText xml:space="preserve"> TOC \h \z \c "Table" </w:instrText>
      </w:r>
      <w:r w:rsidRPr="00DA4CEC">
        <w:fldChar w:fldCharType="separate"/>
      </w:r>
      <w:r w:rsidRPr="00DA4CEC">
        <w:rPr>
          <w:noProof/>
        </w:rPr>
        <w:t>Table 1. The impact of sand patties on the rate of microbial community respiration in room temperature GoM seawater-sediment incubations..</w:t>
      </w:r>
      <w:r w:rsidRPr="00DA4CEC">
        <w:rPr>
          <w:noProof/>
        </w:rPr>
        <w:tab/>
      </w:r>
      <w:r w:rsidR="00280E8A">
        <w:rPr>
          <w:noProof/>
        </w:rPr>
        <w:t>31</w:t>
      </w:r>
    </w:p>
    <w:p w14:paraId="4235A6C6" w14:textId="77777777" w:rsidR="00A94EF3" w:rsidRPr="00DA4CEC" w:rsidRDefault="00A94EF3" w:rsidP="00A94EF3">
      <w:r w:rsidRPr="00DA4CEC">
        <w:fldChar w:fldCharType="end"/>
      </w:r>
    </w:p>
    <w:p w14:paraId="1F4BC768" w14:textId="77777777" w:rsidR="00DA4CEC" w:rsidRPr="00DA4CEC" w:rsidRDefault="00A94EF3" w:rsidP="00DA4CEC">
      <w:pPr>
        <w:pStyle w:val="Heading1"/>
        <w:rPr>
          <w:b/>
        </w:rPr>
      </w:pPr>
      <w:r w:rsidRPr="00DA4CEC">
        <w:br w:type="page"/>
      </w:r>
      <w:r w:rsidR="00DA4CEC" w:rsidRPr="00DA4CEC">
        <w:rPr>
          <w:b/>
        </w:rPr>
        <w:lastRenderedPageBreak/>
        <w:t>List of Figures</w:t>
      </w:r>
    </w:p>
    <w:p w14:paraId="392DB394" w14:textId="77777777" w:rsidR="00A94EF3" w:rsidRPr="00DA4CEC" w:rsidRDefault="00A94EF3" w:rsidP="00DA4CEC">
      <w:pPr>
        <w:pStyle w:val="Heading1"/>
        <w:jc w:val="left"/>
      </w:pPr>
      <w:r w:rsidRPr="00DA4CEC">
        <w:t>Chapter 1.</w:t>
      </w:r>
    </w:p>
    <w:p w14:paraId="294F0398" w14:textId="77777777" w:rsidR="00A94EF3" w:rsidRPr="00DA4CEC" w:rsidRDefault="00A94EF3" w:rsidP="00A94EF3">
      <w:pPr>
        <w:pStyle w:val="NoSpacing"/>
      </w:pPr>
    </w:p>
    <w:p w14:paraId="574994FE" w14:textId="77777777" w:rsidR="00A94EF3" w:rsidRPr="00DA4CEC" w:rsidRDefault="00A94EF3">
      <w:pPr>
        <w:pStyle w:val="TableofFigures"/>
        <w:tabs>
          <w:tab w:val="right" w:leader="dot" w:pos="8486"/>
        </w:tabs>
        <w:rPr>
          <w:rFonts w:eastAsia="ＭＳ 明朝"/>
          <w:noProof/>
          <w:lang w:eastAsia="ja-JP" w:bidi="ar-SA"/>
        </w:rPr>
      </w:pPr>
      <w:r w:rsidRPr="00DA4CEC">
        <w:fldChar w:fldCharType="begin"/>
      </w:r>
      <w:r w:rsidRPr="00DA4CEC">
        <w:instrText xml:space="preserve"> TOC \h \z \c "Figure" </w:instrText>
      </w:r>
      <w:r w:rsidRPr="00DA4CEC">
        <w:fldChar w:fldCharType="separate"/>
      </w:r>
      <w:r w:rsidR="007F6E7D" w:rsidRPr="00DA4CEC">
        <w:rPr>
          <w:noProof/>
        </w:rPr>
        <w:t>Figure 1.  The transport</w:t>
      </w:r>
      <w:r w:rsidRPr="00DA4CEC">
        <w:rPr>
          <w:noProof/>
        </w:rPr>
        <w:t xml:space="preserve"> of radioactively labeled sulfate in seawater to the interior of a sand patty.............................................</w:t>
      </w:r>
      <w:r w:rsidR="00430B3F">
        <w:rPr>
          <w:noProof/>
        </w:rPr>
        <w:tab/>
        <w:t>35</w:t>
      </w:r>
    </w:p>
    <w:p w14:paraId="3CE5A5A5" w14:textId="77777777" w:rsidR="00A94EF3" w:rsidRPr="00DA4CEC" w:rsidRDefault="00A94EF3">
      <w:pPr>
        <w:pStyle w:val="TableofFigures"/>
        <w:tabs>
          <w:tab w:val="right" w:leader="dot" w:pos="8486"/>
        </w:tabs>
        <w:rPr>
          <w:rFonts w:eastAsia="ＭＳ 明朝"/>
          <w:noProof/>
          <w:lang w:eastAsia="ja-JP" w:bidi="ar-SA"/>
        </w:rPr>
      </w:pPr>
      <w:r w:rsidRPr="00DA4CEC">
        <w:rPr>
          <w:noProof/>
        </w:rPr>
        <w:t>Figure 2. Time course absorbance measurements at 254 nM on irradiated and non-irradiated water-soluble sand patty extracts..</w:t>
      </w:r>
      <w:r w:rsidRPr="00DA4CEC">
        <w:rPr>
          <w:noProof/>
        </w:rPr>
        <w:tab/>
      </w:r>
      <w:r w:rsidR="00430B3F">
        <w:rPr>
          <w:noProof/>
        </w:rPr>
        <w:t>36</w:t>
      </w:r>
    </w:p>
    <w:p w14:paraId="51108ED2" w14:textId="77777777" w:rsidR="00A94EF3" w:rsidRPr="00DA4CEC" w:rsidRDefault="00A94EF3">
      <w:pPr>
        <w:pStyle w:val="TableofFigures"/>
        <w:tabs>
          <w:tab w:val="right" w:leader="dot" w:pos="8486"/>
        </w:tabs>
        <w:rPr>
          <w:rFonts w:eastAsia="ＭＳ 明朝"/>
          <w:noProof/>
          <w:lang w:eastAsia="ja-JP" w:bidi="ar-SA"/>
        </w:rPr>
      </w:pPr>
      <w:r w:rsidRPr="00DA4CEC">
        <w:rPr>
          <w:noProof/>
        </w:rPr>
        <w:t>Figure 3. Total amount of O</w:t>
      </w:r>
      <w:r w:rsidRPr="00DA4CEC">
        <w:rPr>
          <w:noProof/>
          <w:vertAlign w:val="subscript"/>
        </w:rPr>
        <w:t>2</w:t>
      </w:r>
      <w:r w:rsidRPr="00DA4CEC">
        <w:rPr>
          <w:noProof/>
        </w:rPr>
        <w:t xml:space="preserve"> consumed over the course of 68 hours in aerobic GoM sediment incubations..</w:t>
      </w:r>
      <w:r w:rsidRPr="00DA4CEC">
        <w:rPr>
          <w:noProof/>
        </w:rPr>
        <w:tab/>
      </w:r>
      <w:r w:rsidR="00430B3F">
        <w:rPr>
          <w:noProof/>
        </w:rPr>
        <w:t>37</w:t>
      </w:r>
    </w:p>
    <w:p w14:paraId="0343ED01" w14:textId="77777777" w:rsidR="00A94EF3" w:rsidRPr="00DA4CEC" w:rsidRDefault="00A94EF3">
      <w:pPr>
        <w:pStyle w:val="TableofFigures"/>
        <w:tabs>
          <w:tab w:val="right" w:leader="dot" w:pos="8486"/>
        </w:tabs>
        <w:rPr>
          <w:rFonts w:eastAsia="ＭＳ 明朝"/>
          <w:noProof/>
          <w:lang w:eastAsia="ja-JP" w:bidi="ar-SA"/>
        </w:rPr>
      </w:pPr>
      <w:r w:rsidRPr="00DA4CEC">
        <w:rPr>
          <w:noProof/>
        </w:rPr>
        <w:t>Figure 4.</w:t>
      </w:r>
      <w:r w:rsidRPr="00DA4CEC">
        <w:rPr>
          <w:noProof/>
          <w:color w:val="000000"/>
        </w:rPr>
        <w:t xml:space="preserve"> </w:t>
      </w:r>
      <w:r w:rsidRPr="00DA4CEC">
        <w:rPr>
          <w:noProof/>
        </w:rPr>
        <w:t>Subtracted Van Krevelen plots for aerobic biodegradation incubations..</w:t>
      </w:r>
      <w:r w:rsidRPr="00DA4CEC">
        <w:rPr>
          <w:noProof/>
        </w:rPr>
        <w:tab/>
      </w:r>
      <w:r w:rsidR="00430B3F">
        <w:rPr>
          <w:noProof/>
        </w:rPr>
        <w:t>38</w:t>
      </w:r>
    </w:p>
    <w:p w14:paraId="5FE7E341" w14:textId="77777777" w:rsidR="00A94EF3" w:rsidRPr="00DA4CEC" w:rsidRDefault="00A94EF3">
      <w:pPr>
        <w:pStyle w:val="TableofFigures"/>
        <w:tabs>
          <w:tab w:val="right" w:leader="dot" w:pos="8486"/>
        </w:tabs>
        <w:rPr>
          <w:noProof/>
        </w:rPr>
      </w:pPr>
      <w:r w:rsidRPr="00DA4CEC">
        <w:rPr>
          <w:noProof/>
        </w:rPr>
        <w:t>Figure 5.</w:t>
      </w:r>
      <w:r w:rsidRPr="00DA4CEC">
        <w:rPr>
          <w:noProof/>
          <w:color w:val="000000"/>
        </w:rPr>
        <w:t xml:space="preserve"> Dissolved organic carbon and fluorescence indices for T</w:t>
      </w:r>
      <w:r w:rsidRPr="00DA4CEC">
        <w:rPr>
          <w:noProof/>
          <w:color w:val="000000"/>
          <w:vertAlign w:val="subscript"/>
        </w:rPr>
        <w:t>0</w:t>
      </w:r>
      <w:r w:rsidRPr="00DA4CEC">
        <w:rPr>
          <w:noProof/>
          <w:color w:val="000000"/>
        </w:rPr>
        <w:t xml:space="preserve"> and T</w:t>
      </w:r>
      <w:r w:rsidRPr="00DA4CEC">
        <w:rPr>
          <w:noProof/>
          <w:color w:val="000000"/>
          <w:vertAlign w:val="subscript"/>
        </w:rPr>
        <w:t xml:space="preserve">Final </w:t>
      </w:r>
      <w:r w:rsidRPr="00DA4CEC">
        <w:rPr>
          <w:noProof/>
          <w:color w:val="000000"/>
        </w:rPr>
        <w:t>aerobic incubations..</w:t>
      </w:r>
      <w:r w:rsidRPr="00DA4CEC">
        <w:rPr>
          <w:noProof/>
        </w:rPr>
        <w:tab/>
      </w:r>
      <w:r w:rsidR="00430B3F">
        <w:rPr>
          <w:noProof/>
        </w:rPr>
        <w:t>39</w:t>
      </w:r>
    </w:p>
    <w:p w14:paraId="5E060EAE" w14:textId="77777777" w:rsidR="00A94EF3" w:rsidRPr="00DA4CEC" w:rsidRDefault="00A94EF3" w:rsidP="00A94EF3">
      <w:pPr>
        <w:rPr>
          <w:noProof/>
        </w:rPr>
      </w:pPr>
      <w:r w:rsidRPr="00DA4CEC">
        <w:rPr>
          <w:noProof/>
        </w:rPr>
        <w:t xml:space="preserve">Supplemental 1. </w:t>
      </w:r>
      <w:r w:rsidR="00280E8A" w:rsidRPr="00DA4CEC">
        <w:rPr>
          <w:noProof/>
        </w:rPr>
        <w:t xml:space="preserve">Van Krevelen and subtracted Van Krevelen plots for aerobic biodegradation incubations </w:t>
      </w:r>
      <w:r w:rsidRPr="00DA4CEC">
        <w:rPr>
          <w:noProof/>
        </w:rPr>
        <w:t>.......</w:t>
      </w:r>
      <w:r w:rsidR="00280E8A">
        <w:rPr>
          <w:noProof/>
        </w:rPr>
        <w:t>..</w:t>
      </w:r>
      <w:r w:rsidRPr="00DA4CEC">
        <w:rPr>
          <w:noProof/>
        </w:rPr>
        <w:t>...................................................................</w:t>
      </w:r>
      <w:r w:rsidR="00430B3F">
        <w:rPr>
          <w:noProof/>
        </w:rPr>
        <w:t>................ 40</w:t>
      </w:r>
    </w:p>
    <w:p w14:paraId="296E006E" w14:textId="77777777" w:rsidR="00A94EF3" w:rsidRPr="00DA4CEC" w:rsidRDefault="00A94EF3" w:rsidP="00A94EF3">
      <w:pPr>
        <w:rPr>
          <w:noProof/>
        </w:rPr>
      </w:pPr>
      <w:r w:rsidRPr="00DA4CEC">
        <w:rPr>
          <w:noProof/>
        </w:rPr>
        <w:t xml:space="preserve">Supplemental 2. </w:t>
      </w:r>
      <w:r w:rsidR="00280E8A" w:rsidRPr="00DA4CEC">
        <w:rPr>
          <w:noProof/>
        </w:rPr>
        <w:t>Absorbance scans on photooxidized and control sand patty organic matter at 12 and 24 hours</w:t>
      </w:r>
      <w:r w:rsidRPr="00DA4CEC">
        <w:rPr>
          <w:noProof/>
        </w:rPr>
        <w:t>.............</w:t>
      </w:r>
      <w:r w:rsidR="00280E8A">
        <w:rPr>
          <w:noProof/>
        </w:rPr>
        <w:t>..</w:t>
      </w:r>
      <w:r w:rsidRPr="00DA4CEC">
        <w:rPr>
          <w:noProof/>
        </w:rPr>
        <w:t>...................................................</w:t>
      </w:r>
      <w:r w:rsidR="00430B3F">
        <w:rPr>
          <w:noProof/>
        </w:rPr>
        <w:t>............................. 41</w:t>
      </w:r>
    </w:p>
    <w:p w14:paraId="7C133FEB" w14:textId="77777777" w:rsidR="00A94EF3" w:rsidRPr="00DA4CEC" w:rsidRDefault="00A94EF3" w:rsidP="00A94EF3">
      <w:pPr>
        <w:rPr>
          <w:rFonts w:eastAsia="ＭＳ 明朝"/>
          <w:noProof/>
        </w:rPr>
      </w:pPr>
    </w:p>
    <w:p w14:paraId="098810E9" w14:textId="77777777" w:rsidR="00A94EF3" w:rsidRPr="00DA4CEC" w:rsidRDefault="00A94EF3" w:rsidP="00A94EF3">
      <w:pPr>
        <w:rPr>
          <w:rFonts w:eastAsia="ＭＳ 明朝"/>
          <w:noProof/>
        </w:rPr>
      </w:pPr>
      <w:r w:rsidRPr="00DA4CEC">
        <w:rPr>
          <w:rFonts w:eastAsia="ＭＳ 明朝"/>
          <w:noProof/>
        </w:rPr>
        <w:t>Appendix A.</w:t>
      </w:r>
    </w:p>
    <w:p w14:paraId="43FD7BE8" w14:textId="77777777" w:rsidR="00A94EF3" w:rsidRPr="00DA4CEC" w:rsidRDefault="00A94EF3" w:rsidP="00A94EF3">
      <w:pPr>
        <w:rPr>
          <w:rFonts w:eastAsia="ＭＳ 明朝"/>
          <w:noProof/>
        </w:rPr>
      </w:pPr>
      <w:r w:rsidRPr="00DA4CEC">
        <w:rPr>
          <w:rFonts w:eastAsia="ＭＳ 明朝"/>
          <w:noProof/>
        </w:rPr>
        <w:t>Figure A1. Amount of sulfate lost over the course of a 507 day anaerobic Gulf of Mexico sediment incubation..............................................................</w:t>
      </w:r>
      <w:r w:rsidR="00430B3F">
        <w:rPr>
          <w:rFonts w:eastAsia="ＭＳ 明朝"/>
          <w:noProof/>
        </w:rPr>
        <w:t>............................. 49</w:t>
      </w:r>
    </w:p>
    <w:p w14:paraId="6E875523" w14:textId="77777777" w:rsidR="00A94EF3" w:rsidRPr="00DA4CEC" w:rsidRDefault="00A94EF3" w:rsidP="00A94EF3">
      <w:pPr>
        <w:rPr>
          <w:rFonts w:eastAsia="ＭＳ 明朝"/>
          <w:noProof/>
        </w:rPr>
      </w:pPr>
      <w:r w:rsidRPr="00DA4CEC">
        <w:rPr>
          <w:rFonts w:eastAsia="ＭＳ 明朝"/>
          <w:noProof/>
        </w:rPr>
        <w:t>Figure A2. The rate of SO</w:t>
      </w:r>
      <w:r w:rsidRPr="00DA4CEC">
        <w:rPr>
          <w:rFonts w:eastAsia="ＭＳ 明朝"/>
          <w:noProof/>
          <w:vertAlign w:val="subscript"/>
        </w:rPr>
        <w:t>4</w:t>
      </w:r>
      <w:r w:rsidRPr="00DA4CEC">
        <w:rPr>
          <w:rFonts w:eastAsia="ＭＳ 明朝"/>
          <w:noProof/>
        </w:rPr>
        <w:t xml:space="preserve"> loss and sulfide formed in Gulf of Mexico sediment incubations amended with various forms of sand patty deriv</w:t>
      </w:r>
      <w:r w:rsidR="00140871">
        <w:rPr>
          <w:rFonts w:eastAsia="ＭＳ 明朝"/>
          <w:noProof/>
        </w:rPr>
        <w:t>ed organic matter....</w:t>
      </w:r>
      <w:r w:rsidR="00430B3F">
        <w:rPr>
          <w:rFonts w:eastAsia="ＭＳ 明朝"/>
          <w:noProof/>
        </w:rPr>
        <w:t>........ 50</w:t>
      </w:r>
    </w:p>
    <w:p w14:paraId="58DA0218" w14:textId="77777777" w:rsidR="00A94EF3" w:rsidRPr="00DA4CEC" w:rsidRDefault="00A94EF3" w:rsidP="00A94EF3">
      <w:pPr>
        <w:rPr>
          <w:rFonts w:eastAsia="ＭＳ 明朝"/>
          <w:noProof/>
        </w:rPr>
      </w:pPr>
    </w:p>
    <w:p w14:paraId="3E8F3F97" w14:textId="77777777" w:rsidR="00A94EF3" w:rsidRPr="00DA4CEC" w:rsidRDefault="00A94EF3" w:rsidP="00A94EF3">
      <w:pPr>
        <w:rPr>
          <w:rFonts w:eastAsia="ＭＳ 明朝"/>
          <w:noProof/>
        </w:rPr>
      </w:pPr>
    </w:p>
    <w:p w14:paraId="18875AC6" w14:textId="77777777" w:rsidR="00860862" w:rsidRPr="00DA4CEC" w:rsidRDefault="00A94EF3" w:rsidP="00430B3F">
      <w:pPr>
        <w:jc w:val="center"/>
      </w:pPr>
      <w:r w:rsidRPr="00DA4CEC">
        <w:lastRenderedPageBreak/>
        <w:fldChar w:fldCharType="end"/>
      </w:r>
    </w:p>
    <w:p w14:paraId="1BB22C62" w14:textId="77777777" w:rsidR="00A94EF3" w:rsidRPr="00DA4CEC" w:rsidRDefault="00A94EF3" w:rsidP="00860862">
      <w:pPr>
        <w:jc w:val="center"/>
        <w:rPr>
          <w:b/>
        </w:rPr>
      </w:pPr>
      <w:bookmarkStart w:id="0" w:name="_Toc310579467"/>
      <w:bookmarkStart w:id="1" w:name="_Toc315681394"/>
      <w:r w:rsidRPr="00DA4CEC">
        <w:rPr>
          <w:b/>
        </w:rPr>
        <w:t>Abstract</w:t>
      </w:r>
      <w:bookmarkEnd w:id="0"/>
      <w:bookmarkEnd w:id="1"/>
    </w:p>
    <w:p w14:paraId="1D5D65E6" w14:textId="77777777" w:rsidR="00A94EF3" w:rsidRDefault="00DA4CEC" w:rsidP="00A94EF3">
      <w:r w:rsidRPr="00DA4CEC">
        <w:tab/>
      </w:r>
      <w:r w:rsidR="00A94EF3" w:rsidRPr="00DA4CEC">
        <w:t>The major biogeochemical forces influencing the envir</w:t>
      </w:r>
      <w:r w:rsidR="000235FD" w:rsidRPr="00DA4CEC">
        <w:t>onmental fate of spilled oil have</w:t>
      </w:r>
      <w:r w:rsidR="00A94EF3" w:rsidRPr="00DA4CEC">
        <w:t xml:space="preserve"> been intensively investigated for many decades.  The sinking and burying of spilled residual oil to form large mats that subsequently get broken up and washed onshore as sand patties has been well documented.  While recognized as an integral part of the weathering process, the environmental fate and effects of sand patties and their component chemicals are not well known.  We collected sand patties that were deposited in the swash zone on Gulf of Mexico beaches following the Deepwater Horizon oil spill.  The exposure of sand patties to sunlight, seawater, and the indigenous microbial communities suggested that photooxidation and biodegradation might be important advanced weathering processes for these materials.  When sand patties were exposed to simulated sunlight, a larger amount of dissolved organic matter (DOM) with greater UV absorption characteristics was photo-solubilized into seawater than the corresponding dark controls.  This is consistent with the general ease of movement of seawater through the sand patties.  High-resolution mass spectrometry as well as a variety of absorbance and fluorescence measurements revealed that the chemical nature of the DOM leached from the sand patties under dark and irradiated conditions was substantially different.  In both cases, the DOM did not have a significant inhibitory influence on the endogenous rate of aerobic or anaerobic microbial respiratory processes.  In addition, the DOM represented suitable electron donors to support at least short-term (3 d) aerobic microbial respiration activity.   The water-soluble photooxidation products stimulated significantly more oxygen respiration (113 </w:t>
      </w:r>
      <w:r w:rsidR="00A94EF3" w:rsidRPr="00DA4CEC">
        <w:rPr>
          <w:bCs/>
        </w:rPr>
        <w:t>µ</w:t>
      </w:r>
      <w:r w:rsidR="00A94EF3" w:rsidRPr="00DA4CEC">
        <w:t xml:space="preserve">M) </w:t>
      </w:r>
      <w:r w:rsidR="00A94EF3" w:rsidRPr="00DA4CEC">
        <w:lastRenderedPageBreak/>
        <w:t xml:space="preserve">than either the dark </w:t>
      </w:r>
      <w:r w:rsidR="00A94EF3" w:rsidRPr="00DA4CEC">
        <w:rPr>
          <w:bCs/>
        </w:rPr>
        <w:t>(78 µ</w:t>
      </w:r>
      <w:r w:rsidR="00A94EF3" w:rsidRPr="00DA4CEC">
        <w:t xml:space="preserve">M) or the endogenous (38 </w:t>
      </w:r>
      <w:r w:rsidR="00A94EF3" w:rsidRPr="00DA4CEC">
        <w:rPr>
          <w:bCs/>
        </w:rPr>
        <w:t xml:space="preserve">µM) </w:t>
      </w:r>
      <w:r w:rsidR="00A94EF3" w:rsidRPr="00DA4CEC">
        <w:t>forms of DOM.  The residual DOM analyzed at the end of the incubation was consistent with biodegradation as an explanation for the various changes in DOM quality and quantity.   Thus, these results confirm that sand patties are not recalcitrant and their deposition on beaches does not represent an end point in oil weathering processes.  Rather, sand patties undergo a gradual dissolution of DOM in both the dark and in the light, but photooxidation accelerates the production of water-soluble polar organic compounds that are relatively more amenable to aerobic biodegradation.  As such, these processes represent previously unrecognized advanced weathering stages that are important in the ultimate tran</w:t>
      </w:r>
      <w:r w:rsidRPr="00DA4CEC">
        <w:t>sformation of spilled crude oil.</w:t>
      </w:r>
    </w:p>
    <w:p w14:paraId="231AE82C" w14:textId="77777777" w:rsidR="00430B3F" w:rsidRPr="00DA4CEC" w:rsidRDefault="00430B3F" w:rsidP="00A94EF3">
      <w:pPr>
        <w:sectPr w:rsidR="00430B3F" w:rsidRPr="00DA4CEC" w:rsidSect="00A94EF3">
          <w:footerReference w:type="default" r:id="rId9"/>
          <w:pgSz w:w="12240" w:h="15840" w:code="1"/>
          <w:pgMar w:top="1440" w:right="1440" w:bottom="1440" w:left="2304" w:header="720" w:footer="720" w:gutter="0"/>
          <w:pgNumType w:fmt="lowerRoman" w:start="4"/>
          <w:cols w:space="720"/>
          <w:docGrid w:linePitch="360"/>
        </w:sectPr>
      </w:pPr>
    </w:p>
    <w:p w14:paraId="5A499BA0" w14:textId="77777777" w:rsidR="00430B3F" w:rsidRPr="00DA4CEC" w:rsidRDefault="00430B3F" w:rsidP="00430B3F">
      <w:pPr>
        <w:jc w:val="center"/>
        <w:rPr>
          <w:b/>
        </w:rPr>
      </w:pPr>
      <w:bookmarkStart w:id="2" w:name="_Toc310579468"/>
      <w:bookmarkStart w:id="3" w:name="_Toc315681395"/>
      <w:r w:rsidRPr="00DA4CEC">
        <w:rPr>
          <w:b/>
        </w:rPr>
        <w:lastRenderedPageBreak/>
        <w:t>Preface</w:t>
      </w:r>
    </w:p>
    <w:p w14:paraId="54E43971" w14:textId="77777777" w:rsidR="00430B3F" w:rsidRPr="00DA4CEC" w:rsidRDefault="00430B3F" w:rsidP="00430B3F">
      <w:r w:rsidRPr="00DA4CEC">
        <w:tab/>
        <w:t>Although researchers have studied the fate and effects of petroleum spilled in the environment for well over a century, no investigation has ever documented the complete mineralization of all oil constituents.  An enormous literature exists that has helped clarify the integrated transformation of petroleum-derived hydrocarbons by a variety of physical, chemical and biological weathering processes.  However, the advanced stages of oil weathering are still poorly understood.  This is, in part, due to the increased complexity of even recognizing the component hydrocarbons in traditional analytical efforts.  Rather than exploring oil per se, this thesis focuses on the environmental fate of highly weathered oil that could be readily collected from the field.  As such, this work attempts to fill in some of the knowledge gaps as it relates to the further transformation of spilt oil and its effects on the resident microflora in coastal marine ecosystems.</w:t>
      </w:r>
    </w:p>
    <w:p w14:paraId="527C889B" w14:textId="77777777" w:rsidR="00430B3F" w:rsidRPr="00DA4CEC" w:rsidRDefault="00430B3F" w:rsidP="00430B3F">
      <w:r w:rsidRPr="00DA4CEC">
        <w:tab/>
        <w:t xml:space="preserve">In the wake of the Deepwater Horizon oil spill, highly weathered oil combined with Gulf of Mexico sediments to form sand patties that washed ashore and deposited on northern beaches.  This thesis specifically details the effects of the combination of photooxidation and biodegradation processes on sand patties and sand patty-derived organic matter.  During the study, it became clear that photooxidation of sand patties was capable of generating quantitatively more water-soluble and qualitatively more oxidized organic material than corresponding control experiments kept in the dark.  While both the dark and the irradiated organic matter were amenable to aerobic biodegradation processes, more oxygen respiration was noted with the photo-solubilized components. </w:t>
      </w:r>
    </w:p>
    <w:p w14:paraId="0E917302" w14:textId="77777777" w:rsidR="00430B3F" w:rsidRPr="00DA4CEC" w:rsidRDefault="00430B3F" w:rsidP="00430B3F">
      <w:r w:rsidRPr="00DA4CEC">
        <w:lastRenderedPageBreak/>
        <w:tab/>
        <w:t xml:space="preserve">This thesis is comprised of a single chapter, supplemental material, and one appendix that collectively describe the impact of photooxidation and biodegradation on the environmental fate of sand patties formed following the Deepwater Horizon incident.  The chapter and supplemental is written in the style that is consistent with the journal </w:t>
      </w:r>
      <w:r w:rsidRPr="00DA4CEC">
        <w:rPr>
          <w:i/>
        </w:rPr>
        <w:t>Environmental Science &amp; Technology</w:t>
      </w:r>
      <w:r w:rsidRPr="00DA4CEC">
        <w:t xml:space="preserve">. </w:t>
      </w:r>
    </w:p>
    <w:p w14:paraId="7CF5DF40" w14:textId="77777777" w:rsidR="00430B3F" w:rsidRPr="00DA4CEC" w:rsidRDefault="00430B3F" w:rsidP="00430B3F">
      <w:r w:rsidRPr="00DA4CEC">
        <w:tab/>
        <w:t xml:space="preserve">In Chapter 1, I collected sand patties and sediment from Fort Morgan and Gulf Shores, Alabama. These sand patties and sediment were utilized to perform aerobic and anaerobic toxicity evaluations on endogenous microbial communities, as well as to establish aerobic and anaerobic biodegradation experiments. The largest sand patties I collected were interrogated for their relative hydrophobicity via the use of a </w:t>
      </w:r>
      <w:r w:rsidRPr="00DA4CEC">
        <w:rPr>
          <w:vertAlign w:val="superscript"/>
        </w:rPr>
        <w:t>35</w:t>
      </w:r>
      <w:r w:rsidRPr="00DA4CEC">
        <w:t>SO</w:t>
      </w:r>
      <w:r w:rsidRPr="00DA4CEC">
        <w:rPr>
          <w:vertAlign w:val="subscript"/>
        </w:rPr>
        <w:t>4</w:t>
      </w:r>
      <w:r w:rsidRPr="00DA4CEC">
        <w:t xml:space="preserve"> tracer. </w:t>
      </w:r>
    </w:p>
    <w:p w14:paraId="7F829E0C" w14:textId="77777777" w:rsidR="00430B3F" w:rsidRPr="00DA4CEC" w:rsidRDefault="00430B3F" w:rsidP="00430B3F">
      <w:r w:rsidRPr="00DA4CEC">
        <w:tab/>
        <w:t>Additional sand patties were irradiated via the use of a solar simulator and the organic content was monitored via absorbance spectroscopy. This generated photooxidized water-soluble organic material that was subsequently used for toxicity and biodegradation experiments. Since aerobic experiments showed the potential for aerobic biodegradation, T</w:t>
      </w:r>
      <w:r w:rsidRPr="00DA4CEC">
        <w:rPr>
          <w:vertAlign w:val="subscript"/>
        </w:rPr>
        <w:t>0</w:t>
      </w:r>
      <w:r w:rsidRPr="00DA4CEC">
        <w:t xml:space="preserve"> and T</w:t>
      </w:r>
      <w:r w:rsidRPr="00DA4CEC">
        <w:rPr>
          <w:vertAlign w:val="subscript"/>
        </w:rPr>
        <w:t xml:space="preserve">Final </w:t>
      </w:r>
      <w:r w:rsidRPr="00DA4CEC">
        <w:t xml:space="preserve">samples were sent to collaborators at the National High Magnetic Field Laboratory at Florida State University in Tallahassee, Florida for further chemical characterization. Our collaborators extracted the samples and were able to run the samples on their Fourier transform ion cyclotron resonance mass spectrometer and fluorometer. Analysis of the mass spectrometry and fluorometry data was performed in Tallahassee. Interpretation of the mass spectrometry data was performed by myself and Dr. Suflita with the input of our collaborators at Florida State University, and at the University of New Orleans, in New Orleans, Louisiana. </w:t>
      </w:r>
      <w:r w:rsidRPr="00DA4CEC">
        <w:lastRenderedPageBreak/>
        <w:t xml:space="preserve">Interpretation of the spectral data was performed by our collaborators at Florida State University and at The University of New Orleans. </w:t>
      </w:r>
    </w:p>
    <w:p w14:paraId="50F61FAE" w14:textId="77777777" w:rsidR="00430B3F" w:rsidRPr="00DA4CEC" w:rsidRDefault="00430B3F" w:rsidP="00430B3F">
      <w:r w:rsidRPr="00DA4CEC">
        <w:tab/>
        <w:t xml:space="preserve">In contrast to the main chapter and supplemental portion of the thesis, the Appendix details my efforts at characterizing the susceptibility of sand patty-derived organic matter to anaerobic biodegradation processes. This facet of the study documented that such organic matter is likely to be fairly recalcitrant, at least when exposed to microorganisms in coastal marine environments. I considered the prospect that my initial findings may have been too subtle to allow me to detect electron acceptor consumption against a large background signal. I therefore repeated the experiment by periodically interrogating the experiment with a sensitive radiotracer.  The latter experiment reinforced the conclusion that the sand patty organic matter tended to resist anaerobic biodegradation processes. </w:t>
      </w:r>
    </w:p>
    <w:p w14:paraId="0D2A30A7" w14:textId="77777777" w:rsidR="00430B3F" w:rsidRDefault="00430B3F" w:rsidP="00430B3F">
      <w:pPr>
        <w:pStyle w:val="Heading1"/>
      </w:pPr>
      <w:r w:rsidRPr="00DA4CEC">
        <w:tab/>
        <w:t>Collectively, the findings argue that sand patty deposition does not represent an endpoint in the environmental fate of sand patties deposited on beaches following a major oil spill.  Rather, photooxidation, water washing, and biodegradation are each important processes governing the ultimate fate of these highly weathered oil-derived structures.</w:t>
      </w:r>
    </w:p>
    <w:p w14:paraId="2699335D" w14:textId="77777777" w:rsidR="00430B3F" w:rsidRDefault="00430B3F" w:rsidP="00430B3F"/>
    <w:p w14:paraId="5E542F34" w14:textId="77777777" w:rsidR="00430B3F" w:rsidRDefault="00430B3F" w:rsidP="00430B3F"/>
    <w:p w14:paraId="5EA3D57A" w14:textId="77777777" w:rsidR="00430B3F" w:rsidRDefault="00430B3F" w:rsidP="00430B3F"/>
    <w:p w14:paraId="4E417F43" w14:textId="77777777" w:rsidR="00430B3F" w:rsidRDefault="00430B3F" w:rsidP="00430B3F"/>
    <w:p w14:paraId="41BC144B" w14:textId="77777777" w:rsidR="00430B3F" w:rsidRDefault="00430B3F" w:rsidP="00430B3F"/>
    <w:p w14:paraId="67634AC0" w14:textId="77777777" w:rsidR="00430B3F" w:rsidRDefault="00430B3F" w:rsidP="00430B3F"/>
    <w:p w14:paraId="673788DB" w14:textId="77777777" w:rsidR="00DA4CEC" w:rsidRPr="00DA4CEC" w:rsidRDefault="00DA4CEC" w:rsidP="00863D6C">
      <w:pPr>
        <w:pStyle w:val="Heading1"/>
        <w:rPr>
          <w:b/>
        </w:rPr>
      </w:pPr>
      <w:r w:rsidRPr="00DA4CEC">
        <w:rPr>
          <w:b/>
        </w:rPr>
        <w:lastRenderedPageBreak/>
        <w:t>Chapter 1</w:t>
      </w:r>
    </w:p>
    <w:p w14:paraId="588A22FB" w14:textId="77777777" w:rsidR="00DA4CEC" w:rsidRPr="00DA4CEC" w:rsidRDefault="00DA4CEC" w:rsidP="00DA4CEC"/>
    <w:p w14:paraId="466CE6D4" w14:textId="77777777" w:rsidR="00A94EF3" w:rsidRPr="00DA4CEC" w:rsidRDefault="00A94EF3" w:rsidP="00863D6C">
      <w:pPr>
        <w:pStyle w:val="Heading1"/>
        <w:rPr>
          <w:b/>
        </w:rPr>
      </w:pPr>
      <w:r w:rsidRPr="00DA4CEC">
        <w:rPr>
          <w:b/>
        </w:rPr>
        <w:t>Introduction</w:t>
      </w:r>
      <w:bookmarkEnd w:id="2"/>
      <w:bookmarkEnd w:id="3"/>
    </w:p>
    <w:p w14:paraId="5AE01F37" w14:textId="77777777" w:rsidR="00A94EF3" w:rsidRPr="00DA4CEC" w:rsidRDefault="00A94EF3" w:rsidP="00A94EF3">
      <w:r w:rsidRPr="00DA4CEC">
        <w:tab/>
        <w:t>On April 20, 2010, the catastrophic blowout of the Deepwater Horizon drilling rig resulted in the deaths of 11 workers and injury of another 17 individuals.  Over the next 87 d, the Macondo wellhead spewed oil from approximately 1500 meters below the surface of the Gulf of Mexico (GoM), 68 kilometers southeast of the Louisiana coast. It has been estimated that between 4.2 and 4.9 million barrels of oil were released making it the largest accidental oil spill in history.</w:t>
      </w:r>
      <w:r w:rsidRPr="00DA4CEC">
        <w:fldChar w:fldCharType="begin" w:fldLock="1"/>
      </w:r>
      <w:r w:rsidRPr="00DA4CEC">
        <w:instrText>ADDIN CSL_CITATION { "citationItems" : [ { "id" : "ITEM-1", "itemData" : { "DOI" : "10.1073/pnas.1112139108", "author" : [ { "dropping-particle" : "", "family" : "Mcnutt", "given" : "Marcia K", "non-dropping-particle" : "", "parse-names" : false, "suffix" : "" }, { "dropping-particle" : "", "family" : "Camilli", "given" : "Rich", "non-dropping-particle" : "", "parse-names" : false, "suffix" : "" }, { "dropping-particle" : "", "family" : "Crone", "given" : "Timothy J", "non-dropping-particle" : "", "parse-names" : false, "suffix" : "" }, { "dropping-particle" : "", "family" : "Guthrie", "given" : "George D", "non-dropping-particle" : "", "parse-names" : false, "suffix" : "" }, { "dropping-particle" : "", "family" : "Hsieh", "given" : "Paul A", "non-dropping-particle" : "", "parse-names" : false, "suffix" : "" }, { "dropping-particle" : "", "family" : "Ryerson", "given" : "Thomas B", "non-dropping-particle" : "", "parse-names" : false, "suffix" : "" }, { "dropping-particle" : "", "family" : "Savas", "given" : "Omer", "non-dropping-particle" : "", "parse-names" : false, "suffix" : "" }, { "dropping-particle" : "", "family" : "Shaffer", "given" : "Frank", "non-dropping-particle" : "", "parse-names" : false, "suffix" : "" } ], "container-title" : "Proceeds of the National Academy of Sciences", "id" : "ITEM-1", "issue" : "50", "issued" : { "date-parts" : [ [ "2012" ] ] }, "page" : "20260-20267", "title" : "Review of flow rate estimates of the Deepwater Horizon oil spill", "type" : "article-journal", "volume" : "109" }, "uris" : [ "http://www.mendeley.com/documents/?uuid=231afb37-be36-40ce-a454-0e610b472d33" ] }, { "id" : "ITEM-2", "itemData" : { "DOI" : "10.1038/ngeo1067", "ISSN" : "1752-0894", "author" : [ { "dropping-particle" : "", "family" : "Joye", "given" : "Samantha B", "non-dropping-particle" : "", "parse-names" : false, "suffix" : "" }, { "dropping-particle" : "", "family" : "Macdonald", "given" : "Ian R", "non-dropping-particle" : "", "parse-names" : false, "suffix" : "" }, { "dropping-particle" : "", "family" : "Leifer", "given" : "Ira", "non-dropping-particle" : "", "parse-names" : false, "suffix" : "" }, { "dropping-particle" : "", "family" : "Asper", "given" : "Vernon", "non-dropping-particle" : "", "parse-names" : false, "suffix" : "" } ], "container-title" : "Nature Geoscience", "id" : "ITEM-2", "issue" : "3", "issued" : { "date-parts" : [ [ "2011" ] ] }, "page" : "160-164", "publisher" : "Nature Publishing Group", "title" : "Magnitude and oxidation potential of hydrocarbon gases released from the BP oil well blowout", "type" : "article-journal", "volume" : "4" }, "uris" : [ "http://www.mendeley.com/documents/?uuid=5dd14803-5045-4ade-9737-15134093701f" ] }, { "id" : "ITEM-3", "itemData" : { "DOI" : "10.1073/pnas.1100385108", "author" : [ { "dropping-particle" : "", "family" : "Camilli", "given" : "Richard", "non-dropping-particle" : "", "parse-names" : false, "suffix" : "" }, { "dropping-particle" : "", "family" : "Di", "given" : "Daniela", "non-dropping-particle" : "", "parse-names" : false, "suffix" : "" }, { "dropping-particle" : "", "family" : "Bowen", "given" : "Andrew", "non-dropping-particle" : "", "parse-names" : false, "suffix" : "" }, { "dropping-particle" : "", "family" : "Reddy", "given" : "Christopher M", "non-dropping-particle" : "", "parse-names" : false, "suffix" : "" }, { "dropping-particle" : "", "family" : "Techet", "given" : "Alexandra H", "non-dropping-particle" : "", "parse-names" : false, "suffix" : "" }, { "dropping-particle" : "", "family" : "Yoerger", "given" : "Dana R", "non-dropping-particle" : "", "parse-names" : false, "suffix" : "" }, { "dropping-particle" : "", "family" : "Whitcomb", "given" : "Louis L", "non-dropping-particle" : "", "parse-names" : false, "suffix" : "" }, { "dropping-particle" : "", "family" : "Seewald", "given" : "Jeffrey S", "non-dropping-particle" : "", "parse-names" : false, "suffix" : "" }, { "dropping-particle" : "", "family" : "Sylva", "given" : "Sean P", "non-dropping-particle" : "", "parse-names" : false, "suffix" : "" }, { "dropping-particle" : "", "family" : "Fenwick", "given" : "Judith", "non-dropping-particle" : "", "parse-names" : false, "suffix" : "" } ], "container-title" : "Proc Natl Acad Sci USA", "id" : "ITEM-3", "issue" : "50", "issued" : { "date-parts" : [ [ "2012" ] ] }, "page" : "20235-20239", "title" : "Acoustic measurement of the Deepwater Horizon Macondo well flow rate", "type" : "article-journal", "volume" : "109" }, "uris" : [ "http://www.mendeley.com/documents/?uuid=39408009-16cb-426e-ab79-5eebdfe5a7ea" ] } ], "mendeley" : { "formattedCitation" : "&lt;sup&gt;1\u20133&lt;/sup&gt;", "plainTextFormattedCitation" : "1\u20133", "previouslyFormattedCitation" : "&lt;sup&gt;1\u20133&lt;/sup&gt;" }, "properties" : { "noteIndex" : 0 }, "schema" : "https://github.com/citation-style-language/schema/raw/master/csl-citation.json" }</w:instrText>
      </w:r>
      <w:r w:rsidRPr="00DA4CEC">
        <w:fldChar w:fldCharType="separate"/>
      </w:r>
      <w:r w:rsidRPr="00DA4CEC">
        <w:rPr>
          <w:noProof/>
          <w:vertAlign w:val="superscript"/>
        </w:rPr>
        <w:t>1–3</w:t>
      </w:r>
      <w:r w:rsidRPr="00DA4CEC">
        <w:fldChar w:fldCharType="end"/>
      </w:r>
      <w:r w:rsidRPr="00DA4CEC">
        <w:t xml:space="preserve"> </w:t>
      </w:r>
    </w:p>
    <w:p w14:paraId="631A76C4" w14:textId="77777777" w:rsidR="00A94EF3" w:rsidRPr="00DA4CEC" w:rsidRDefault="00A94EF3" w:rsidP="00A94EF3">
      <w:r w:rsidRPr="00DA4CEC">
        <w:tab/>
        <w:t>Numerous studies have examined the fate and impact of released Macondo oil within the plume</w:t>
      </w:r>
      <w:r w:rsidRPr="00DA4CEC">
        <w:fldChar w:fldCharType="begin" w:fldLock="1"/>
      </w:r>
      <w:r w:rsidRPr="00DA4CEC">
        <w:instrText>ADDIN CSL_CITATION { "citationItems" : [ { "id" : "ITEM-1", "itemData" : { "author" : [ { "dropping-particle" : "", "family" : "Dubinsky", "given" : "Eric A", "non-dropping-particle" : "", "parse-names" : false, "suffix" : "" }, { "dropping-particle" : "", "family" : "Conrad", "given" : "Mark E", "non-dropping-particle" : "", "parse-names" : false, "suffix" : "" }, { "dropping-particle" : "", "family" : "Chakraborty", "given" : "Romy", "non-dropping-particle" : "", "parse-names" : false, "suffix" : "" }, { "dropping-particle" : "", "family" : "Bill", "given" : "Markus", "non-dropping-particle" : "", "parse-names" : false, "suffix" : "" }, { "dropping-particle" : "", "family" : "Borglin", "given" : "Sharon E", "non-dropping-particle" : "", "parse-names" : false, "suffix" : "" }, { "dropping-particle" : "", "family" : "Hollibaugh", "given" : "James T", "non-dropping-particle" : "", "parse-names" : false, "suffix" : "" }, { "dropping-particle" : "", "family" : "Mason", "given" : "Olivia U", "non-dropping-particle" : "", "parse-names" : false, "suffix" : "" }, { "dropping-particle" : "", "family" : "Piceno", "given" : "Yvette M", "non-dropping-particle" : "", "parse-names" : false, "suffix" : "" }, { "dropping-particle" : "", "family" : "Reid", "given" : "Francine C", "non-dropping-particle" : "", "parse-names" : false, "suffix" : "" }, { "dropping-particle" : "", "family" : "Stringfellow", "given" : "William T", "non-dropping-particle" : "", "parse-names" : false, "suffix" : "" }, { "dropping-particle" : "", "family" : "Tom", "given" : "Lauren M", "non-dropping-particle" : "", "parse-names" : false, "suffix" : "" }, { "dropping-particle" : "", "family" : "Hazen", "given" : "Terry C", "non-dropping-particle" : "", "parse-names" : false, "suffix" : "" }, { "dropping-particle" : "", "family" : "Andersen", "given" : "Gary L", "non-dropping-particle" : "", "parse-names" : false, "suffix" : "" } ], "container-title" : "Environmental Science and Technology", "id" : "ITEM-1", "issued" : { "date-parts" : [ [ "2013" ] ] }, "page" : "10860-10867", "title" : "Succession of Hydrocarbon-Degrading Bacteria in the Aftermath of the Deepwater Horizon Oil Spill in the Gulf of Mexico", "type" : "article-journal", "volume" : "47" }, "uris" : [ "http://www.mendeley.com/documents/?uuid=63a9a6e3-ce90-499b-9715-d49d231b2105" ] }, { "id" : "ITEM-2", "itemData" : { "DOI" : "10.1038/ismej.2013.98", "ISSN" : "1751-7362", "author" : [ { "dropping-particle" : "", "family" : "Gutierrez", "given" : "Tony", "non-dropping-particle" : "", "parse-names" : false, "suffix" : "" }, { "dropping-particle" : "", "family" : "Singleton", "given" : "David R", "non-dropping-particle" : "", "parse-names" : false, "suffix" : "" }, { "dropping-particle" : "", "family" : "Berry", "given" : "David", "non-dropping-particle" : "", "parse-names" : false, "suffix" : "" }, { "dropping-particle" : "", "family" : "Yang", "given" : "Tingting", "non-dropping-particle" : "", "parse-names" : false, "suffix" : "" }, { "dropping-particle" : "", "family" : "Aitken", "given" : "Michael D", "non-dropping-particle" : "", "parse-names" : false, "suffix" : "" }, { "dropping-particle" : "", "family" : "Teske", "given" : "Andreas", "non-dropping-particle" : "", "parse-names" : false, "suffix" : "" } ], "container-title" : "The ISME JournalISME", "id" : "ITEM-2", "issue" : "11", "issued" : { "date-parts" : [ [ "2013" ] ] }, "page" : "2091-2104", "publisher" : "Nature Publishing Group", "title" : "Hydrocarbon-degrading bacteria enriched by the Deepwater Horizon oil spill identified by cultivation and DNA-SIP", "type" : "article-journal", "volume" : "7" }, "uris" : [ "http://www.mendeley.com/documents/?uuid=983906b0-4ba6-45e5-93d5-deb0bef2592b" ] }, { "id" : "ITEM-3", "itemData" : { "DOI" : "10.1093/biosci/biu121", "author" : [ { "dropping-particle" : "", "family" : "Joye", "given" : "Samantha B", "non-dropping-particle" : "", "parse-names" : false, "suffix" : "" }, { "dropping-particle" : "", "family" : "Teske", "given" : "Andreas P", "non-dropping-particle" : "", "parse-names" : false, "suffix" : "" }, { "dropping-particle" : "", "family" : "Kostka", "given" : "Joel E", "non-dropping-particle" : "", "parse-names" : false, "suffix" : "" } ], "container-title" : "Bioscience", "id" : "ITEM-3", "issue" : "9", "issued" : { "date-parts" : [ [ "2014" ] ] }, "page" : "766-777", "title" : "Microbial Dynamics Following the Macondo Oil Well Blowout across Gulf of Mexico Environments", "type" : "article-journal", "volume" : "64" }, "uris" : [ "http://www.mendeley.com/documents/?uuid=d3464247-0dff-4894-8a9a-b6a9f98a9985" ] }, { "id" : "ITEM-4", "itemData" : { "DOI" : "10.1038/ismej.2015.121", "ISSN" : "1751-7362", "author" : [ { "dropping-particle" : "", "family" : "Kleindienst", "given" : "Sara", "non-dropping-particle" : "", "parse-names" : false, "suffix" : "" }, { "dropping-particle" : "", "family" : "Grim", "given" : "Sharon", "non-dropping-particle" : "", "parse-names" : false, "suffix" : "" }, { "dropping-particle" : "", "family" : "Sogin", "given" : "Mitchell", "non-dropping-particle" : "", "parse-names" : false, "suffix" : "" }, { "dropping-particle" : "", "family" : "Bracco", "given" : "Annalisa", "non-dropping-particle" : "", "parse-names" : false, "suffix" : "" }, { "dropping-particle" : "", "family" : "Crespo-medina", "given" : "Melitza", "non-dropping-particle" : "", "parse-names" : false, "suffix" : "" }, { "dropping-particle" : "", "family" : "Joye", "given" : "Samantha B", "non-dropping-particle" : "", "parse-names" : false, "suffix" : "" } ], "container-title" : "The ISME Journal", "id" : "ITEM-4", "issue" : "2", "issued" : { "date-parts" : [ [ "2015" ] ] }, "page" : "400-415", "publisher" : "Nature Publishing Group", "title" : "Diverse , rare microbial taxa responded to the Deepwater Horizon deep-sea hydrocarbon plume", "type" : "article-journal", "volume" : "10" }, "uris" : [ "http://www.mendeley.com/documents/?uuid=8d6013a6-ae81-4ad8-9762-3159d5d17df5" ] }, { "id" : "ITEM-5", "itemData" : { "DOI" : "10.1016/j.dsr2.2014.01.014", "ISSN" : "0967-0645", "author" : [ { "dropping-particle" : "", "family" : "Yang", "given" : "Tingting", "non-dropping-particle" : "", "parse-names" : false, "suffix" : "" }, { "dropping-particle" : "", "family" : "Nigro", "given" : "Lisa M", "non-dropping-particle" : "", "parse-names" : false, "suffix" : "" }, { "dropping-particle" : "", "family" : "Gutierrez", "given" : "Tony", "non-dropping-particle" : "", "parse-names" : false, "suffix" : "" }, { "dropping-particle" : "", "family" : "Ambrosio", "given" : "Lindsay D", "non-dropping-particle" : "", "parse-names" : false, "suffix" : "" }, { "dropping-particle" : "", "family" : "Joye", "given" : "Samantha B", "non-dropping-particle" : "", "parse-names" : false, "suffix" : "" }, { "dropping-particle" : "", "family" : "Highsmith", "given" : "Raymond", "non-dropping-particle" : "", "parse-names" : false, "suffix" : "" }, { "dropping-particle" : "", "family" : "Teske", "given" : "Andreas", "non-dropping-particle" : "", "parse-names" : false, "suffix" : "" } ], "container-title" : "Deep-Sea Research Part II", "id" : "ITEM-5", "issued" : { "date-parts" : [ [ "2014" ] ] }, "page" : "1-10", "publisher" : "Elsevier", "title" : "Deep-Sea Research II Pulsed blooms and persistent oil-degrading bacterial populations in the water column during and after the Deepwater Horizon blowout", "type" : "article-journal" }, "uris" : [ "http://www.mendeley.com/documents/?uuid=2c163e0a-bbd2-4350-a625-01bdd70e0459" ] } ], "mendeley" : { "formattedCitation" : "&lt;sup&gt;4\u20138&lt;/sup&gt;", "plainTextFormattedCitation" : "4\u20138", "previouslyFormattedCitation" : "&lt;sup&gt;4\u20138&lt;/sup&gt;" }, "properties" : { "noteIndex" : 0 }, "schema" : "https://github.com/citation-style-language/schema/raw/master/csl-citation.json" }</w:instrText>
      </w:r>
      <w:r w:rsidRPr="00DA4CEC">
        <w:fldChar w:fldCharType="separate"/>
      </w:r>
      <w:r w:rsidRPr="00DA4CEC">
        <w:rPr>
          <w:noProof/>
          <w:vertAlign w:val="superscript"/>
        </w:rPr>
        <w:t>4–8</w:t>
      </w:r>
      <w:r w:rsidRPr="00DA4CEC">
        <w:fldChar w:fldCharType="end"/>
      </w:r>
      <w:r w:rsidRPr="00DA4CEC">
        <w:t xml:space="preserve">, on the surface of the Gulf </w:t>
      </w:r>
      <w:r w:rsidRPr="00DA4CEC">
        <w:fldChar w:fldCharType="begin" w:fldLock="1"/>
      </w:r>
      <w:r w:rsidRPr="00DA4CEC">
        <w:instrText>ADDIN CSL_CITATION { "citationItems" : [ { "id" : "ITEM-1", "itemData" : { "DOI" : "10.1038/ismej.2013.98", "ISSN" : "1751-7362", "author" : [ { "dropping-particle" : "", "family" : "Gutierrez", "given" : "Tony", "non-dropping-particle" : "", "parse-names" : false, "suffix" : "" }, { "dropping-particle" : "", "family" : "Singleton", "given" : "David R", "non-dropping-particle" : "", "parse-names" : false, "suffix" : "" }, { "dropping-particle" : "", "family" : "Berry", "given" : "David", "non-dropping-particle" : "", "parse-names" : false, "suffix" : "" }, { "dropping-particle" : "", "family" : "Yang", "given" : "Tingting", "non-dropping-particle" : "", "parse-names" : false, "suffix" : "" }, { "dropping-particle" : "", "family" : "Aitken", "given" : "Michael D", "non-dropping-particle" : "", "parse-names" : false, "suffix" : "" }, { "dropping-particle" : "", "family" : "Teske", "given" : "Andreas", "non-dropping-particle" : "", "parse-names" : false, "suffix" : "" } ], "container-title" : "The ISME JournalISME", "id" : "ITEM-1", "issue" : "11", "issued" : { "date-parts" : [ [ "2013" ] ] }, "page" : "2091-2104", "publisher" : "Nature Publishing Group", "title" : "Hydrocarbon-degrading bacteria enriched by the Deepwater Horizon oil spill identified by cultivation and DNA-SIP", "type" : "article-journal", "volume" : "7" }, "uris" : [ "http://www.mendeley.com/documents/?uuid=983906b0-4ba6-45e5-93d5-deb0bef2592b" ] }, { "id" : "ITEM-2", "itemData" : { "DOI" : "10.1371/journal.pone.0034816", "author" : [ { "dropping-particle" : "", "family" : "Ziervogel", "given" : "Kai", "non-dropping-particle" : "", "parse-names" : false, "suffix" : "" }, { "dropping-particle" : "", "family" : "Mckay", "given" : "Luke", "non-dropping-particle" : "", "parse-names" : false, "suffix" : "" }, { "dropping-particle" : "", "family" : "Rhodes", "given" : "Benjamin", "non-dropping-particle" : "", "parse-names" : false, "suffix" : "" }, { "dropping-particle" : "", "family" : "Osburn", "given" : "Christopher L", "non-dropping-particle" : "", "parse-names" : false, "suffix" : "" }, { "dropping-particle" : "", "family" : "Dickson-brown", "given" : "Jennifer", "non-dropping-particle" : "", "parse-names" : false, "suffix" : "" }, { "dropping-particle" : "", "family" : "Arnosti", "given" : "Carol", "non-dropping-particle" : "", "parse-names" : false, "suffix" : "" }, { "dropping-particle" : "", "family" : "Teske", "given" : "Andreas", "non-dropping-particle" : "", "parse-names" : false, "suffix" : "" } ], "container-title" : "PLoS One", "id" : "ITEM-2", "issue" : "4", "issued" : { "date-parts" : [ [ "2012" ] ] }, "page" : "e34816", "title" : "Microbial Activities and Dissolved Organic Matter Dynamics in Oil-Contaminated Surface Seawater from the Deepwater Horizon Oil Spill Site", "type" : "article-journal", "volume" : "7" }, "uris" : [ "http://www.mendeley.com/documents/?uuid=06ab164e-eada-4a4e-bf35-e3b550ecee98" ] }, { "id" : "ITEM-3", "itemData" : { "DOI" : "10.3389/fmicb.2014.00603", "author" : [ { "dropping-particle" : "", "family" : "Kimes", "given" : "Nicole E", "non-dropping-particle" : "", "parse-names" : false, "suffix" : "" }, { "dropping-particle" : "V", "family" : "Callaghan", "given" : "Amy", "non-dropping-particle" : "", "parse-names" : false, "suffix" : "" }, { "dropping-particle" : "", "family" : "Suflita", "given" : "Joseph M", "non-dropping-particle" : "", "parse-names" : false, "suffix" : "" }, { "dropping-particle" : "", "family" : "Morris", "given" : "Pamela E", "non-dropping-particle" : "", "parse-names" : false, "suffix" : "" } ], "container-title" : "Frontiers in Microbiology", "id" : "ITEM-3", "issued" : { "date-parts" : [ [ "2014" ] ] }, "page" : "1-11", "title" : "Microbial transformation of the Deepwater Horizon oil spill \u2014 past , present , and future perspectives", "type" : "article-journal", "volume" : "5" }, "uris" : [ "http://www.mendeley.com/documents/?uuid=fd2dfb9a-7d16-4cfe-845c-4866a2947974" ] } ], "mendeley" : { "formattedCitation" : "&lt;sup&gt;5,9,10&lt;/sup&gt;", "plainTextFormattedCitation" : "5,9,10", "previouslyFormattedCitation" : "&lt;sup&gt;5,9,10&lt;/sup&gt;" }, "properties" : { "noteIndex" : 0 }, "schema" : "https://github.com/citation-style-language/schema/raw/master/csl-citation.json" }</w:instrText>
      </w:r>
      <w:r w:rsidRPr="00DA4CEC">
        <w:fldChar w:fldCharType="separate"/>
      </w:r>
      <w:r w:rsidRPr="00DA4CEC">
        <w:rPr>
          <w:noProof/>
          <w:vertAlign w:val="superscript"/>
        </w:rPr>
        <w:t>5,9,10</w:t>
      </w:r>
      <w:r w:rsidRPr="00DA4CEC">
        <w:fldChar w:fldCharType="end"/>
      </w:r>
      <w:r w:rsidRPr="00DA4CEC">
        <w:t xml:space="preserve">, buried in ocean sediments (either directly or as marine snow) </w:t>
      </w:r>
      <w:r w:rsidRPr="00DA4CEC">
        <w:fldChar w:fldCharType="begin" w:fldLock="1"/>
      </w:r>
      <w:r w:rsidR="00D34B4F" w:rsidRPr="00DA4CEC">
        <w:instrText>ADDIN CSL_CITATION { "citationItems" : [ { "id" : "ITEM-1", "itemData" : { "DOI" : "10.1093/biosci/biu121", "author" : [ { "dropping-particle" : "", "family" : "Joye", "given" : "Samantha B", "non-dropping-particle" : "", "parse-names" : false, "suffix" : "" }, { "dropping-particle" : "", "family" : "Teske", "given" : "Andreas P", "non-dropping-particle" : "", "parse-names" : false, "suffix" : "" }, { "dropping-particle" : "", "family" : "Kostka", "given" : "Joel E", "non-dropping-particle" : "", "parse-names" : false, "suffix" : "" } ], "container-title" : "Bioscience", "id" : "ITEM-1", "issue" : "9", "issued" : { "date-parts" : [ [ "2014" ] ] }, "page" : "766-777", "title" : "Microbial Dynamics Following the Macondo Oil Well Blowout across Gulf of Mexico Environments", "type" : "article-journal", "volume" : "64" }, "uris" : [ "http://www.mendeley.com/documents/?uuid=d3464247-0dff-4894-8a9a-b6a9f98a9985" ] }, { "id" : "ITEM-2", "itemData" : { "DOI" : "10.3389/fmicb.2014.00603", "author" : [ { "dropping-particle" : "", "family" : "Kimes", "given" : "Nicole E", "non-dropping-particle" : "", "parse-names" : false, "suffix" : "" }, { "dropping-particle" : "V", "family" : "Callaghan", "given" : "Amy", "non-dropping-particle" : "", "parse-names" : false, "suffix" : "" }, { "dropping-particle" : "", "family" : "Suflita", "given" : "Joseph M", "non-dropping-particle" : "", "parse-names" : false, "suffix" : "" }, { "dropping-particle" : "", "family" : "Morris", "given" : "Pamela E", "non-dropping-particle" : "", "parse-names" : false, "suffix" : "" } ], "container-title" : "Frontiers in Microbiology", "id" : "ITEM-2", "issued" : { "date-parts" : [ [ "2014" ] ] }, "page" : "1-11", "title" : "Microbial transformation of the Deepwater Horizon oil spill \u2014 past , present , and future perspectives", "type" : "article-journal", "volume" : "5" }, "uris" : [ "http://www.mendeley.com/documents/?uuid=fd2dfb9a-7d16-4cfe-845c-4866a2947974" ] } ], "mendeley" : { "formattedCitation" : "&lt;sup&gt;6,10&lt;/sup&gt;", "plainTextFormattedCitation" : "6,10", "previouslyFormattedCitation" : "&lt;sup&gt;6,10&lt;/sup&gt;" }, "properties" : { "noteIndex" : 0 }, "schema" : "https://github.com/citation-style-language/schema/raw/master/csl-citation.json" }</w:instrText>
      </w:r>
      <w:r w:rsidRPr="00DA4CEC">
        <w:fldChar w:fldCharType="separate"/>
      </w:r>
      <w:r w:rsidR="00D34B4F" w:rsidRPr="00DA4CEC">
        <w:rPr>
          <w:noProof/>
          <w:vertAlign w:val="superscript"/>
        </w:rPr>
        <w:t>6,10</w:t>
      </w:r>
      <w:r w:rsidRPr="00DA4CEC">
        <w:fldChar w:fldCharType="end"/>
      </w:r>
      <w:r w:rsidRPr="00DA4CEC">
        <w:t xml:space="preserve">, in marshes </w:t>
      </w:r>
      <w:r w:rsidRPr="00DA4CEC">
        <w:fldChar w:fldCharType="begin" w:fldLock="1"/>
      </w:r>
      <w:r w:rsidR="00D34B4F" w:rsidRPr="00DA4CEC">
        <w:instrText>ADDIN CSL_CITATION { "citationItems" : [ { "id" : "ITEM-1", "itemData" : { "author" : [ { "dropping-particle" : "", "family" : "Atlas", "given" : "Ronald M", "non-dropping-particle" : "", "parse-names" : false, "suffix" : "" }, { "dropping-particle" : "", "family" : "Hazen", "given" : "Terry C", "non-dropping-particle" : "", "parse-names" : false, "suffix" : "" } ], "container-title" : "Environmental Science and Technology", "id" : "ITEM-1", "issue" : "45", "issued" : { "date-parts" : [ [ "2011" ] ] }, "page" : "6709-6715", "title" : "Oil Biodegradation and Bioremediation : A Tale of the Two Worst Spills in U . S . History", "type" : "article-journal" }, "uris" : [ "http://www.mendeley.com/documents/?uuid=760c1cb7-faab-4a90-a2d3-7e24773273a4" ] }, { "id" : "ITEM-2", "itemData" : { "DOI" : "10.1007/s11270-012-1097-5", "ISBN" : "1127001210975", "author" : [ { "dropping-particle" : "", "family" : "Horel", "given" : "Agota", "non-dropping-particle" : "", "parse-names" : false, "suffix" : "" }, { "dropping-particle" : "", "family" : "Mortazavi", "given" : "Behzad", "non-dropping-particle" : "", "parse-names" : false, "suffix" : "" }, { "dropping-particle" : "", "family" : "Sobecky", "given" : "Patricia A", "non-dropping-particle" : "", "parse-names" : false, "suffix" : "" } ], "container-title" : "Water, Air &amp; Soil Pollution", "id" : "ITEM-2", "issued" : { "date-parts" : [ [ "2012" ] ] }, "page" : "3145-3154", "title" : "Seasonal Monitoring of Hydrocarbon Degraders in Alabama Marine Ecosystems Following the Deepwater Horizon Oil Spill", "type" : "article-journal", "volume" : "223" }, "uris" : [ "http://www.mendeley.com/documents/?uuid=9d867119-002f-4e75-aa36-acdb74ed04ac" ] }, { "id" : "ITEM-3", "itemData" : { "author" : [ { "dropping-particle" : "", "family" : "Mahmoudi", "given" : "Nagissa", "non-dropping-particle" : "", "parse-names" : false, "suffix" : "" }, { "dropping-particle" : "", "family" : "Porter", "given" : "Teresita M", "non-dropping-particle" : "", "parse-names" : false, "suffix" : "" }, { "dropping-particle" : "", "family" : "Zimmerman", "given" : "Andrew R", "non-dropping-particle" : "", "parse-names" : false, "suffix" : "" }, { "dropping-particle" : "", "family" : "Fulthorpe", "given" : "Roberta R", "non-dropping-particle" : "", "parse-names" : false, "suffix" : "" }, { "dropping-particle" : "", "family" : "Kasozi", "given" : "Gabriel N", "non-dropping-particle" : "", "parse-names" : false, "suffix" : "" }, { "dropping-particle" : "", "family" : "Silliman", "given" : "Brian R", "non-dropping-particle" : "", "parse-names" : false, "suffix" : "" }, { "dropping-particle" : "", "family" : "Slater", "given" : "Greg F", "non-dropping-particle" : "", "parse-names" : false, "suffix" : "" } ], "container-title" : "Environmental Science and Technology", "id" : "ITEM-3", "issued" : { "date-parts" : [ [ "2013" ] ] }, "page" : "13303-13312", "title" : "Rapid Degradation of Deepwater Horizon Spilled Oil by Indigenous Microbial Communities in Louisiana Saltmarsh Sediments", "type" : "article-journal", "volume" : "47" }, "uris" : [ "http://www.mendeley.com/documents/?uuid=d659cc3f-00c0-4968-abaa-eb1950b7071f" ] }, { "id" : "ITEM-4", "itemData" : { "DOI" : "10.1525/bio.2012.62.6.7", "author" : [ { "dropping-particle" : "", "family" : "Mendelssohn", "given" : "Irving A", "non-dropping-particle" : "", "parse-names" : false, "suffix" : "" }, { "dropping-particle" : "", "family" : "Andersen", "given" : "Gary L", "non-dropping-particle" : "", "parse-names" : false, "suffix" : "" }, { "dropping-particle" : "", "family" : "Baltz", "given" : "Donald M", "non-dropping-particle" : "", "parse-names" : false, "suffix" : "" }, { "dropping-particle" : "", "family" : "Caffey", "given" : "Rex H", "non-dropping-particle" : "", "parse-names" : false, "suffix" : "" }, { "dropping-particle" : "", "family" : "Carman", "given" : "Kevin R", "non-dropping-particle" : "", "parse-names" : false, "suffix" : "" }, { "dropping-particle" : "", "family" : "Fleeger", "given" : "John W", "non-dropping-particle" : "", "parse-names" : false, "suffix" : "" }, { "dropping-particle" : "", "family" : "Joye", "given" : "Samantha B", "non-dropping-particle" : "", "parse-names" : false, "suffix" : "" }, { "dropping-particle" : "", "family" : "Lin", "given" : "Qianxin", "non-dropping-particle" : "", "parse-names" : false, "suffix" : "" }, { "dropping-particle" : "", "family" : "Maltby", "given" : "Edward", "non-dropping-particle" : "", "parse-names" : false, "suffix" : "" }, { "dropping-particle" : "", "family" : "Overton", "given" : "Edward B", "non-dropping-particle" : "", "parse-names" : false, "suffix" : "" } ], "container-title" : "Bioscience", "id" : "ITEM-4", "issue" : "6", "issued" : { "date-parts" : [ [ "2012" ] ] }, "page" : "562-574", "title" : "Oil Impacts on Coastal Wetlands : Implications for the Mississippi River Delta Ecosystem after the Deepwater Horizon Oil Spill", "type" : "article-journal", "volume" : "62" }, "uris" : [ "http://www.mendeley.com/documents/?uuid=e63dada8-7ed4-4d95-99f7-65297789b314" ] } ], "mendeley" : { "formattedCitation" : "&lt;sup&gt;11\u201314&lt;/sup&gt;", "plainTextFormattedCitation" : "11\u201314", "previouslyFormattedCitation" : "&lt;sup&gt;11\u201314&lt;/sup&gt;" }, "properties" : { "noteIndex" : 0 }, "schema" : "https://github.com/citation-style-language/schema/raw/master/csl-citation.json" }</w:instrText>
      </w:r>
      <w:r w:rsidRPr="00DA4CEC">
        <w:fldChar w:fldCharType="separate"/>
      </w:r>
      <w:r w:rsidR="00D34B4F" w:rsidRPr="00DA4CEC">
        <w:rPr>
          <w:noProof/>
          <w:vertAlign w:val="superscript"/>
        </w:rPr>
        <w:t>11–14</w:t>
      </w:r>
      <w:r w:rsidRPr="00DA4CEC">
        <w:fldChar w:fldCharType="end"/>
      </w:r>
      <w:r w:rsidRPr="00DA4CEC">
        <w:t>, and on beaches.</w:t>
      </w:r>
      <w:r w:rsidRPr="00DA4CEC">
        <w:fldChar w:fldCharType="begin" w:fldLock="1"/>
      </w:r>
      <w:r w:rsidR="00D34B4F" w:rsidRPr="00DA4CEC">
        <w:instrText>ADDIN CSL_CITATION { "citationItems" : [ { "id" : "ITEM-1", "itemData" : { "DOI" : "10.5194/hessd-8-6721-2011", "author" : [ { "dropping-particle" : "", "family" : "Hayworth", "given" : "J.S.", "non-dropping-particle" : "", "parse-names" : false, "suffix" : "" }, { "dropping-particle" : "", "family" : "Clement", "given" : "T.P.", "non-dropping-particle" : "", "parse-names" : false, "suffix" : "" }, { "dropping-particle" : "", "family" : "Valentine", "given" : "J.F.", "non-dropping-particle" : "", "parse-names" : false, "suffix" : "" } ], "container-title" : "Hydrology and Earth System Sciences", "id" : "ITEM-1", "issued" : { "date-parts" : [ [ "2011" ] ] }, "page" : "3639-3649", "title" : "Deepwater Horizon oil spill impacts on Alabama beaches Deepwater Horizon oil spill impacts on Alabama beaches", "type" : "article-journal", "volume" : "15" }, "uris" : [ "http://www.mendeley.com/documents/?uuid=27937d17-a091-4336-9f14-f568150b5d69" ] }, { "id" : "ITEM-2", "itemData" : { "DOI" : "10.1128/AEM.05402-11", "author" : [ { "dropping-particle" : "", "family" : "Kostka", "given" : "Joel E", "non-dropping-particle" : "", "parse-names" : false, "suffix" : "" }, { "dropping-particle" : "", "family" : "Prakash", "given" : "Om", "non-dropping-particle" : "", "parse-names" : false, "suffix" : "" }, { "dropping-particle" : "", "family" : "Overholt", "given" : "Will A", "non-dropping-particle" : "", "parse-names" : false, "suffix" : "" }, { "dropping-particle" : "", "family" : "Green", "given" : "Stefan J", "non-dropping-particle" : "", "parse-names" : false, "suffix" : "" }, { "dropping-particle" : "", "family" : "Freyer", "given" : "Gina", "non-dropping-particle" : "", "parse-names" : false, "suffix" : "" }, { "dropping-particle" : "", "family" : "Canion", "given" : "Andy", "non-dropping-particle" : "", "parse-names" : false, "suffix" : "" }, { "dropping-particle" : "", "family" : "Delgardio", "given" : "Jonathan", "non-dropping-particle" : "", "parse-names" : false, "suffix" : "" }, { "dropping-particle" : "", "family" : "Norton", "given" : "Nikita", "non-dropping-particle" : "", "parse-names" : false, "suffix" : "" }, { "dropping-particle" : "", "family" : "Hazen", "given" : "Terry C", "non-dropping-particle" : "", "parse-names" : false, "suffix" : "" }, { "dropping-particle" : "", "family" : "Huettel", "given" : "Markus", "non-dropping-particle" : "", "parse-names" : false, "suffix" : "" } ], "container-title" : "Applied and Environmental Microbiology", "id" : "ITEM-2", "issue" : "22", "issued" : { "date-parts" : [ [ "2011" ] ] }, "page" : "7962-7974", "title" : "Hydrocarbon-Degrading Bacteria and the Bacterial Community Response in Gulf of Mexico Beach Sands Impacted by the Deepwater Horizon Oil Spill \u1c14 \u2020\u2021", "type" : "article-journal", "volume" : "77" }, "uris" : [ "http://www.mendeley.com/documents/?uuid=1a6f0dad-8f12-4613-b432-cd263b1bf457" ] }, { "id" : "ITEM-3", "itemData" : { "DOI" : "10.1007/s11270-012-1097-5", "ISBN" : "1127001210975", "author" : [ { "dropping-particle" : "", "family" : "Horel", "given" : "Agota", "non-dropping-particle" : "", "parse-names" : false, "suffix" : "" }, { "dropping-particle" : "", "family" : "Mortazavi", "given" : "Behzad", "non-dropping-particle" : "", "parse-names" : false, "suffix" : "" }, { "dropping-particle" : "", "family" : "Sobecky", "given" : "Patricia A", "non-dropping-particle" : "", "parse-names" : false, "suffix" : "" } ], "container-title" : "Water, Air &amp; Soil Pollution", "id" : "ITEM-3", "issued" : { "date-parts" : [ [ "2012" ] ] }, "page" : "3145-3154", "title" : "Seasonal Monitoring of Hydrocarbon Degraders in Alabama Marine Ecosystems Following the Deepwater Horizon Oil Spill", "type" : "article-journal", "volume" : "223" }, "uris" : [ "http://www.mendeley.com/documents/?uuid=9d867119-002f-4e75-aa36-acdb74ed04ac" ] }, { "id" : "ITEM-4", "itemData" : { "DOI" : "10.1525/bio.2012.62.6.7", "author" : [ { "dropping-particle" : "", "family" : "Mendelssohn", "given" : "Irving A", "non-dropping-particle" : "", "parse-names" : false, "suffix" : "" }, { "dropping-particle" : "", "family" : "Andersen", "given" : "Gary L", "non-dropping-particle" : "", "parse-names" : false, "suffix" : "" }, { "dropping-particle" : "", "family" : "Baltz", "given" : "Donald M", "non-dropping-particle" : "", "parse-names" : false, "suffix" : "" }, { "dropping-particle" : "", "family" : "Caffey", "given" : "Rex H", "non-dropping-particle" : "", "parse-names" : false, "suffix" : "" }, { "dropping-particle" : "", "family" : "Carman", "given" : "Kevin R", "non-dropping-particle" : "", "parse-names" : false, "suffix" : "" }, { "dropping-particle" : "", "family" : "Fleeger", "given" : "John W", "non-dropping-particle" : "", "parse-names" : false, "suffix" : "" }, { "dropping-particle" : "", "family" : "Joye", "given" : "Samantha B", "non-dropping-particle" : "", "parse-names" : false, "suffix" : "" }, { "dropping-particle" : "", "family" : "Lin", "given" : "Qianxin", "non-dropping-particle" : "", "parse-names" : false, "suffix" : "" }, { "dropping-particle" : "", "family" : "Maltby", "given" : "Edward", "non-dropping-particle" : "", "parse-names" : false, "suffix" : "" }, { "dropping-particle" : "", "family" : "Overton", "given" : "Edward B", "non-dropping-particle" : "", "parse-names" : false, "suffix" : "" } ], "container-title" : "Bioscience", "id" : "ITEM-4", "issue" : "6", "issued" : { "date-parts" : [ [ "2012" ] ] }, "page" : "562-574", "title" : "Oil Impacts on Coastal Wetlands : Implications for the Mississippi River Delta Ecosystem after the Deepwater Horizon Oil Spill", "type" : "article-journal", "volume" : "62" }, "uris" : [ "http://www.mendeley.com/documents/?uuid=e63dada8-7ed4-4d95-99f7-65297789b314" ] }, { "id" : "ITEM-5", "itemData" : { "DOI" : "10.3389/fmicb.2014.00603", "author" : [ { "dropping-particle" : "", "family" : "Kimes", "given" : "Nicole E", "non-dropping-particle" : "", "parse-names" : false, "suffix" : "" }, { "dropping-particle" : "V", "family" : "Callaghan", "given" : "Amy", "non-dropping-particle" : "", "parse-names" : false, "suffix" : "" }, { "dropping-particle" : "", "family" : "Suflita", "given" : "Joseph M", "non-dropping-particle" : "", "parse-names" : false, "suffix" : "" }, { "dropping-particle" : "", "family" : "Morris", "given" : "Pamela E", "non-dropping-particle" : "", "parse-names" : false, "suffix" : "" } ], "container-title" : "Frontiers in Microbiology", "id" : "ITEM-5", "issued" : { "date-parts" : [ [ "2014" ] ] }, "page" : "1-11", "title" : "Microbial transformation of the Deepwater Horizon oil spill \u2014 past , present , and future perspectives", "type" : "article-journal", "volume" : "5" }, "uris" : [ "http://www.mendeley.com/documents/?uuid=fd2dfb9a-7d16-4cfe-845c-4866a2947974" ] }, { "id" : "ITEM-6", "itemData" : { "DOI" : "10.1038/ismej.2013.254", "author" : [ { "dropping-particle" : "", "family" : "Mason", "given" : "Olivia U", "non-dropping-particle" : "", "parse-names" : false, "suffix" : "" }, { "dropping-particle" : "", "family" : "Scott", "given" : "Nicole M", "non-dropping-particle" : "", "parse-names" : false, "suffix" : "" }, { "dropping-particle" : "", "family" : "Gonzalez", "given" : "Antonio", "non-dropping-particle" : "", "parse-names" : false, "suffix" : "" }, { "dropping-particle" : "", "family" : "Robbins-pianka", "given" : "Adam", "non-dropping-particle" : "", "parse-names" : false, "suffix" : "" }, { "dropping-particle" : "", "family" : "B\u00e6lum", "given" : "Jacob", "non-dropping-particle" : "", "parse-names" : false, "suffix" : "" }, { "dropping-particle" : "", "family" : "Kimbrel", "given" : "Jeffrey", "non-dropping-particle" : "", "parse-names" : false, "suffix" : "" }, { "dropping-particle" : "", "family" : "Bouskill", "given" : "Nicholas J", "non-dropping-particle" : "", "parse-names" : false, "suffix" : "" }, { "dropping-particle" : "", "family" : "Prestat", "given" : "Emmanuel", "non-dropping-particle" : "", "parse-names" : false, "suffix" : "" }, { "dropping-particle" : "", "family" : "Borglin", "given" : "Sharon", "non-dropping-particle" : "", "parse-names" : false, "suffix" : "" }, { "dropping-particle" : "", "family" : "Joyner", "given" : "Dominique C", "non-dropping-particle" : "", "parse-names" : false, "suffix" : "" }, { "dropping-particle" : "", "family" : "Fortney", "given" : "Julian L", "non-dropping-particle" : "", "parse-names" : false, "suffix" : "" }, { "dropping-particle" : "", "family" : "Jurelevicius", "given" : "Diogo", "non-dropping-particle" : "", "parse-names" : false, "suffix" : "" }, { "dropping-particle" : "", "family" : "Stringfellow", "given" : "William T", "non-dropping-particle" : "", "parse-names" : false, "suffix" : "" }, { "dropping-particle" : "", "family" : "Alvarez-cohen", "given" : "Lisa", "non-dropping-particle" : "", "parse-names" : false, "suffix" : "" }, { "dropping-particle" : "", "family" : "Hazen", "given" : "Terry C", "non-dropping-particle" : "", "parse-names" : false, "suffix" : "" }, { "dropping-particle" : "", "family" : "Knight", "given" : "Rob", "non-dropping-particle" : "", "parse-names" : false, "suffix" : "" } ], "container-title" : "The ISME Journal", "id" : "ITEM-6", "issued" : { "date-parts" : [ [ "2014" ] ] }, "page" : "1464-1475", "title" : "Metagenomics reveals sediment microbial community response to Deepwater Horizon oil spill", "type" : "article-journal", "volume" : "8" }, "uris" : [ "http://www.mendeley.com/documents/?uuid=ff6f5201-c190-4fa2-99ad-4e515370f1c2" ] }, { "id" : "ITEM-7", "itemData" : { "DOI" : "10.1016/j.marpolbul.2014.11.016", "ISSN" : "0025-326X", "author" : [ { "dropping-particle" : "", "family" : "Hayworth", "given" : "Joel S", "non-dropping-particle" : "", "parse-names" : false, "suffix" : "" }, { "dropping-particle" : "", "family" : "Clement", "given" : "T Prabakhar", "non-dropping-particle" : "", "parse-names" : false, "suffix" : "" }, { "dropping-particle" : "", "family" : "John", "given" : "Gerald F", "non-dropping-particle" : "", "parse-names" : false, "suffix" : "" }, { "dropping-particle" : "", "family" : "Yin", "given" : "Fang", "non-dropping-particle" : "", "parse-names" : false, "suffix" : "" } ], "container-title" : "Marine Pollution Bulletin", "id" : "ITEM-7", "issue" : "1-2", "issued" : { "date-parts" : [ [ "2015" ] ] }, "page" : "95-105", "publisher" : "Elsevier Ltd", "title" : "Fate of Deepwater Horizon oil in Alabama \u2019 s beach system : Understanding physical evolution processes based on observational data", "type" : "article-journal", "volume" : "90" }, "uris" : [ "http://www.mendeley.com/documents/?uuid=b7199ebc-2673-485f-a174-deadb0f207aa" ] }, { "id" : "ITEM-8", "itemData" : { "DOI" : "10.1038/ismej.2015.5", "ISSN" : "1751-7362", "author" : [ { "dropping-particle" : "", "family" : "Rodriguez", "given" : "Luis M", "non-dropping-particle" : "", "parse-names" : false, "suffix" : "" }, { "dropping-particle" : "", "family" : "Overholt", "given" : "Will A", "non-dropping-particle" : "", "parse-names" : false, "suffix" : "" }, { "dropping-particle" : "", "family" : "Hagan", "given" : "Christopher", "non-dropping-particle" : "", "parse-names" : false, "suffix" : "" }, { "dropping-particle" : "", "family" : "Huettel", "given" : "Markus", "non-dropping-particle" : "", "parse-names" : false, "suffix" : "" }, { "dropping-particle" : "", "family" : "Kostka", "given" : "Joel E", "non-dropping-particle" : "", "parse-names" : false, "suffix" : "" }, { "dropping-particle" : "", "family" : "Konstantinidis", "given" : "Konstantinos T", "non-dropping-particle" : "", "parse-names" : false, "suffix" : "" } ], "container-title" : "The ISME Journal", "id" : "ITEM-8", "issued" : { "date-parts" : [ [ "2015" ] ] }, "page" : "1-13", "publisher" : "Nature Publishing Group", "title" : "Microbial community successional patterns in beach sands impacted by the Deepwater Horizon oil spill", "type" : "article-journal" }, "uris" : [ "http://www.mendeley.com/documents/?uuid=f91b2340-6a18-463b-ba84-ce23556a442f" ] } ], "mendeley" : { "formattedCitation" : "&lt;sup&gt;10,12,14\u201319&lt;/sup&gt;", "plainTextFormattedCitation" : "10,12,14\u201319", "previouslyFormattedCitation" : "&lt;sup&gt;10,12,14\u201319&lt;/sup&gt;" }, "properties" : { "noteIndex" : 0 }, "schema" : "https://github.com/citation-style-language/schema/raw/master/csl-citation.json" }</w:instrText>
      </w:r>
      <w:r w:rsidRPr="00DA4CEC">
        <w:fldChar w:fldCharType="separate"/>
      </w:r>
      <w:r w:rsidR="00D34B4F" w:rsidRPr="00DA4CEC">
        <w:rPr>
          <w:noProof/>
          <w:vertAlign w:val="superscript"/>
        </w:rPr>
        <w:t>10,12,14–19</w:t>
      </w:r>
      <w:r w:rsidRPr="00DA4CEC">
        <w:fldChar w:fldCharType="end"/>
      </w:r>
      <w:r w:rsidRPr="00DA4CEC">
        <w:t xml:space="preserve">   Not surprisingly, the environmental fate of the oil was influenced by many well documented weathering processes.</w:t>
      </w:r>
      <w:r w:rsidRPr="00DA4CEC">
        <w:fldChar w:fldCharType="begin" w:fldLock="1"/>
      </w:r>
      <w:r w:rsidR="00D34B4F" w:rsidRPr="00DA4CEC">
        <w:instrText>ADDIN CSL_CITATION { "citationItems" : [ { "id" : "ITEM-1", "itemData" : { "DOI" : "10.1021/es3015138", "ISSN" : "1520-5851", "PMID" : "22809266", "abstract" : "Following the Deepwater Horizon disaster, the effect of weathering on surface slicks, oil-soaked sands, and oil-covered rocks and boulders was studied for 18 months. With time, oxygen content increased in the hydrocarbon residues. Furthermore, a weathering-dependent increase of an operationally defined oxygenated fraction relative to the saturated and aromatic fractions was observed. This oxygenated fraction made up &gt;50% of the mass of weathered samples, had an average carbon oxidation state of -1.0, and an average molecular formula of (C(5)H(7)O)(n). These oxygenated hydrocarbon residues were devoid of natural radiocarbon, confirming a fossil source and excluding contributions from recent photosynthate. The incorporation of oxygen into the oil's hydrocarbons, which we refer to as oxyhydrocarbons, was confirmed from the detection of hydroxyl and carbonyl functional groups and the identification of long chain (C(10)-C(32)) carboxylic acids as well as alcohols. On the basis of the diagnostic ratios of alkanes and polycyclic aromatic hydrocarbons, and the context within which these samples were collected, we hypothesize that biodegradation and photooxidation share responsibility for the accumulation of oxygen in the oil residues. These results reveal that molecular-level transformations of petroleum hydrocarbons lead to increasing amounts of, apparently recalcitrant, oxyhydrocarbons that dominate the solvent-extractable material from oiled samples.", "author" : [ { "dropping-particle" : "", "family" : "Aeppli", "given" : "Christoph", "non-dropping-particle" : "", "parse-names" : false, "suffix" : "" }, { "dropping-particle" : "", "family" : "Carmichael", "given" : "Catherine A", "non-dropping-particle" : "", "parse-names" : false, "suffix" : "" }, { "dropping-particle" : "", "family" : "Nelson", "given" : "Robert K", "non-dropping-particle" : "", "parse-names" : false, "suffix" : "" }, { "dropping-particle" : "", "family" : "Lemkau", "given" : "Karin L", "non-dropping-particle" : "", "parse-names" : false, "suffix" : "" }, { "dropping-particle" : "", "family" : "Graham", "given" : "William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"dropping-particle" : "", "family" : "Graham", "given" :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"container-title" : "Environmental science &amp; technology", "id" : "ITEM-1", "issue" : "16", "issued" : { "date-parts" : [ [ "2012" ] ] }, "page" : "8799-807", "title" : "Oil weathering after the Deepwater Horizon disaster led to the formation of oxygenated residues.", "type" : "article-journal", "volume" : "46" }, "uris" : [ "http://www.mendeley.com/documents/?uuid=2bc2247b-a311-4ec2-b7e1-1d59c49fad55" ] }, { "id" : "ITEM-2", "itemData" : { "author" : [ { "dropping-particle" : "", "family" : "Aeppli", "given" : "Christoph", "non-dropping-particle" : "", "parse-names" : false, "suffix" : "" }, { "dropping-particle" : "", "family" : "Nelson", "given" : "Robert K", "non-dropping-particle" : "", "parse-names" : false, "suffix" : "" }, { "dropping-particle" : "", "family" : "Radovic", "given" : "Jagos R", "non-dropping-particle" : "", "parse-names" : false, "suffix" : "" }, { "dropping-particle" : "", "family" : "Carmichael", "given" : "Catherine A", "non-dropping-particle" : "", "parse-names" : false, "suffix" : "" }, { "dropping-particle" : "", "family" : "Valentine", "given" : "David L", "non-dropping-particle" : "", "parse-names" : false, "suffix" : "" }, { "dropping-particle" : "", "family" : "Reddy", "given" : "Christopher M", "non-dropping-particle" : "", "parse-names" : false, "suffix" : "" } ], "container-title" : "Environ Sci Technol", "id" : "ITEM-2", "issued" : { "date-parts" : [ [ "2014" ] ] }, "page" : "6727-6734", "title" : "Recalcitrance and Degradation of Petroleum Biomarkers upon Abiotic and Biotic Natural Weathering of Deepwater Horizon Oil", "type" : "article-journal", "volume" : "48" }, "uris" : [ "http://www.mendeley.com/documents/?uuid=23ed41af-8744-4cbe-a4ae-a2d0ddb4a727" ] }, { "id" : "ITEM-3", "itemData" : { "DOI" : "10.1016/j.marpolbul.2015.04.005", "ISSN" : "0025-326X", "author" : [ { "dropping-particle" : "", "family" : "Bacosa", "given" : "Hernando P", "non-dropping-particle" : "", "parse-names" : false, "suffix" : "" }, { "dropping-particle" : "", "family" : "Erdner", "given" : "Deana L", "non-dropping-particle" : "", "parse-names" : false, "suffix" : "" }, { "dropping-particle" : "", "family" : "Liu", "given" : "Zhanfei", "non-dropping-particle" : "", "parse-names" : false, "suffix" : "" } ], "container-title" : "Marine Pollution Bulletin", "id" : "ITEM-3", "issue" : "1", "issued" : { "date-parts" : [ [ "2015" ] ] }, "page" : "265-272", "publisher" : "Elsevier Ltd", "title" : "Differentiating the roles of photooxidation and biodegradation in the weathering of Light Louisiana Sweet crude oil in surface water from the Deepwater Horizon site", "type" : "article-journal", "volume" : "95" }, "uris" : [ "http://www.mendeley.com/documents/?uuid=e7ea5199-4902-4ed5-8d5f-f96b7920b0fe" ] }, { "id" : "ITEM-4", "itemData" : { "DOI" : "10.1021/es4042836", "ISBN" : "0013-936X", "ISSN" : "0013936X", "PMID" : "24447243", "abstract" : "Biodegradation plays a major role in the natural attenuation of oil spills. However, limited information is available about biodegradation of different saturated hydrocarbon classes in surface environments, despite that oils are composed mostly of saturates, due to the limited ability of conventional gas chromatography (GC) to resolve this compound group. We studied eight weathered oil samples collected from four Gulf of Mexico beaches 12-19 months after the Deepwater Horizon disaster. Using comprehensive two-dimensional gas chromatography (GC \u00d7 GC), we successfully separated, identified, and quantified several distinct saturates classes in these samples. We find that saturated hydrocarbons eluting after n-C22 dominate the GC-amenable fraction of these weathered samples. This compound group represented 8-10%, or 38-68 thousand metric tons, of the oil originally released from Macondo well. Saturates in the n-C22 to n-C29 elution range were found to be partly biodegraded, but to different relative extents, with ease of biodegradation decreasing in the following order: n-alkanes &gt; methylalkanes and alkylcyclopentanes+alkylcyclohexanes &gt; cyclic and acyclic isoprenoids. We developed a new quantitative index designed to characterize biodegradation of &gt;n-C22 saturates. These results shed new light onto the environmental fate of these persistent, hydrophobic, and mostly overlooked compounds in the unresolved complex mixtures (UCM) of weathered oils.", "author" : [ { "dropping-particle" : "", "family" : "Gros", "given" : "Jonas", "non-dropping-particle" : "", "parse-names" : false, "suffix" : "" }, { "dropping-particle" : "", "family" : "Reddy", "given" : "Christopher M.", "non-dropping-particle" : "", "parse-names" : false, "suffix" : "" }, { "dropping-particle" : "", "family" : "Aeppli", "given" : "Christoph", "non-dropping-particle" : "", "parse-names" : false, "suffix" : "" }, { "dropping-particle" : "", "family" : "Nelson", "given" : "Robert K.", "non-dropping-particle" : "", "parse-names" : false, "suffix" : "" }, { "dropping-particle" : "", "family" : "Carmichael", "given" : "Catherine a.", "non-dropping-particle" : "", "parse-names" : false, "suffix" : "" }, { "dropping-particle" : "", "family" : "Arey", "given" : "J. Samuel", "non-dropping-particle" : "", "parse-names" : false, "suffix" : "" } ], "container-title" : "Environmental Science and Technology", "id" : "ITEM-4", "issued" : { "date-parts" : [ [ "2014" ] ] }, "page" : "1628-1637", "title" : "Resolving biodegradation patterns of persistent saturated hydrocarbons in weathered oil samples from the Deepwater Horizon disaster", "type" : "article-journal", "volume" : "48" }, "uris" : [ "http://www.mendeley.com/documents/?uuid=431e7f0e-32c6-4c25-9bd2-1b85f28ab742" ] }, { "id" : "ITEM-5", "itemData" : { "DOI" : "10.1016/j.jhazmat.2014.08.059", "ISSN" : "0304-3894", "author" : [ { "dropping-particle" : "", "family" : "Ray", "given" : "Phoebe Z", "non-dropping-particle" : "", "parse-names" : false, "suffix" : "" }, { "dropping-particle" : "", "family" : "Chen", "given" : "Huan", "non-dropping-particle" : "", "parse-names" : false, "suffix" : "" }, { "dropping-particle" : "", "family" : "Podgorski", "given" : "David C", "non-dropping-particle" : "", "parse-names" : false, "suffix" : "" }, { "dropping-particle" : "", "family" : "Mckenna", "given" : "Amy M", "non-dropping-particle" : "", "parse-names" : false, "suffix" : "" }, { "dropping-particle" : "", "family" : "Tarr", "given" : "Matthew A", "non-dropping-particle" : "", "parse-names" : false, "suffix" : "" } ], "container-title" : "Journal of Hazardous Materials", "id" : "ITEM-5", "issued" : { "date-parts" : [ [ "2014" ] ] }, "page" : "636-643", "publisher" : "Elsevier B.V.", "title" : "Sunlight creates oxygenated species in water-soluble fractions of Deepwater horizon oil", "type" : "article-journal", "volume" : "280" }, "uris" : [ "http://www.mendeley.com/documents/?uuid=56a02569-1afe-4a98-825e-db40f756882b" ] }, { "id" : "ITEM-6", "itemData" : { "author" : [ { "dropping-particle" : "", "family" : "Ruddy", "given" : "Brian M", "non-dropping-particle" : "", "parse-names" : false, "suffix" : "" }, { "dropping-particle" : "", "family" : "Huettel", "given" : "Markus", "non-dropping-particle" : "", "parse-names" : false, "suffix" : "" }, { "dropping-particle" : "", "family" : "Kostka", "given" : "Joel E", "non-dropping-particle" : "", "parse-names" : false, "suffix" : "" }, { "dropping-particle" : "V", "family" : "Lobodin", "given" : "Vladislav", "non-dropping-particle" : "", "parse-names" : false, "suffix" : "" }, { "dropping-particle" : "", "family" : "Bythell", "given" : "Benjamin J", "non-dropping-particle" : "", "parse-names" : false, "suffix" : "" }, { "dropping-particle" : "", "family" : "Mckenna", "given" : "Amy M", "non-dropping-particle" : "", "parse-names" : false, "suffix" : "" }, { "dropping-particle" : "", "family" : "Aeppli", "given" : "Christoph", "non-dropping-particle" : "", "parse-names" : false, "suffix" : "" }, { "dropping-particle" : "", "family" : "Reddy", "given" : "Christopher M", "non-dropping-particle" : "", "parse-names" : false, "suffix" : "" }, { "dropping-particle" : "", "family" : "Nelson", "given" : "Robert K", "non-dropping-particle" : "", "parse-names" : false, "suffix" : "" }, { "dropping-particle" : "", "family" : "Marshall", "given" : "Alan G", "non-dropping-particle" : "", "parse-names" : false, "suffix" : "" }, { "dropping-particle" : "", "family" : "Rodgers", "given" : "Ryan P", "non-dropping-particle" : "", "parse-names" : false, "suffix" : "" } ], "container-title" : "Energy &amp; Fuels", "id" : "ITEM-6", "issued" : { "date-parts" : [ [ "2014" ] ] }, "page" : "4043-4050", "title" : "Targeted Petroleomics: Analytical Investigation of Macondo Well Oil Oxidation Products from Pensacola Beach", "type" : "article-journal", "volume" : "28" }, "uris" : [ "http://www.mendeley.com/documents/?uuid=b7ad8496-522d-44dd-88be-70022490a9fc" ] } ], "mendeley" : { "formattedCitation" : "&lt;sup&gt;20\u201325&lt;/sup&gt;", "plainTextFormattedCitation" : "20\u201325", "previouslyFormattedCitation" : "&lt;sup&gt;20\u201325&lt;/sup&gt;" }, "properties" : { "noteIndex" : 0 }, "schema" : "https://github.com/citation-style-language/schema/raw/master/csl-citation.json" }</w:instrText>
      </w:r>
      <w:r w:rsidRPr="00DA4CEC">
        <w:fldChar w:fldCharType="separate"/>
      </w:r>
      <w:r w:rsidR="00D34B4F" w:rsidRPr="00DA4CEC">
        <w:rPr>
          <w:noProof/>
          <w:vertAlign w:val="superscript"/>
        </w:rPr>
        <w:t>20–25</w:t>
      </w:r>
      <w:r w:rsidRPr="00DA4CEC">
        <w:fldChar w:fldCharType="end"/>
      </w:r>
      <w:r w:rsidRPr="00DA4CEC">
        <w:t xml:space="preserve">  These processes resulted in the massive transformation of the oil components and a chemical footprint that differed substantively from the crude oil released at the wellhead.  Most notably, the transformation of the crude Macondo 252 oil resulted in the formation of a group of partially oxidized organic compounds collectively termed ‘oxyhydrocarbons.’</w:t>
      </w:r>
      <w:r w:rsidRPr="00DA4CEC">
        <w:fldChar w:fldCharType="begin" w:fldLock="1"/>
      </w:r>
      <w:r w:rsidR="00D34B4F" w:rsidRPr="00DA4CEC">
        <w:instrText>ADDIN CSL_CITATION { "citationItems" : [ { "id" : "ITEM-1", "itemData" : { "DOI" : "10.1021/es3015138", "ISSN" : "1520-5851", "PMID" : "22809266", "abstract" : "Following the Deepwater Horizon disaster, the effect of weathering on surface slicks, oil-soaked sands, and oil-covered rocks and boulders was studied for 18 months. With time, oxygen content increased in the hydrocarbon residues. Furthermore, a weathering-dependent increase of an operationally defined oxygenated fraction relative to the saturated and aromatic fractions was observed. This oxygenated fraction made up &gt;50% of the mass of weathered samples, had an average carbon oxidation state of -1.0, and an average molecular formula of (C(5)H(7)O)(n). These oxygenated hydrocarbon residues were devoid of natural radiocarbon, confirming a fossil source and excluding contributions from recent photosynthate. The incorporation of oxygen into the oil's hydrocarbons, which we refer to as oxyhydrocarbons, was confirmed from the detection of hydroxyl and carbonyl functional groups and the identification of long chain (C(10)-C(32)) carboxylic acids as well as alcohols. On the basis of the diagnostic ratios of alkanes and polycyclic aromatic hydrocarbons, and the context within which these samples were collected, we hypothesize that biodegradation and photooxidation share responsibility for the accumulation of oxygen in the oil residues. These results reveal that molecular-level transformations of petroleum hydrocarbons lead to increasing amounts of, apparently recalcitrant, oxyhydrocarbons that dominate the solvent-extractable material from oiled samples.", "author" : [ { "dropping-particle" : "", "family" : "Aeppli", "given" : "Christoph", "non-dropping-particle" : "", "parse-names" : false, "suffix" : "" }, { "dropping-particle" : "", "family" : "Carmichael", "given" : "Catherine A", "non-dropping-particle" : "", "parse-names" : false, "suffix" : "" }, { "dropping-particle" : "", "family" : "Nelson", "given" : "Robert K", "non-dropping-particle" : "", "parse-names" : false, "suffix" : "" }, { "dropping-particle" : "", "family" : "Lemkau", "given" : "Karin L", "non-dropping-particle" : "", "parse-names" : false, "suffix" : "" }, { "dropping-particle" : "", "family" : "Graham", "given" : "William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"dropping-particle" : "", "family" : "Graham", "given" :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"container-title" : "Environmental science &amp; technology", "id" : "ITEM-1", "issue" : "16", "issued" : { "date-parts" : [ [ "2012" ] ] }, "page" : "8799-807", "title" : "Oil weathering after the Deepwater Horizon disaster led to the formation of oxygenated residues.", "type" : "article-journal", "volume" : "46" }, "uris" : [ "http://www.mendeley.com/documents/?uuid=2bc2247b-a311-4ec2-b7e1-1d59c49fad55" ] } ], "mendeley" : { "formattedCitation" : "&lt;sup&gt;20&lt;/sup&gt;", "plainTextFormattedCitation" : "20", "previouslyFormattedCitation" : "&lt;sup&gt;20&lt;/sup&gt;" }, "properties" : { "noteIndex" : 0 }, "schema" : "https://github.com/citation-style-language/schema/raw/master/csl-citation.json" }</w:instrText>
      </w:r>
      <w:r w:rsidRPr="00DA4CEC">
        <w:fldChar w:fldCharType="separate"/>
      </w:r>
      <w:r w:rsidR="00D34B4F" w:rsidRPr="00DA4CEC">
        <w:rPr>
          <w:noProof/>
          <w:vertAlign w:val="superscript"/>
        </w:rPr>
        <w:t>20</w:t>
      </w:r>
      <w:r w:rsidRPr="00DA4CEC">
        <w:fldChar w:fldCharType="end"/>
      </w:r>
      <w:r w:rsidRPr="00DA4CEC">
        <w:t xml:space="preserve"> The formation of the oxyhydrocarbons was coincident with a decrease in the </w:t>
      </w:r>
      <w:r w:rsidR="000209E4" w:rsidRPr="00DA4CEC">
        <w:t xml:space="preserve">fraction of </w:t>
      </w:r>
      <w:r w:rsidRPr="00DA4CEC">
        <w:rPr>
          <w:i/>
        </w:rPr>
        <w:t>n</w:t>
      </w:r>
      <w:r w:rsidRPr="00DA4CEC">
        <w:t>-alkanes and aromatic compounds</w:t>
      </w:r>
      <w:r w:rsidR="000209E4" w:rsidRPr="00DA4CEC">
        <w:t xml:space="preserve"> in the residue</w:t>
      </w:r>
      <w:r w:rsidRPr="00DA4CEC">
        <w:t xml:space="preserve">.  These oxyhydrocarbons are most obviously found in sand patties that wash up in the swash zone of northern GoM beaches due to prevailing winds and currents.  That is, sand patties are thought to be highly weathered oil deposits that combine with sediment particulates and migrate along the seafloor after a spill and eventually reach </w:t>
      </w:r>
      <w:r w:rsidRPr="00DA4CEC">
        <w:lastRenderedPageBreak/>
        <w:t>coastal beaches.</w:t>
      </w:r>
      <w:r w:rsidRPr="00DA4CEC">
        <w:fldChar w:fldCharType="begin" w:fldLock="1"/>
      </w:r>
      <w:r w:rsidR="00D34B4F" w:rsidRPr="00DA4CEC">
        <w:instrText>ADDIN CSL_CITATION { "citationItems" : [ { "id" : "ITEM-1", "itemData" : { "DOI" : "10.5194/hessd-8-6721-2011", "author" : [ { "dropping-particle" : "", "family" : "Hayworth", "given" : "J.S.", "non-dropping-particle" : "", "parse-names" : false, "suffix" : "" }, { "dropping-particle" : "", "family" : "Clement", "given" : "T.P.", "non-dropping-particle" : "", "parse-names" : false, "suffix" : "" }, { "dropping-particle" : "", "family" : "Valentine", "given" : "J.F.", "non-dropping-particle" : "", "parse-names" : false, "suffix" : "" } ], "container-title" : "Hydrology and Earth System Sciences", "id" : "ITEM-1", "issued" : { "date-parts" : [ [ "2011" ] ] }, "page" : "3639-3649", "title" : "Deepwater Horizon oil spill impacts on Alabama beaches Deepwater Horizon oil spill impacts on Alabama beaches", "type" : "article-journal", "volume" : "15" }, "uris" : [ "http://www.mendeley.com/documents/?uuid=27937d17-a091-4336-9f14-f568150b5d69" ] }, { "id" : "ITEM-2", "itemData" : { "DOI" : "10.1021/es3015138", "ISSN" : "1520-5851", "PMID" : "22809266", "abstract" : "Following the Deepwater Horizon disaster, the effect of weathering on surface slicks, oil-soaked sands, and oil-covered rocks and boulders was studied for 18 months. With time, oxygen content increased in the hydrocarbon residues. Furthermore, a weathering-dependent increase of an operationally defined oxygenated fraction relative to the saturated and aromatic fractions was observed. This oxygenated fraction made up &gt;50% of the mass of weathered samples, had an average carbon oxidation state of -1.0, and an average molecular formula of (C(5)H(7)O)(n). These oxygenated hydrocarbon residues were devoid of natural radiocarbon, confirming a fossil source and excluding contributions from recent photosynthate. The incorporation of oxygen into the oil's hydrocarbons, which we refer to as oxyhydrocarbons, was confirmed from the detection of hydroxyl and carbonyl functional groups and the identification of long chain (C(10)-C(32)) carboxylic acids as well as alcohols. On the basis of the diagnostic ratios of alkanes and polycyclic aromatic hydrocarbons, and the context within which these samples were collected, we hypothesize that biodegradation and photooxidation share responsibility for the accumulation of oxygen in the oil residues. These results reveal that molecular-level transformations of petroleum hydrocarbons lead to increasing amounts of, apparently recalcitrant, oxyhydrocarbons that dominate the solvent-extractable material from oiled samples.", "author" : [ { "dropping-particle" : "", "family" : "Aeppli", "given" : "Christoph", "non-dropping-particle" : "", "parse-names" : false, "suffix" : "" }, { "dropping-particle" : "", "family" : "Carmichael", "given" : "Catherine A", "non-dropping-particle" : "", "parse-names" : false, "suffix" : "" }, { "dropping-particle" : "", "family" : "Nelson", "given" : "Robert K", "non-dropping-particle" : "", "parse-names" : false, "suffix" : "" }, { "dropping-particle" : "", "family" : "Lemkau", "given" : "Karin L", "non-dropping-particle" : "", "parse-names" : false, "suffix" : "" }, { "dropping-particle" : "", "family" : "Graham", "given" : "William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"dropping-particle" : "", "family" : "Graham", "given" :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"container-title" : "Environmental science &amp; technology", "id" : "ITEM-2", "issue" : "16", "issued" : { "date-parts" : [ [ "2012" ] ] }, "page" : "8799-807", "title" : "Oil weathering after the Deepwater Horizon disaster led to the formation of oxygenated residues.", "type" : "article-journal", "volume" : "46" }, "uris" : [ "http://www.mendeley.com/documents/?uuid=2bc2247b-a311-4ec2-b7e1-1d59c49fad55" ] }, { "id" : "ITEM-3", "itemData" : { "DOI" : "10.1016/j.marpolbul.2014.11.016", "ISSN" : "0025-326X", "author" : [ { "dropping-particle" : "", "family" : "Hayworth", "given" : "Joel S", "non-dropping-particle" : "", "parse-names" : false, "suffix" : "" }, { "dropping-particle" : "", "family" : "Clement", "given" : "T Prabakhar", "non-dropping-particle" : "", "parse-names" : false, "suffix" : "" }, { "dropping-particle" : "", "family" : "John", "given" : "Gerald F", "non-dropping-particle" : "", "parse-names" : false, "suffix" : "" }, { "dropping-particle" : "", "family" : "Yin", "given" : "Fang", "non-dropping-particle" : "", "parse-names" : false, "suffix" : "" } ], "container-title" : "Marine Pollution Bulletin", "id" : "ITEM-3", "issue" : "1-2", "issued" : { "date-parts" : [ [ "2015" ] ] }, "page" : "95-105", "publisher" : "Elsevier Ltd", "title" : "Fate of Deepwater Horizon oil in Alabama \u2019 s beach system : Understanding physical evolution processes based on observational data", "type" : "article-journal", "volume" : "90" }, "uris" : [ "http://www.mendeley.com/documents/?uuid=b7199ebc-2673-485f-a174-deadb0f207aa" ] } ], "mendeley" : { "formattedCitation" : "&lt;sup&gt;15,18,20&lt;/sup&gt;", "plainTextFormattedCitation" : "15,18,20", "previouslyFormattedCitation" : "&lt;sup&gt;15,18,20&lt;/sup&gt;" }, "properties" : { "noteIndex" : 0 }, "schema" : "https://github.com/citation-style-language/schema/raw/master/csl-citation.json" }</w:instrText>
      </w:r>
      <w:r w:rsidRPr="00DA4CEC">
        <w:fldChar w:fldCharType="separate"/>
      </w:r>
      <w:r w:rsidR="00D34B4F" w:rsidRPr="00DA4CEC">
        <w:rPr>
          <w:noProof/>
          <w:vertAlign w:val="superscript"/>
        </w:rPr>
        <w:t>15,18,20</w:t>
      </w:r>
      <w:r w:rsidRPr="00DA4CEC">
        <w:fldChar w:fldCharType="end"/>
      </w:r>
      <w:r w:rsidRPr="00DA4CEC">
        <w:t xml:space="preserve"> The ox</w:t>
      </w:r>
      <w:r w:rsidR="00DF1B8A" w:rsidRPr="00DA4CEC">
        <w:t>yhydrocarbons constitute over 50</w:t>
      </w:r>
      <w:r w:rsidRPr="00DA4CEC">
        <w:t>% of the organic compounds in sand patties and of the residuum on ‘oiled’ rocks.</w:t>
      </w:r>
      <w:r w:rsidRPr="00DA4CEC">
        <w:fldChar w:fldCharType="begin" w:fldLock="1"/>
      </w:r>
      <w:r w:rsidR="00D34B4F" w:rsidRPr="00DA4CEC">
        <w:instrText>ADDIN CSL_CITATION { "citationItems" : [ { "id" : "ITEM-1", "itemData" : { "DOI" : "10.1021/es3015138", "ISSN" : "1520-5851", "PMID" : "22809266", "abstract" : "Following the Deepwater Horizon disaster, the effect of weathering on surface slicks, oil-soaked sands, and oil-covered rocks and boulders was studied for 18 months. With time, oxygen content increased in the hydrocarbon residues. Furthermore, a weathering-dependent increase of an operationally defined oxygenated fraction relative to the saturated and aromatic fractions was observed. This oxygenated fraction made up &gt;50% of the mass of weathered samples, had an average carbon oxidation state of -1.0, and an average molecular formula of (C(5)H(7)O)(n). These oxygenated hydrocarbon residues were devoid of natural radiocarbon, confirming a fossil source and excluding contributions from recent photosynthate. The incorporation of oxygen into the oil's hydrocarbons, which we refer to as oxyhydrocarbons, was confirmed from the detection of hydroxyl and carbonyl functional groups and the identification of long chain (C(10)-C(32)) carboxylic acids as well as alcohols. On the basis of the diagnostic ratios of alkanes and polycyclic aromatic hydrocarbons, and the context within which these samples were collected, we hypothesize that biodegradation and photooxidation share responsibility for the accumulation of oxygen in the oil residues. These results reveal that molecular-level transformations of petroleum hydrocarbons lead to increasing amounts of, apparently recalcitrant, oxyhydrocarbons that dominate the solvent-extractable material from oiled samples.", "author" : [ { "dropping-particle" : "", "family" : "Aeppli", "given" : "Christoph", "non-dropping-particle" : "", "parse-names" : false, "suffix" : "" }, { "dropping-particle" : "", "family" : "Carmichael", "given" : "Catherine A", "non-dropping-particle" : "", "parse-names" : false, "suffix" : "" }, { "dropping-particle" : "", "family" : "Nelson", "given" : "Robert K", "non-dropping-particle" : "", "parse-names" : false, "suffix" : "" }, { "dropping-particle" : "", "family" : "Lemkau", "given" : "Karin L", "non-dropping-particle" : "", "parse-names" : false, "suffix" : "" }, { "dropping-particle" : "", "family" : "Graham", "given" : "William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"dropping-particle" : "", "family" : "Graham", "given" :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"container-title" : "Environmental science &amp; technology", "id" : "ITEM-1", "issue" : "16", "issued" : { "date-parts" : [ [ "2012" ] ] }, "page" : "8799-807", "title" : "Oil weathering after the Deepwater Horizon disaster led to the formation of oxygenated residues.", "type" : "article-journal", "volume" : "46" }, "uris" : [ "http://www.mendeley.com/documents/?uuid=2bc2247b-a311-4ec2-b7e1-1d59c49fad55" ] }, { "id" : "ITEM-2", "itemData" : { "author" : [ { "dropping-particle" : "", "family" : "Aeppli", "given" : "Christoph", "non-dropping-particle" : "", "parse-names" : false, "suffix" : "" }, { "dropping-particle" : "", "family" : "Nelson", "given" : "Robert K", "non-dropping-particle" : "", "parse-names" : false, "suffix" : "" }, { "dropping-particle" : "", "family" : "Radovic", "given" : "Jagos R", "non-dropping-particle" : "", "parse-names" : false, "suffix" : "" }, { "dropping-particle" : "", "family" : "Carmichael", "given" : "Catherine A", "non-dropping-particle" : "", "parse-names" : false, "suffix" : "" }, { "dropping-particle" : "", "family" : "Valentine", "given" : "David L", "non-dropping-particle" : "", "parse-names" : false, "suffix" : "" }, { "dropping-particle" : "", "family" : "Reddy", "given" : "Christopher M", "non-dropping-particle" : "", "parse-names" : false, "suffix" : "" } ], "container-title" : "Environ Sci Technol", "id" : "ITEM-2", "issued" : { "date-parts" : [ [ "2014" ] ] }, "page" : "6727-6734", "title" : "Recalcitrance and Degradation of Petroleum Biomarkers upon Abiotic and Biotic Natural Weathering of Deepwater Horizon Oil", "type" : "article-journal", "volume" : "48" }, "uris" : [ "http://www.mendeley.com/documents/?uuid=23ed41af-8744-4cbe-a4ae-a2d0ddb4a727" ] } ], "mendeley" : { "formattedCitation" : "&lt;sup&gt;20,21&lt;/sup&gt;", "plainTextFormattedCitation" : "20,21", "previouslyFormattedCitation" : "&lt;sup&gt;20,21&lt;/sup&gt;" }, "properties" : { "noteIndex" : 0 }, "schema" : "https://github.com/citation-style-language/schema/raw/master/csl-citation.json" }</w:instrText>
      </w:r>
      <w:r w:rsidRPr="00DA4CEC">
        <w:fldChar w:fldCharType="separate"/>
      </w:r>
      <w:r w:rsidR="00D34B4F" w:rsidRPr="00DA4CEC">
        <w:rPr>
          <w:noProof/>
          <w:vertAlign w:val="superscript"/>
        </w:rPr>
        <w:t>20,21</w:t>
      </w:r>
      <w:r w:rsidRPr="00DA4CEC">
        <w:fldChar w:fldCharType="end"/>
      </w:r>
      <w:r w:rsidRPr="00DA4CEC">
        <w:t xml:space="preserve"> </w:t>
      </w:r>
    </w:p>
    <w:p w14:paraId="094B2BBA" w14:textId="77777777" w:rsidR="00A94EF3" w:rsidRPr="00DA4CEC" w:rsidRDefault="00A94EF3" w:rsidP="00A94EF3">
      <w:r w:rsidRPr="00DA4CEC">
        <w:rPr>
          <w:b/>
        </w:rPr>
        <w:tab/>
      </w:r>
      <w:r w:rsidRPr="00DA4CEC">
        <w:t xml:space="preserve">Sand patties derived from oil are likely exposed to both anaerobic conditions during their migration along the seafloor and aerobic conditions once they reach the beachfront.  </w:t>
      </w:r>
      <w:r w:rsidR="00BF11AC" w:rsidRPr="00DA4CEC">
        <w:t xml:space="preserve">Additionally, due to the nature of sand patties, it is possible that the patties themselves may develop an oxygen gradient within pores where diffusion may be limited. </w:t>
      </w:r>
      <w:r w:rsidRPr="00DA4CEC">
        <w:t>Once on beaches, sand patties are exposed to direct sunlight during the day and are constantly wetted from the action of the surf.  Sunlight results in oil weathering by photooxidation that likely further transforms the constituents in sand patties.</w:t>
      </w:r>
      <w:r w:rsidRPr="00DA4CEC">
        <w:fldChar w:fldCharType="begin" w:fldLock="1"/>
      </w:r>
      <w:r w:rsidR="00D34B4F" w:rsidRPr="00DA4CEC">
        <w:instrText>ADDIN CSL_CITATION { "citationItems" : [ { "id" : "ITEM-1", "itemData" : { "DOI" : "10.1016/j.jhazmat.2014.08.059", "ISSN" : "0304-3894", "author" : [ { "dropping-particle" : "", "family" : "Ray", "given" : "Phoebe Z", "non-dropping-particle" : "", "parse-names" : false, "suffix" : "" }, { "dropping-particle" : "", "family" : "Chen", "given" : "Huan", "non-dropping-particle" : "", "parse-names" : false, "suffix" : "" }, { "dropping-particle" : "", "family" : "Podgorski", "given" : "David C", "non-dropping-particle" : "", "parse-names" : false, "suffix" : "" }, { "dropping-particle" : "", "family" : "Mckenna", "given" : "Amy M", "non-dropping-particle" : "", "parse-names" : false, "suffix" : "" }, { "dropping-particle" : "", "family" : "Tarr", "given" : "Matthew A", "non-dropping-particle" : "", "parse-names" : false, "suffix" : "" } ], "container-title" : "Journal of Hazardous Materials", "id" : "ITEM-1", "issued" : { "date-parts" : [ [ "2014" ] ] }, "page" : "636-643", "publisher" : "Elsevier B.V.", "title" : "Sunlight creates oxygenated species in water-soluble fractions of Deepwater horizon oil", "type" : "article-journal", "volume" : "280" }, "uris" : [ "http://www.mendeley.com/documents/?uuid=56a02569-1afe-4a98-825e-db40f756882b" ] } ], "mendeley" : { "formattedCitation" : "&lt;sup&gt;24&lt;/sup&gt;", "plainTextFormattedCitation" : "24", "previouslyFormattedCitation" : "&lt;sup&gt;24&lt;/sup&gt;" }, "properties" : { "noteIndex" : 0 }, "schema" : "https://github.com/citation-style-language/schema/raw/master/csl-citation.json" }</w:instrText>
      </w:r>
      <w:r w:rsidRPr="00DA4CEC">
        <w:fldChar w:fldCharType="separate"/>
      </w:r>
      <w:r w:rsidR="00D34B4F" w:rsidRPr="00DA4CEC">
        <w:rPr>
          <w:noProof/>
          <w:vertAlign w:val="superscript"/>
        </w:rPr>
        <w:t>24</w:t>
      </w:r>
      <w:r w:rsidRPr="00DA4CEC">
        <w:fldChar w:fldCharType="end"/>
      </w:r>
      <w:r w:rsidR="00BF11AC" w:rsidRPr="00DA4CEC">
        <w:t xml:space="preserve"> Continuous</w:t>
      </w:r>
      <w:r w:rsidRPr="00DA4CEC">
        <w:t xml:space="preserve"> exposure to weathering processes results in the loss of saturated and aromatic compounds in sand patties and the formation of oxygenated resins and polar components that are difficult to resolve by standard chromatographic methodologies.</w:t>
      </w:r>
      <w:r w:rsidRPr="00DA4CEC">
        <w:fldChar w:fldCharType="begin" w:fldLock="1"/>
      </w:r>
      <w:r w:rsidR="00D34B4F" w:rsidRPr="00DA4CEC">
        <w:instrText>ADDIN CSL_CITATION { "citationItems" : [ { "id" : "ITEM-1", "itemData" : { "author" : [ { "dropping-particle" : "", "family" : "Prince", "given" : "Roger C", "non-dropping-particle" : "", "parse-names" : false, "suffix" : "" } ], "container-title" : "Environmental Science and Technology", "id" : "ITEM-1", "issue" : "22", "issued" : { "date-parts" : [ [ "2003" ] ] }, "page" : "5213-5218", "title" : "Anaerobic Oxidation of Crude Oil Hydrocarbons by the Resident Microorganisms of a Contaminated Anoxic Aquifer", "type" : "article-journal", "volume" : "37" }, "uris" : [ "http://www.mendeley.com/documents/?uuid=c3dd6dbc-4af1-4e84-b004-42a14a100ee9" ] }, { "id" : "ITEM-2", "itemData" : { "DOI" : "10.1021/es3015138", "ISSN" : "1520-5851", "PMID" : "22809266", "abstract" : "Following the Deepwater Horizon disaster, the effect of weathering on surface slicks, oil-soaked sands, and oil-covered rocks and boulders was studied for 18 months. With time, oxygen content increased in the hydrocarbon residues. Furthermore, a weathering-dependent increase of an operationally defined oxygenated fraction relative to the saturated and aromatic fractions was observed. This oxygenated fraction made up &gt;50% of the mass of weathered samples, had an average carbon oxidation state of -1.0, and an average molecular formula of (C(5)H(7)O)(n). These oxygenated hydrocarbon residues were devoid of natural radiocarbon, confirming a fossil source and excluding contributions from recent photosynthate. The incorporation of oxygen into the oil's hydrocarbons, which we refer to as oxyhydrocarbons, was confirmed from the detection of hydroxyl and carbonyl functional groups and the identification of long chain (C(10)-C(32)) carboxylic acids as well as alcohols. On the basis of the diagnostic ratios of alkanes and polycyclic aromatic hydrocarbons, and the context within which these samples were collected, we hypothesize that biodegradation and photooxidation share responsibility for the accumulation of oxygen in the oil residues. These results reveal that molecular-level transformations of petroleum hydrocarbons lead to increasing amounts of, apparently recalcitrant, oxyhydrocarbons that dominate the solvent-extractable material from oiled samples.", "author" : [ { "dropping-particle" : "", "family" : "Aeppli", "given" : "Christoph", "non-dropping-particle" : "", "parse-names" : false, "suffix" : "" }, { "dropping-particle" : "", "family" : "Carmichael", "given" : "Catherine A", "non-dropping-particle" : "", "parse-names" : false, "suffix" : "" }, { "dropping-particle" : "", "family" : "Nelson", "given" : "Robert K", "non-dropping-particle" : "", "parse-names" : false, "suffix" : "" }, { "dropping-particle" : "", "family" : "Lemkau", "given" : "Karin L", "non-dropping-particle" : "", "parse-names" : false, "suffix" : "" }, { "dropping-particle" : "", "family" : "Graham", "given" : "William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"dropping-particle" : "", "family" : "Graham", "given" :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"container-title" : "Environmental science &amp; technology", "id" : "ITEM-2", "issue" : "16", "issued" : { "date-parts" : [ [ "2012" ] ] }, "page" : "8799-807", "title" : "Oil weathering after the Deepwater Horizon disaster led to the formation of oxygenated residues.", "type" : "article-journal", "volume" : "46" }, "uris" : [ "http://www.mendeley.com/documents/?uuid=2bc2247b-a311-4ec2-b7e1-1d59c49fad55" ] }, { "id" : "ITEM-3", "itemData" : { "DOI" : "10.1021/es4042836", "ISBN" : "0013-936X", "ISSN" : "0013936X", "PMID" : "24447243", "abstract" : "Biodegradation plays a major role in the natural attenuation of oil spills. However, limited information is available about biodegradation of different saturated hydrocarbon classes in surface environments, despite that oils are composed mostly of saturates, due to the limited ability of conventional gas chromatography (GC) to resolve this compound group. We studied eight weathered oil samples collected from four Gulf of Mexico beaches 12-19 months after the Deepwater Horizon disaster. Using comprehensive two-dimensional gas chromatography (GC \u00d7 GC), we successfully separated, identified, and quantified several distinct saturates classes in these samples. We find that saturated hydrocarbons eluting after n-C22 dominate the GC-amenable fraction of these weathered samples. This compound group represented 8-10%, or 38-68 thousand metric tons, of the oil originally released from Macondo well. Saturates in the n-C22 to n-C29 elution range were found to be partly biodegraded, but to different relative extents, with ease of biodegradation decreasing in the following order: n-alkanes &gt; methylalkanes and alkylcyclopentanes+alkylcyclohexanes &gt; cyclic and acyclic isoprenoids. We developed a new quantitative index designed to characterize biodegradation of &gt;n-C22 saturates. These results shed new light onto the environmental fate of these persistent, hydrophobic, and mostly overlooked compounds in the unresolved complex mixtures (UCM) of weathered oils.", "author" : [ { "dropping-particle" : "", "family" : "Gros", "given" : "Jonas", "non-dropping-particle" : "", "parse-names" : false, "suffix" : "" }, { "dropping-particle" : "", "family" : "Reddy", "given" : "Christopher M.", "non-dropping-particle" : "", "parse-names" : false, "suffix" : "" }, { "dropping-particle" : "", "family" : "Aeppli", "given" : "Christoph", "non-dropping-particle" : "", "parse-names" : false, "suffix" : "" }, { "dropping-particle" : "", "family" : "Nelson", "given" : "Robert K.", "non-dropping-particle" : "", "parse-names" : false, "suffix" : "" }, { "dropping-particle" : "", "family" : "Carmichael", "given" : "Catherine a.", "non-dropping-particle" : "", "parse-names" : false, "suffix" : "" }, { "dropping-particle" : "", "family" : "Arey", "given" : "J. Samuel", "non-dropping-particle" : "", "parse-names" : false, "suffix" : "" } ], "container-title" : "Environmental Science and Technology", "id" : "ITEM-3", "issued" : { "date-parts" : [ [ "2014" ] ] }, "page" : "1628-1637", "title" : "Resolving biodegradation patterns of persistent saturated hydrocarbons in weathered oil samples from the Deepwater Horizon disaster", "type" : "article-journal", "volume" : "48" }, "uris" : [ "http://www.mendeley.com/documents/?uuid=431e7f0e-32c6-4c25-9bd2-1b85f28ab742" ] } ], "mendeley" : { "formattedCitation" : "&lt;sup&gt;20,23,26&lt;/sup&gt;", "plainTextFormattedCitation" : "20,23,26", "previouslyFormattedCitation" : "&lt;sup&gt;20,23,26&lt;/sup&gt;" }, "properties" : { "noteIndex" : 0 }, "schema" : "https://github.com/citation-style-language/schema/raw/master/csl-citation.json" }</w:instrText>
      </w:r>
      <w:r w:rsidRPr="00DA4CEC">
        <w:fldChar w:fldCharType="separate"/>
      </w:r>
      <w:r w:rsidR="00D34B4F" w:rsidRPr="00DA4CEC">
        <w:rPr>
          <w:noProof/>
          <w:vertAlign w:val="superscript"/>
        </w:rPr>
        <w:t>20,23,26</w:t>
      </w:r>
      <w:r w:rsidRPr="00DA4CEC">
        <w:fldChar w:fldCharType="end"/>
      </w:r>
      <w:r w:rsidRPr="00DA4CEC">
        <w:t xml:space="preserve">  While it is known that UV irradiation and biodegradation transform crude oil components, the long-term fate of many high molecular weight polar molecules resulting from the aforementioned combination of oil weathering processes is far from clear. </w:t>
      </w:r>
    </w:p>
    <w:p w14:paraId="23D92EFA" w14:textId="77777777" w:rsidR="00A94EF3" w:rsidRPr="00DA4CEC" w:rsidRDefault="00A94EF3" w:rsidP="00A94EF3">
      <w:r w:rsidRPr="00DA4CEC">
        <w:tab/>
      </w:r>
      <w:r w:rsidR="000209E4" w:rsidRPr="00DA4CEC">
        <w:t>Hydrocarbons are known to inhibit and can be potentially toxic to individual microorganisms.</w:t>
      </w:r>
      <w:r w:rsidR="000209E4" w:rsidRPr="00DA4CEC">
        <w:fldChar w:fldCharType="begin" w:fldLock="1"/>
      </w:r>
      <w:r w:rsidR="00642FEC" w:rsidRPr="00DA4CEC">
        <w:instrText>ADDIN CSL_CITATION { "citationItems" : [ { "id" : "ITEM-1", "itemData" : { "author" : [ { "dropping-particle" : "", "family" : "Walker", "given" : "J.D.", "non-dropping-particle" : "", "parse-names" : false, "suffix" : "" }, { "dropping-particle" : "", "family" : "Seesman", "given" : "P.A.", "non-dropping-particle" : "", "parse-names" : false, "suffix" : "" }, { "dropping-particle" : "", "family" : "Colwell", "given" : "Rita R", "non-dropping-particle" : "", "parse-names" : false, "suffix" : "" } ], "container-title" : "Environmental Pollution", "id" : "ITEM-1", "issue" : "1", "issued" : { "date-parts" : [ [ "1970" ] ] }, "page" : "13-33", "title" : "Effect of South Louisiana crude oil and No. 2 fuel oil on growth of heterotrophic microorganisms, including proteolytic, lipolytic, chitinolytic and cellulolytic bacteria", "type" : "article-journal", "volume" : "9" }, "uris" : [ "http://www.mendeley.com/documents/?uuid=37c89506-42c0-4e93-a8c5-a04928bdf8d1" ] } ], "mendeley" : { "formattedCitation" : "&lt;sup&gt;27&lt;/sup&gt;", "plainTextFormattedCitation" : "27", "previouslyFormattedCitation" : "&lt;sup&gt;28&lt;/sup&gt;" }, "properties" : { "noteIndex" : 0 }, "schema" : "https://github.com/citation-style-language/schema/raw/master/csl-citation.json" }</w:instrText>
      </w:r>
      <w:r w:rsidR="000209E4" w:rsidRPr="00DA4CEC">
        <w:fldChar w:fldCharType="separate"/>
      </w:r>
      <w:r w:rsidR="00642FEC" w:rsidRPr="00DA4CEC">
        <w:rPr>
          <w:noProof/>
          <w:vertAlign w:val="superscript"/>
        </w:rPr>
        <w:t>27</w:t>
      </w:r>
      <w:r w:rsidR="000209E4" w:rsidRPr="00DA4CEC">
        <w:fldChar w:fldCharType="end"/>
      </w:r>
      <w:r w:rsidR="000209E4" w:rsidRPr="00DA4CEC">
        <w:t xml:space="preserve">  However, we sought to assess the impact of sand patties and derived organic matter on the overall functioning of marine microbial communities.  This was necessary to ensure that subsequent biodegradation experiments were not predisposed to failure.  To this end, the endogenous rate of electron acceptor utilization was used as an integrated measure of the baseline functioning of the active microflora in marine samples.  The overall rate of both oxygen consumption and sulfide formation in the </w:t>
      </w:r>
      <w:r w:rsidR="000209E4" w:rsidRPr="00DA4CEC">
        <w:lastRenderedPageBreak/>
        <w:t>presence and absence of sand patty carbon was evaluated. Additionally, t</w:t>
      </w:r>
      <w:r w:rsidRPr="00DA4CEC">
        <w:t>his study sought to examine the combined effects of photooxidation and biodegradation on the environmental fate of oil-derived components found in sand patties recovered from impacted beaches on the</w:t>
      </w:r>
      <w:r w:rsidR="00650935" w:rsidRPr="00DA4CEC">
        <w:t xml:space="preserve"> northern GoM shores. We propose</w:t>
      </w:r>
      <w:r w:rsidRPr="00DA4CEC">
        <w:t xml:space="preserve"> that these processes represent the near final stages in the mineralization of the contaminating Macondo oil.</w:t>
      </w:r>
    </w:p>
    <w:p w14:paraId="5DEBED55" w14:textId="77777777" w:rsidR="00A94EF3" w:rsidRPr="00DA4CEC" w:rsidRDefault="00A94EF3" w:rsidP="00A94EF3">
      <w:pPr>
        <w:jc w:val="center"/>
        <w:rPr>
          <w:b/>
        </w:rPr>
      </w:pPr>
    </w:p>
    <w:p w14:paraId="3EFCBEC7" w14:textId="77777777" w:rsidR="00A94EF3" w:rsidRPr="00DA4CEC" w:rsidRDefault="00A94EF3" w:rsidP="00A94EF3">
      <w:pPr>
        <w:jc w:val="center"/>
        <w:rPr>
          <w:b/>
        </w:rPr>
      </w:pPr>
      <w:r w:rsidRPr="00DA4CEC">
        <w:rPr>
          <w:b/>
        </w:rPr>
        <w:t>Materials and Methods</w:t>
      </w:r>
    </w:p>
    <w:p w14:paraId="012FBD86" w14:textId="77777777" w:rsidR="00A94EF3" w:rsidRPr="00DA4CEC" w:rsidRDefault="00A94EF3" w:rsidP="00A94EF3">
      <w:pPr>
        <w:outlineLvl w:val="0"/>
      </w:pPr>
      <w:r w:rsidRPr="00DA4CEC">
        <w:rPr>
          <w:b/>
        </w:rPr>
        <w:t>Sample Collection, Biomarker Analysis and Anion Analysis</w:t>
      </w:r>
    </w:p>
    <w:p w14:paraId="1F86805E" w14:textId="77777777" w:rsidR="00A94EF3" w:rsidRPr="00DA4CEC" w:rsidRDefault="00A94EF3" w:rsidP="00A94EF3">
      <w:r w:rsidRPr="00DA4CEC">
        <w:tab/>
        <w:t>Sand patties were collected from the swash zone of beaches in Gulf Shores and Fort Morgan, Alabama (30.24° N x 87.74° W and 30.22° N x 88.01° W, respectively) on January 20, 2014 and March 18, 2014.  Initial forays for the collection of the morphologically recognizable sand patties were conducted in conjunction with Dr. Christoph Aeppli, who subsequently analyzed a subset of the collected specimens for the prese</w:t>
      </w:r>
      <w:r w:rsidR="00A540FB" w:rsidRPr="00DA4CEC">
        <w:t>nce of biomarker compound</w:t>
      </w:r>
      <w:r w:rsidR="00650935" w:rsidRPr="00DA4CEC">
        <w:t>s</w:t>
      </w:r>
      <w:r w:rsidRPr="00DA4CEC">
        <w:t>.  Based on the identity of hopanoids with up to 31 carbons</w:t>
      </w:r>
      <w:r w:rsidR="00650935" w:rsidRPr="00DA4CEC">
        <w:t>,</w:t>
      </w:r>
      <w:r w:rsidRPr="00DA4CEC">
        <w:t xml:space="preserve"> as well as steranes and diasteranes </w:t>
      </w:r>
      <w:r w:rsidR="000209E4" w:rsidRPr="00DA4CEC">
        <w:t>that</w:t>
      </w:r>
      <w:r w:rsidR="00650935" w:rsidRPr="00DA4CEC">
        <w:t xml:space="preserve"> </w:t>
      </w:r>
      <w:r w:rsidRPr="00DA4CEC">
        <w:t>were in the original oil but not systematically altered by weathering processes, the sand patties were identified as originating from the Macondo oil</w:t>
      </w:r>
      <w:r w:rsidR="00860862" w:rsidRPr="00DA4CEC">
        <w:t>.</w:t>
      </w:r>
      <w:r w:rsidR="00860862" w:rsidRPr="00DA4CEC">
        <w:fldChar w:fldCharType="begin" w:fldLock="1"/>
      </w:r>
      <w:r w:rsidR="00D34B4F" w:rsidRPr="00DA4CEC">
        <w:instrText>ADDIN CSL_CITATION { "citationItems" : [ { "id" : "ITEM-1", "itemData" : { "author" : [ { "dropping-particle" : "", "family" : "Aeppli", "given" : "Christoph", "non-dropping-particle" : "", "parse-names" : false, "suffix" : "" }, { "dropping-particle" : "", "family" : "Nelson", "given" : "Robert K", "non-dropping-particle" : "", "parse-names" : false, "suffix" : "" }, { "dropping-particle" : "", "family" : "Radovic", "given" : "Jagos R", "non-dropping-particle" : "", "parse-names" : false, "suffix" : "" }, { "dropping-particle" : "", "family" : "Carmichael", "given" : "Catherine A", "non-dropping-particle" : "", "parse-names" : false, "suffix" : "" }, { "dropping-particle" : "", "family" : "Valentine", "given" : "David L", "non-dropping-particle" : "", "parse-names" : false, "suffix" : "" }, { "dropping-particle" : "", "family" : "Reddy", "given" : "Christopher M", "non-dropping-particle" : "", "parse-names" : false, "suffix" : "" } ], "container-title" : "Environ Sci Technol", "id" : "ITEM-1", "issued" : { "date-parts" : [ [ "2014" ] ] }, "page" : "6727-6734", "title" : "Recalcitrance and Degradation of Petroleum Biomarkers upon Abiotic and Biotic Natural Weathering of Deepwater Horizon Oil", "type" : "article-journal", "volume" : "48" }, "uris" : [ "http://www.mendeley.com/documents/?uuid=23ed41af-8744-4cbe-a4ae-a2d0ddb4a727" ] } ], "mendeley" : { "formattedCitation" : "&lt;sup&gt;21&lt;/sup&gt;", "plainTextFormattedCitation" : "21", "previouslyFormattedCitation" : "&lt;sup&gt;21&lt;/sup&gt;" }, "properties" : { "noteIndex" : 0 }, "schema" : "https://github.com/citation-style-language/schema/raw/master/csl-citation.json" }</w:instrText>
      </w:r>
      <w:r w:rsidR="00860862" w:rsidRPr="00DA4CEC">
        <w:fldChar w:fldCharType="separate"/>
      </w:r>
      <w:r w:rsidR="00D34B4F" w:rsidRPr="00DA4CEC">
        <w:rPr>
          <w:noProof/>
          <w:vertAlign w:val="superscript"/>
        </w:rPr>
        <w:t>21</w:t>
      </w:r>
      <w:r w:rsidR="00860862" w:rsidRPr="00DA4CEC">
        <w:fldChar w:fldCharType="end"/>
      </w:r>
      <w:r w:rsidRPr="00DA4CEC">
        <w:t xml:space="preserve"> Sand patties were placed in clean sealed</w:t>
      </w:r>
      <w:r w:rsidR="00DE3157" w:rsidRPr="00DA4CEC">
        <w:t xml:space="preserve"> glass</w:t>
      </w:r>
      <w:r w:rsidRPr="00DA4CEC">
        <w:t xml:space="preserve"> containers,</w:t>
      </w:r>
      <w:r w:rsidR="00DE3157" w:rsidRPr="00DA4CEC">
        <w:t xml:space="preserve"> cooled with ice packs, and shipped ov</w:t>
      </w:r>
      <w:r w:rsidR="000209E4" w:rsidRPr="00DA4CEC">
        <w:t>ernight to the laboratory where</w:t>
      </w:r>
      <w:r w:rsidR="00DE3157" w:rsidRPr="00DA4CEC">
        <w:t>upon they were stored at -80</w:t>
      </w:r>
      <w:r w:rsidR="00DE3157" w:rsidRPr="00DA4CEC">
        <w:rPr>
          <w:vertAlign w:val="superscript"/>
        </w:rPr>
        <w:t>0</w:t>
      </w:r>
      <w:r w:rsidR="00DE3157" w:rsidRPr="00DA4CEC">
        <w:t>C until use</w:t>
      </w:r>
      <w:r w:rsidRPr="00DA4CEC">
        <w:t>.  Sediment from just below the water surface on the same beaches was collected using a wide mouth neoprene jar to scoop material from a depth of 5-10 cm.  The jars were nearly filled, topped off with seawater to eliminate headspace, sealed, and also shipped to the laboratory</w:t>
      </w:r>
      <w:r w:rsidR="00650935" w:rsidRPr="00DA4CEC">
        <w:t>,</w:t>
      </w:r>
      <w:r w:rsidRPr="00DA4CEC">
        <w:t xml:space="preserve"> whereupon they were stored at 4</w:t>
      </w:r>
      <w:r w:rsidRPr="00DA4CEC">
        <w:rPr>
          <w:vertAlign w:val="superscript"/>
        </w:rPr>
        <w:t>0</w:t>
      </w:r>
      <w:r w:rsidRPr="00DA4CEC">
        <w:t>C prior to use.   Anion analysis (Cl</w:t>
      </w:r>
      <w:r w:rsidRPr="00DA4CEC">
        <w:rPr>
          <w:vertAlign w:val="superscript"/>
        </w:rPr>
        <w:t>-</w:t>
      </w:r>
      <w:r w:rsidRPr="00DA4CEC">
        <w:t>, NO</w:t>
      </w:r>
      <w:r w:rsidRPr="00DA4CEC">
        <w:rPr>
          <w:vertAlign w:val="subscript"/>
        </w:rPr>
        <w:t>3</w:t>
      </w:r>
      <w:r w:rsidRPr="00DA4CEC">
        <w:rPr>
          <w:vertAlign w:val="superscript"/>
        </w:rPr>
        <w:t>-</w:t>
      </w:r>
      <w:r w:rsidRPr="00DA4CEC">
        <w:t xml:space="preserve"> and SO</w:t>
      </w:r>
      <w:r w:rsidRPr="00DA4CEC">
        <w:rPr>
          <w:vertAlign w:val="subscript"/>
        </w:rPr>
        <w:t>4</w:t>
      </w:r>
      <w:r w:rsidRPr="00DA4CEC">
        <w:rPr>
          <w:vertAlign w:val="superscript"/>
        </w:rPr>
        <w:t>-2</w:t>
      </w:r>
      <w:r w:rsidRPr="00DA4CEC">
        <w:t>)</w:t>
      </w:r>
      <w:r w:rsidR="00A540FB" w:rsidRPr="00DA4CEC">
        <w:t xml:space="preserve"> of the aqueous samples was </w:t>
      </w:r>
      <w:r w:rsidR="00A540FB" w:rsidRPr="00DA4CEC">
        <w:lastRenderedPageBreak/>
        <w:t>perf</w:t>
      </w:r>
      <w:r w:rsidRPr="00DA4CEC">
        <w:t>ormed with a Dionex Series 3000 Ion Chromatography System as previously described (Thermo Fisher, Waltham, MA).</w:t>
      </w:r>
      <w:r w:rsidRPr="00DA4CEC">
        <w:fldChar w:fldCharType="begin" w:fldLock="1"/>
      </w:r>
      <w:r w:rsidR="00642FEC" w:rsidRPr="00DA4CEC">
        <w:instrText>ADDIN CSL_CITATION { "citationItems" : [ { "id" : "ITEM-1", "itemData" : { "author" : [ { "dropping-particle" : "", "family" : "Lyles", "given" : "Christopher N.", "non-dropping-particle" : "", "parse-names" : false, "suffix" : "" }, { "dropping-particle" : "", "family" : "Aktas", "given" : "Deniz F.", "non-dropping-particle" : "", "parse-names" : false, "suffix" : "" }, { "dropping-particle" : "", "family" : "Duncan", "given" : "Kathleen E.", "non-dropping-particle" : "", "parse-names" : false, "suffix" : "" }, { "dropping-particle" : "V.", "family" : "Callaghan", "given" : "Amy", "non-dropping-particle" : "", "parse-names" : false, "suffix" : "" }, { "dropping-particle" : "", "family" : "Stevenson", "given" : "Bradley S.", "non-dropping-particle" : "", "parse-names" : false, "suffix" : "" }, { "dropping-particle" : "", "family" : "Suflita", "given" : "Josesph M.", "non-dropping-particle" : "", "parse-names" : false, "suffix" : "" } ], "container-title" : "Environmental Science and Technology", "id" : "ITEM-1", "issued" : { "date-parts" : [ [ "2013" ] ] }, "page" : "6052-6062", "title" : "Impact of organsulfur content on diesel fuel stability and implications for carbon steel corrosion", "type" : "article-journal", "volume" : "47" }, "uris" : [ "http://www.mendeley.com/documents/?uuid=d5be4db9-eeab-48da-a4e5-651a1b924317" ] } ], "mendeley" : { "formattedCitation" : "&lt;sup&gt;28&lt;/sup&gt;", "plainTextFormattedCitation" : "28", "previouslyFormattedCitation" : "&lt;sup&gt;27&lt;/sup&gt;" }, "properties" : { "noteIndex" : 0 }, "schema" : "https://github.com/citation-style-language/schema/raw/master/csl-citation.json" }</w:instrText>
      </w:r>
      <w:r w:rsidRPr="00DA4CEC">
        <w:fldChar w:fldCharType="separate"/>
      </w:r>
      <w:r w:rsidR="00642FEC" w:rsidRPr="00DA4CEC">
        <w:rPr>
          <w:noProof/>
          <w:vertAlign w:val="superscript"/>
        </w:rPr>
        <w:t>28</w:t>
      </w:r>
      <w:r w:rsidRPr="00DA4CEC">
        <w:fldChar w:fldCharType="end"/>
      </w:r>
      <w:r w:rsidRPr="00DA4CEC">
        <w:t xml:space="preserve"> </w:t>
      </w:r>
      <w:r w:rsidR="00095D63" w:rsidRPr="00DA4CEC">
        <w:t>T</w:t>
      </w:r>
      <w:r w:rsidRPr="00DA4CEC">
        <w:t>he sulfate analysis was used for assessing the rates of sulfate reduction using a radiotracer method (below).</w:t>
      </w:r>
    </w:p>
    <w:p w14:paraId="05F762F4" w14:textId="77777777" w:rsidR="00A94EF3" w:rsidRPr="00DA4CEC" w:rsidRDefault="00A94EF3" w:rsidP="000209E4">
      <w:pPr>
        <w:outlineLvl w:val="0"/>
        <w:rPr>
          <w:b/>
        </w:rPr>
      </w:pPr>
      <w:r w:rsidRPr="00DA4CEC">
        <w:rPr>
          <w:b/>
        </w:rPr>
        <w:t>Impact Of Sand Patties On GoM Microbial Communities</w:t>
      </w:r>
    </w:p>
    <w:p w14:paraId="7E9BF095" w14:textId="77777777" w:rsidR="00A94EF3" w:rsidRPr="00DA4CEC" w:rsidRDefault="00A94EF3" w:rsidP="00A94EF3">
      <w:pPr>
        <w:rPr>
          <w:sz w:val="22"/>
          <w:szCs w:val="22"/>
        </w:rPr>
      </w:pPr>
      <w:r w:rsidRPr="00DA4CEC">
        <w:tab/>
        <w:t>For aerobic microbial metabolism, the rate of oxygen consumption was measured with a 10-channel Micro-Oxymax Respirometer outfitted with an electrochemical oxygen sensor (Columbus Instruments, Columbus, OH).  Samples were incubated at room temperature in 250 mL bottles containing 10 g of sediment inoculum and 10 mL of filter-sterilized seawater. The headspace was automatically purged every 4 h and analyzed for O</w:t>
      </w:r>
      <w:r w:rsidRPr="00DA4CEC">
        <w:rPr>
          <w:vertAlign w:val="subscript"/>
        </w:rPr>
        <w:t>2</w:t>
      </w:r>
      <w:r w:rsidRPr="00DA4CEC">
        <w:t>.  The incubations were conducted in triplicate and results averaged for each experimental condition.</w:t>
      </w:r>
    </w:p>
    <w:p w14:paraId="3F6986B1" w14:textId="77777777" w:rsidR="00A94EF3" w:rsidRPr="00DA4CEC" w:rsidRDefault="00A94EF3" w:rsidP="00A94EF3">
      <w:r w:rsidRPr="00DA4CEC">
        <w:tab/>
        <w:t xml:space="preserve">To assess the impact of sand patty organic matter on anaerobic respiration, we employed </w:t>
      </w:r>
      <w:r w:rsidRPr="00DA4CEC">
        <w:rPr>
          <w:vertAlign w:val="superscript"/>
        </w:rPr>
        <w:t>35</w:t>
      </w:r>
      <w:r w:rsidRPr="00DA4CEC">
        <w:t>SO</w:t>
      </w:r>
      <w:r w:rsidRPr="00DA4CEC">
        <w:rPr>
          <w:vertAlign w:val="subscript"/>
        </w:rPr>
        <w:t>4</w:t>
      </w:r>
      <w:r w:rsidRPr="00DA4CEC">
        <w:rPr>
          <w:vertAlign w:val="superscript"/>
        </w:rPr>
        <w:t>-2</w:t>
      </w:r>
      <w:r w:rsidRPr="00DA4CEC">
        <w:t xml:space="preserve"> as a radiotracer and measured its conversion to </w:t>
      </w:r>
      <w:r w:rsidRPr="00DA4CEC">
        <w:rPr>
          <w:vertAlign w:val="superscript"/>
        </w:rPr>
        <w:t>35</w:t>
      </w:r>
      <w:r w:rsidRPr="00DA4CEC">
        <w:t>S-sulfide using a previously described procedure.</w:t>
      </w:r>
      <w:r w:rsidRPr="00DA4CEC">
        <w:fldChar w:fldCharType="begin" w:fldLock="1"/>
      </w:r>
      <w:r w:rsidR="00D34B4F" w:rsidRPr="00DA4CEC">
        <w:instrText>ADDIN CSL_CITATION { "citationItems" : [ { "id" : "ITEM-1", "itemData" : { "author" : [ { "dropping-particle" : "", "family" : "Ulrich", "given" : "Glenn A", "non-dropping-particle" : "", "parse-names" : false, "suffix" : "" }, { "dropping-particle" : "", "family" : "Krumholz", "given" : "L E E R", "non-dropping-particle" : "", "parse-names" : false, "suffix" : "" }, { "dropping-particle" : "", "family" : "Suflita", "given" : "Joseph M", "non-dropping-particle" : "", "parse-names" : false, "suffix" : "" } ], "container-title" : "Environmental Science &amp; technology", "id" : "ITEM-1", "issue" : "4", "issued" : { "date-parts" : [ [ "1997" ] ] }, "page" : "1627-1630", "title" : "A rapid and simple method for estimating sulfate reduction activity and quantifying inorganic sulfides . A Rapid and Simple Method for Estimating Sulfate Reduction Activity and Quantifying Inorganic Sulfides", "type" : "article-journal", "volume" : "63" }, "uris" : [ "http://www.mendeley.com/documents/?uuid=6a3eada2-a944-433f-b434-a345881a6697" ] } ], "mendeley" : { "formattedCitation" : "&lt;sup&gt;29&lt;/sup&gt;", "plainTextFormattedCitation" : "29", "previouslyFormattedCitation" : "&lt;sup&gt;29&lt;/sup&gt;" }, "properties" : { "noteIndex" : 0 }, "schema" : "https://github.com/citation-style-language/schema/raw/master/csl-citation.json" }</w:instrText>
      </w:r>
      <w:r w:rsidRPr="00DA4CEC">
        <w:fldChar w:fldCharType="separate"/>
      </w:r>
      <w:r w:rsidR="00D34B4F" w:rsidRPr="00DA4CEC">
        <w:rPr>
          <w:noProof/>
          <w:vertAlign w:val="superscript"/>
        </w:rPr>
        <w:t>29</w:t>
      </w:r>
      <w:r w:rsidRPr="00DA4CEC">
        <w:fldChar w:fldCharType="end"/>
      </w:r>
      <w:r w:rsidRPr="00DA4CEC">
        <w:t xml:space="preserve"> Briefly, 10 mL of seawater was combined with varying amounts of sediment and sand patty material to total 10 g. Then, 100 μL of a 5 μCi </w:t>
      </w:r>
      <w:r w:rsidRPr="00DA4CEC">
        <w:rPr>
          <w:vertAlign w:val="superscript"/>
        </w:rPr>
        <w:t>35</w:t>
      </w:r>
      <w:r w:rsidRPr="00DA4CEC">
        <w:t>SO</w:t>
      </w:r>
      <w:r w:rsidRPr="00DA4CEC">
        <w:rPr>
          <w:vertAlign w:val="subscript"/>
        </w:rPr>
        <w:t>4</w:t>
      </w:r>
      <w:r w:rsidRPr="00DA4CEC">
        <w:rPr>
          <w:vertAlign w:val="superscript"/>
        </w:rPr>
        <w:t>-2</w:t>
      </w:r>
      <w:r w:rsidRPr="00DA4CEC">
        <w:t xml:space="preserve"> stock solution was added to each of the bottles to reach an initial dose of 50 nCi tracer.  The bottles were then incubated for 7 d at room temperature.  After incubation, 4 mL Cr(II)Cl and 4 mL HCl were added to volatilize biogenically produced H</w:t>
      </w:r>
      <w:r w:rsidRPr="00DA4CEC">
        <w:rPr>
          <w:vertAlign w:val="subscript"/>
        </w:rPr>
        <w:t>2</w:t>
      </w:r>
      <w:r w:rsidRPr="00DA4CEC">
        <w:rPr>
          <w:vertAlign w:val="superscript"/>
        </w:rPr>
        <w:t>35</w:t>
      </w:r>
      <w:r w:rsidRPr="00DA4CEC">
        <w:t xml:space="preserve">S which was subsequently trapped in a zinc acetate solution.  Radioactivity was measured with a scintillation counter (Triathler LSC, Hidex, Turku, Finland) by removing a 1 ml portion of the trap and adding it to 5 mL of Ultima Gold Liquid Scintillation Cocktail (Sigma Aldrich, St Louis, MO).  The rates of sulfate reduction in sand patty-amended incubations were compared to positive control incubations that </w:t>
      </w:r>
      <w:r w:rsidRPr="00DA4CEC">
        <w:lastRenderedPageBreak/>
        <w:t xml:space="preserve">received lactate (20mM), a substrate-unamended control with only endogenous substrates and an autoclaved negative control (without sand patty amendment) using a paired t-test. </w:t>
      </w:r>
    </w:p>
    <w:p w14:paraId="4E610E97" w14:textId="77777777" w:rsidR="00A94EF3" w:rsidRPr="00DA4CEC" w:rsidRDefault="00A94EF3" w:rsidP="00A94EF3">
      <w:pPr>
        <w:outlineLvl w:val="0"/>
        <w:rPr>
          <w:b/>
        </w:rPr>
      </w:pPr>
      <w:r w:rsidRPr="00DA4CEC">
        <w:rPr>
          <w:b/>
        </w:rPr>
        <w:t>Se</w:t>
      </w:r>
      <w:r w:rsidR="00650935" w:rsidRPr="00DA4CEC">
        <w:rPr>
          <w:b/>
        </w:rPr>
        <w:t>awater Transport</w:t>
      </w:r>
      <w:r w:rsidRPr="00DA4CEC">
        <w:rPr>
          <w:b/>
        </w:rPr>
        <w:t xml:space="preserve"> in Sand Patties</w:t>
      </w:r>
    </w:p>
    <w:p w14:paraId="7C798BF8" w14:textId="77777777" w:rsidR="00A94EF3" w:rsidRPr="00DA4CEC" w:rsidRDefault="00A94EF3" w:rsidP="00A94EF3">
      <w:r w:rsidRPr="00DA4CEC">
        <w:rPr>
          <w:b/>
        </w:rPr>
        <w:tab/>
      </w:r>
      <w:r w:rsidRPr="00DA4CEC">
        <w:t>Since sand patties originate from spilled oil and contain a variety of hydrophobic compounds</w:t>
      </w:r>
      <w:r w:rsidRPr="00DA4CEC">
        <w:fldChar w:fldCharType="begin" w:fldLock="1"/>
      </w:r>
      <w:r w:rsidR="000076A8" w:rsidRPr="00DA4CEC">
        <w:instrText>ADDIN CSL_CITATION { "citationItems" : [ { "id" : "ITEM-1", "itemData" : { "DOI" : "10.5194/hessd-8-6721-2011", "author" : [ { "dropping-particle" : "", "family" : "Hayworth", "given" : "J.S.", "non-dropping-particle" : "", "parse-names" : false, "suffix" : "" }, { "dropping-particle" : "", "family" : "Clement", "given" : "T.P.", "non-dropping-particle" : "", "parse-names" : false, "suffix" : "" }, { "dropping-particle" : "", "family" : "Valentine", "given" : "J.F.", "non-dropping-particle" : "", "parse-names" : false, "suffix" : "" } ], "container-title" : "Hydrology and Earth System Sciences", "id" : "ITEM-1", "issued" : { "date-parts" : [ [ "2011" ] ] }, "page" : "3639-3649", "title" : "Deepwater Horizon oil spill impacts on Alabama beaches Deepwater Horizon oil spill impacts on Alabama beaches", "type" : "article-journal", "volume" : "15" }, "uris" : [ "http://www.mendeley.com/documents/?uuid=27937d17-a091-4336-9f14-f568150b5d69" ] }, { "id" : "ITEM-2", "itemData" : { "author" : [ { "dropping-particle" : "", "family" : "Aeppli", "given" : "Christoph", "non-dropping-particle" : "", "parse-names" : false, "suffix" : "" }, { "dropping-particle" : "", "family" : "Nelson", "given" : "Robert K", "non-dropping-particle" : "", "parse-names" : false, "suffix" : "" }, { "dropping-particle" : "", "family" : "Radovic", "given" : "Jagos R", "non-dropping-particle" : "", "parse-names" : false, "suffix" : "" }, { "dropping-particle" : "", "family" : "Carmichael", "given" : "Catherine A", "non-dropping-particle" : "", "parse-names" : false, "suffix" : "" }, { "dropping-particle" : "", "family" : "Valentine", "given" : "David L", "non-dropping-particle" : "", "parse-names" : false, "suffix" : "" }, { "dropping-particle" : "", "family" : "Reddy", "given" : "Christopher M", "non-dropping-particle" : "", "parse-names" : false, "suffix" : "" } ], "container-title" : "Environ Sci Technol", "id" : "ITEM-2", "issued" : { "date-parts" : [ [ "2014" ] ] }, "page" : "6727-6734", "title" : "Recalcitrance and Degradation of Petroleum Biomarkers upon Abiotic and Biotic Natural Weathering of Deepwater Horizon Oil", "type" : "article-journal", "volume" : "48" }, "uris" : [ "http://www.mendeley.com/documents/?uuid=23ed41af-8744-4cbe-a4ae-a2d0ddb4a727" ] }, { "id" : "ITEM-3", "itemData" : { "DOI" : "10.1021/es4042836", "ISBN" : "0013-936X", "ISSN" : "0013936X", "PMID" : "24447243", "abstract" : "Biodegradation plays a major role in the natural attenuation of oil spills. However, limited information is available about biodegradation of different saturated hydrocarbon classes in surface environments, despite that oils are composed mostly of saturates, due to the limited ability of conventional gas chromatography (GC) to resolve this compound group. We studied eight weathered oil samples collected from four Gulf of Mexico beaches 12-19 months after the Deepwater Horizon disaster. Using comprehensive two-dimensional gas chromatography (GC \u00d7 GC), we successfully separated, identified, and quantified several distinct saturates classes in these samples. We find that saturated hydrocarbons eluting after n-C22 dominate the GC-amenable fraction of these weathered samples. This compound group represented 8-10%, or 38-68 thousand metric tons, of the oil originally released from Macondo well. Saturates in the n-C22 to n-C29 elution range were found to be partly biodegraded, but to different relative extents, with ease of biodegradation decreasing in the following order: n-alkanes &gt; methylalkanes and alkylcyclopentanes+alkylcyclohexanes &gt; cyclic and acyclic isoprenoids. We developed a new quantitative index designed to characterize biodegradation of &gt;n-C22 saturates. These results shed new light onto the environmental fate of these persistent, hydrophobic, and mostly overlooked compounds in the unresolved complex mixtures (UCM) of weathered oils.", "author" : [ { "dropping-particle" : "", "family" : "Gros", "given" : "Jonas", "non-dropping-particle" : "", "parse-names" : false, "suffix" : "" }, { "dropping-particle" : "", "family" : "Reddy", "given" : "Christopher M.", "non-dropping-particle" : "", "parse-names" : false, "suffix" : "" }, { "dropping-particle" : "", "family" : "Aeppli", "given" : "Christoph", "non-dropping-particle" : "", "parse-names" : false, "suffix" : "" }, { "dropping-particle" : "", "family" : "Nelson", "given" : "Robert K.", "non-dropping-particle" : "", "parse-names" : false, "suffix" : "" }, { "dropping-particle" : "", "family" : "Carmichael", "given" : "Catherine a.", "non-dropping-particle" : "", "parse-names" : false, "suffix" : "" }, { "dropping-particle" : "", "family" : "Arey", "given" : "J. Samuel", "non-dropping-particle" : "", "parse-names" : false, "suffix" : "" } ], "container-title" : "Environmental Science and Technology", "id" : "ITEM-3", "issued" : { "date-parts" : [ [ "2014" ] ] }, "page" : "1628-1637", "title" : "Resolving biodegradation patterns of persistent saturated hydrocarbons in weathered oil samples from the Deepwater Horizon disaster", "type" : "article-journal", "volume" : "48" }, "uris" : [ "http://www.mendeley.com/documents/?uuid=431e7f0e-32c6-4c25-9bd2-1b85f28ab742" ] }, { "id" : "ITEM-4", "itemData" : { "DOI" : "10.1016/j.marpolbul.2014.11.016", "ISSN" : "0025-326X", "author" : [ { "dropping-particle" : "", "family" : "Hayworth", "given" : "Joel S", "non-dropping-particle" : "", "parse-names" : false, "suffix" : "" }, { "dropping-particle" : "", "family" : "Clement", "given" : "T Prabakhar", "non-dropping-particle" : "", "parse-names" : false, "suffix" : "" }, { "dropping-particle" : "", "family" : "John", "given" : "Gerald F", "non-dropping-particle" : "", "parse-names" : false, "suffix" : "" }, { "dropping-particle" : "", "family" : "Yin", "given" : "Fang", "non-dropping-particle" : "", "parse-names" : false, "suffix" : "" } ], "container-title" : "Marine Pollution Bulletin", "id" : "ITEM-4", "issue" : "1-2", "issued" : { "date-parts" : [ [ "2015" ] ] }, "page" : "95-105", "publisher" : "Elsevier Ltd", "title" : "Fate of Deepwater Horizon oil in Alabama \u2019 s beach system : Understanding physical evolution processes based on observational data", "type" : "article-journal", "volume" : "90" }, "uris" : [ "http://www.mendeley.com/documents/?uuid=b7199ebc-2673-485f-a174-deadb0f207aa" ] } ], "mendeley" : { "formattedCitation" : "&lt;sup&gt;15,18,21,23&lt;/sup&gt;", "plainTextFormattedCitation" : "15,18,21,23", "previouslyFormattedCitation" : "&lt;sup&gt;15,18,21,23&lt;/sup&gt;" }, "properties" : { "noteIndex" : 0 }, "schema" : "https://github.com/citation-style-language/schema/raw/master/csl-citation.json" }</w:instrText>
      </w:r>
      <w:r w:rsidRPr="00DA4CEC">
        <w:fldChar w:fldCharType="separate"/>
      </w:r>
      <w:r w:rsidR="000076A8" w:rsidRPr="00DA4CEC">
        <w:rPr>
          <w:noProof/>
          <w:vertAlign w:val="superscript"/>
        </w:rPr>
        <w:t>15,18,21,23</w:t>
      </w:r>
      <w:r w:rsidRPr="00DA4CEC">
        <w:fldChar w:fldCharType="end"/>
      </w:r>
      <w:r w:rsidRPr="00DA4CEC">
        <w:t xml:space="preserve">  there is a tendency to assume that these structures resist the penetration of seawater to their interiors. </w:t>
      </w:r>
      <w:r w:rsidRPr="00DA4CEC">
        <w:rPr>
          <w:b/>
        </w:rPr>
        <w:t xml:space="preserve">  </w:t>
      </w:r>
      <w:r w:rsidRPr="00DA4CEC">
        <w:t xml:space="preserve">To test this prospect, several sand patties were placed on the surface of sediment that was overlain with seawater in the bottom of a standard petri dish.  Approximately 5 μCi of </w:t>
      </w:r>
      <w:r w:rsidRPr="00DA4CEC">
        <w:rPr>
          <w:vertAlign w:val="superscript"/>
        </w:rPr>
        <w:t>35</w:t>
      </w:r>
      <w:r w:rsidRPr="00DA4CEC">
        <w:t>SO</w:t>
      </w:r>
      <w:r w:rsidRPr="00DA4CEC">
        <w:rPr>
          <w:vertAlign w:val="subscript"/>
        </w:rPr>
        <w:t>4</w:t>
      </w:r>
      <w:r w:rsidRPr="00DA4CEC">
        <w:rPr>
          <w:vertAlign w:val="superscript"/>
        </w:rPr>
        <w:t>-2</w:t>
      </w:r>
      <w:r w:rsidRPr="00DA4CEC">
        <w:rPr>
          <w:vertAlign w:val="subscript"/>
        </w:rPr>
        <w:t xml:space="preserve"> </w:t>
      </w:r>
      <w:r w:rsidRPr="00DA4CEC">
        <w:t>was added to the seawater and the mixture was gently agitated at 45 rpm for 7 d at room temperature under a headspace of N</w:t>
      </w:r>
      <w:r w:rsidRPr="00DA4CEC">
        <w:rPr>
          <w:vertAlign w:val="subscript"/>
        </w:rPr>
        <w:t>2</w:t>
      </w:r>
      <w:r w:rsidRPr="00DA4CEC">
        <w:t>:CO</w:t>
      </w:r>
      <w:r w:rsidRPr="00DA4CEC">
        <w:rPr>
          <w:vertAlign w:val="subscript"/>
        </w:rPr>
        <w:t>2</w:t>
      </w:r>
      <w:r w:rsidRPr="00DA4CEC">
        <w:t xml:space="preserve"> (80:20).  The sand patties were recovered from the petri dish and dissected into approximately 1.5 mm segments with a</w:t>
      </w:r>
      <w:r w:rsidR="009D66E7" w:rsidRPr="00DA4CEC">
        <w:t xml:space="preserve"> clean razor blade for each cut</w:t>
      </w:r>
      <w:r w:rsidRPr="00DA4CEC">
        <w:t>.  The resulting sections were then l</w:t>
      </w:r>
      <w:r w:rsidR="005C3A6C" w:rsidRPr="00DA4CEC">
        <w:t>aid flat and the distribution of</w:t>
      </w:r>
      <w:r w:rsidRPr="00DA4CEC">
        <w:t xml:space="preserve"> the radioactivity was directly imaged using a Packard Instant Imager (Packard Instruments, Meriden, CT).  Total β-emissions from </w:t>
      </w:r>
      <w:r w:rsidRPr="00DA4CEC">
        <w:rPr>
          <w:vertAlign w:val="superscript"/>
        </w:rPr>
        <w:t>35</w:t>
      </w:r>
      <w:r w:rsidRPr="00DA4CEC">
        <w:t>S-SO</w:t>
      </w:r>
      <w:r w:rsidRPr="00DA4CEC">
        <w:rPr>
          <w:vertAlign w:val="subscript"/>
        </w:rPr>
        <w:t xml:space="preserve">4 </w:t>
      </w:r>
      <w:r w:rsidRPr="00DA4CEC">
        <w:t>and heat maps were generated using the associated imaging software.</w:t>
      </w:r>
    </w:p>
    <w:p w14:paraId="5DFBB67B" w14:textId="77777777" w:rsidR="00A94EF3" w:rsidRPr="00DA4CEC" w:rsidRDefault="00A94EF3" w:rsidP="00A94EF3">
      <w:pPr>
        <w:outlineLvl w:val="0"/>
        <w:rPr>
          <w:b/>
        </w:rPr>
      </w:pPr>
      <w:r w:rsidRPr="00DA4CEC">
        <w:rPr>
          <w:b/>
        </w:rPr>
        <w:t>Sand Patty Irradiation and Seawater Absorbance</w:t>
      </w:r>
    </w:p>
    <w:p w14:paraId="1C948399" w14:textId="77777777" w:rsidR="00A94EF3" w:rsidRPr="00DA4CEC" w:rsidRDefault="00A94EF3" w:rsidP="00A94EF3">
      <w:r w:rsidRPr="00DA4CEC">
        <w:tab/>
        <w:t>To examine the impact of solar radiation on the environmental fate of sand patty constituents,</w:t>
      </w:r>
      <w:r w:rsidRPr="00DA4CEC" w:rsidDel="00F11FFF">
        <w:t xml:space="preserve"> </w:t>
      </w:r>
      <w:r w:rsidRPr="00DA4CEC">
        <w:t>approximately 12-15 g of sand patties were crumbled into 100 mL of filter sterilized seawater</w:t>
      </w:r>
      <w:r w:rsidR="000209E4" w:rsidRPr="00DA4CEC">
        <w:t xml:space="preserve"> (0.2 μm)</w:t>
      </w:r>
      <w:r w:rsidRPr="00DA4CEC">
        <w:t>.  Sand patties were then irradiated in borosilicate glass jacketed beakers with quartz lids for</w:t>
      </w:r>
      <w:r w:rsidR="000209E4" w:rsidRPr="00DA4CEC">
        <w:t xml:space="preserve"> 3 h or</w:t>
      </w:r>
      <w:r w:rsidRPr="00DA4CEC">
        <w:t xml:space="preserve"> 12 h (equivalent to 3 days of average northern GoM sunlight) using a solar simulator (Atlas CPS+, Mount Prospect, IL) as previously described.</w:t>
      </w:r>
      <w:r w:rsidRPr="00DA4CEC">
        <w:fldChar w:fldCharType="begin" w:fldLock="1"/>
      </w:r>
      <w:r w:rsidR="00D34B4F" w:rsidRPr="00DA4CEC">
        <w:instrText>ADDIN CSL_CITATION { "citationItems" : [ { "id" : "ITEM-1", "itemData" : { "DOI" : "10.1016/j.jhazmat.2014.08.059", "ISSN" : "0304-3894", "author" : [ { "dropping-particle" : "", "family" : "Ray", "given" : "Phoebe Z", "non-dropping-particle" : "", "parse-names" : false, "suffix" : "" }, { "dropping-particle" : "", "family" : "Chen", "given" : "Huan", "non-dropping-particle" : "", "parse-names" : false, "suffix" : "" }, { "dropping-particle" : "", "family" : "Podgorski", "given" : "David C", "non-dropping-particle" : "", "parse-names" : false, "suffix" : "" }, { "dropping-particle" : "", "family" : "Mckenna", "given" : "Amy M", "non-dropping-particle" : "", "parse-names" : false, "suffix" : "" }, { "dropping-particle" : "", "family" : "Tarr", "given" : "Matthew A", "non-dropping-particle" : "", "parse-names" : false, "suffix" : "" } ], "container-title" : "Journal of Hazardous Materials", "id" : "ITEM-1", "issued" : { "date-parts" : [ [ "2014" ] ] }, "page" : "636-643", "publisher" : "Elsevier B.V.", "title" : "Sunlight creates oxygenated species in water-soluble fractions of Deepwater horizon oil", "type" : "article-journal", "volume" : "280" }, "uris" : [ "http://www.mendeley.com/documents/?uuid=56a02569-1afe-4a98-825e-db40f756882b" ] } ], "mendeley" : { "formattedCitation" : "&lt;sup&gt;24&lt;/sup&gt;", "plainTextFormattedCitation" : "24", "previouslyFormattedCitation" : "&lt;sup&gt;24&lt;/sup&gt;" }, "properties" : { "noteIndex" : 0 }, "schema" : "https://github.com/citation-style-language/schema/raw/master/csl-citation.json" }</w:instrText>
      </w:r>
      <w:r w:rsidRPr="00DA4CEC">
        <w:fldChar w:fldCharType="separate"/>
      </w:r>
      <w:r w:rsidR="00D34B4F" w:rsidRPr="00DA4CEC">
        <w:rPr>
          <w:noProof/>
          <w:vertAlign w:val="superscript"/>
        </w:rPr>
        <w:t>24</w:t>
      </w:r>
      <w:r w:rsidRPr="00DA4CEC">
        <w:fldChar w:fldCharType="end"/>
      </w:r>
      <w:r w:rsidRPr="00DA4CEC">
        <w:t xml:space="preserve">  </w:t>
      </w:r>
      <w:r w:rsidR="000209E4" w:rsidRPr="00DA4CEC">
        <w:t>After each irradiation increment, s</w:t>
      </w:r>
      <w:r w:rsidRPr="00DA4CEC">
        <w:t>eawater with associated solubilized organic matter was then removed, the beaker refil</w:t>
      </w:r>
      <w:r w:rsidR="001D48AB" w:rsidRPr="00DA4CEC">
        <w:t xml:space="preserve">led with fresh sterile </w:t>
      </w:r>
      <w:r w:rsidR="001D48AB" w:rsidRPr="00DA4CEC">
        <w:lastRenderedPageBreak/>
        <w:t xml:space="preserve">seawater, and </w:t>
      </w:r>
      <w:r w:rsidRPr="00DA4CEC">
        <w:t xml:space="preserve">irradiated for another </w:t>
      </w:r>
      <w:r w:rsidR="001D48AB" w:rsidRPr="00DA4CEC">
        <w:t>time increment</w:t>
      </w:r>
      <w:r w:rsidRPr="00DA4CEC">
        <w:t xml:space="preserve">.  The irradiation and water replacement was repeated for up to 84 h.  Sand patties incubated in sterile seawater and kept in the dark served as controls.  Water-soluble and UV absorbing constituents </w:t>
      </w:r>
      <w:r w:rsidR="001D48AB" w:rsidRPr="00DA4CEC">
        <w:t>present</w:t>
      </w:r>
      <w:r w:rsidRPr="00DA4CEC">
        <w:t xml:space="preserve"> in the</w:t>
      </w:r>
      <w:r w:rsidR="001D48AB" w:rsidRPr="00DA4CEC">
        <w:t xml:space="preserve"> seawater for</w:t>
      </w:r>
      <w:r w:rsidRPr="00DA4CEC">
        <w:t xml:space="preserve"> irradiation and dark control treatments were initially characterized using a scanning spectrophotometer (from 200 – 600 nm), but routinely monitored at 254 nm.</w:t>
      </w:r>
    </w:p>
    <w:p w14:paraId="0889422D" w14:textId="77777777" w:rsidR="00A94EF3" w:rsidRPr="00DA4CEC" w:rsidRDefault="00A94EF3" w:rsidP="00A94EF3">
      <w:pPr>
        <w:outlineLvl w:val="0"/>
        <w:rPr>
          <w:b/>
        </w:rPr>
      </w:pPr>
      <w:r w:rsidRPr="00DA4CEC">
        <w:rPr>
          <w:b/>
        </w:rPr>
        <w:t>Biodegradation of Sand Patty DOM</w:t>
      </w:r>
    </w:p>
    <w:p w14:paraId="14BC77AA" w14:textId="77777777" w:rsidR="00863D6C" w:rsidRPr="00DA4CEC" w:rsidRDefault="00A94EF3" w:rsidP="00863D6C">
      <w:r w:rsidRPr="00DA4CEC">
        <w:tab/>
        <w:t>The biodegradation of sand patty-derived and endogenous DOM was compared using GoM sediment (10 g) as an inoculum.  Evidence for biodegradation included an assessment of the rate of electron acceptor utilization, in this case oxygen, using the aforementioned respirometer.  The endogenous control incubation received the inoculum and 10 mL of filter-sterilized seawater.   In other replicates, the seawater was replaced with the same volume of sand patty-derived DOM from either the irradiation procedure or dark control as described above.  The oxygen utilization rate</w:t>
      </w:r>
      <w:r w:rsidR="00650935" w:rsidRPr="00DA4CEC">
        <w:t>s in the incubations were</w:t>
      </w:r>
      <w:r w:rsidRPr="00DA4CEC">
        <w:t xml:space="preserve"> compared to each other and to a sterile negative control</w:t>
      </w:r>
      <w:r w:rsidR="001D48AB" w:rsidRPr="00DA4CEC">
        <w:t xml:space="preserve"> containing seawater and sediment</w:t>
      </w:r>
      <w:r w:rsidRPr="00DA4CEC">
        <w:t xml:space="preserve"> </w:t>
      </w:r>
      <w:r w:rsidR="00642FEC" w:rsidRPr="00DA4CEC">
        <w:t xml:space="preserve">that was autoclaved (20 min).  </w:t>
      </w:r>
      <w:r w:rsidRPr="00DA4CEC">
        <w:t>All da</w:t>
      </w:r>
      <w:r w:rsidR="001D48AB" w:rsidRPr="00DA4CEC">
        <w:t>ta are</w:t>
      </w:r>
      <w:r w:rsidRPr="00DA4CEC">
        <w:t xml:space="preserve"> reported as the average of triplicate room temperature incubations that were monitored for oxygen content every 4 h.  In addition to oxygen uptake, the change in the quality of the DOM as a result of biodegradation was also assessed</w:t>
      </w:r>
      <w:r w:rsidR="001D0323" w:rsidRPr="00DA4CEC">
        <w:t xml:space="preserve"> by sampling at the beginning (T</w:t>
      </w:r>
      <w:r w:rsidR="001D0323" w:rsidRPr="00DA4CEC">
        <w:rPr>
          <w:vertAlign w:val="subscript"/>
        </w:rPr>
        <w:t>0</w:t>
      </w:r>
      <w:r w:rsidR="001D0323" w:rsidRPr="00DA4CEC">
        <w:t>) and end (T</w:t>
      </w:r>
      <w:r w:rsidR="001D0323" w:rsidRPr="00DA4CEC">
        <w:rPr>
          <w:vertAlign w:val="subscript"/>
        </w:rPr>
        <w:t>Final</w:t>
      </w:r>
      <w:r w:rsidR="001D0323" w:rsidRPr="00DA4CEC">
        <w:t>) of the aerobic incubation</w:t>
      </w:r>
      <w:r w:rsidRPr="00DA4CEC">
        <w:t xml:space="preserve"> using the analytical procedures described below.</w:t>
      </w:r>
    </w:p>
    <w:p w14:paraId="1D477AE5" w14:textId="77777777" w:rsidR="00A94EF3" w:rsidRPr="00DA4CEC" w:rsidRDefault="00A94EF3" w:rsidP="00863D6C">
      <w:r w:rsidRPr="00DA4CEC">
        <w:rPr>
          <w:b/>
        </w:rPr>
        <w:t>Dissolved Organic Matter (DOM) Characterization</w:t>
      </w:r>
      <w:r w:rsidRPr="00DA4CEC">
        <w:t xml:space="preserve">  </w:t>
      </w:r>
    </w:p>
    <w:p w14:paraId="5A425744" w14:textId="77777777" w:rsidR="00A94EF3" w:rsidRPr="00DA4CEC" w:rsidRDefault="00A94EF3" w:rsidP="00A94EF3">
      <w:pPr>
        <w:ind w:firstLine="720"/>
      </w:pPr>
      <w:r w:rsidRPr="00DA4CEC">
        <w:t>Sample DOM concentration was determined by the high temperature catalytic oxidation method using a Shimadzu TOC-L</w:t>
      </w:r>
      <w:r w:rsidRPr="00DA4CEC">
        <w:rPr>
          <w:vertAlign w:val="subscript"/>
        </w:rPr>
        <w:t>CPH</w:t>
      </w:r>
      <w:r w:rsidRPr="00DA4CEC">
        <w:t xml:space="preserve"> analyzer (Shimadzu Corp., Japan).</w:t>
      </w:r>
      <w:r w:rsidRPr="00DA4CEC">
        <w:fldChar w:fldCharType="begin" w:fldLock="1"/>
      </w:r>
      <w:r w:rsidR="000076A8" w:rsidRPr="00DA4CEC">
        <w:instrText>ADDIN CSL_CITATION { "citationItems" : [ { "id" : "ITEM-1", "itemData" : { "DOI" : "http://dx.doi.org/10.1016/0304-4203(88)90043-6", "ISSN" : "0304-4203", "abstract" : "A method is described for the rapid, precise determination of non-volatile dissolved organic carbon in seawater in concentrations between 0 and 2000 \u03bcM. The oxidation is carried out on a platinum catalyst at 680 \u00b0C under an oxygen atmosphere after the sample has been freed of inorganic carbon, and the concentration of the CO2 generated is measured with a non-dispersive IR gas analyzer. The determination can be carried out on board ship with a precision of \u00b12% using a sample volume of 200 \u03bcl. The results obtained using this method are of a much higher value than those obtained using persulfate oxidation methods. The molecular weight dependency of the results clearly indiates that the above discrepancy is caused by the low oxidation efficiency of the persulfate oxidation method against high-polymer organic matter dissolved in seawater. The results reveal that the concentration of dissolved organic carbon in surface water is about 300 \u03bcM and decreases with depth. An examination of molecular weight distribution indicates that the concentration of high-polymer organic carbon decreases rapidly from surface to deeper layers, with molecular weight ranging from 1.8 x 103 to 6 x 104 Dalton. It is noted that there is an inverse correlation between the concentration of dissolved organic carbon and apparent oxygen utilization (AOU). Frozen or acidified preservation of unfiltered samples does not give reliable results. An essential requirement for dissolved carbon analysis is membrane filtration just after sampling and real-time analysis on board. Because of the well-defined principle of the oxidation process, its reliability, the ease of sample handling and of the analytical procedure on board or in the land laboratory, and the consistency of the oceanographic parameters, this method is much more suitable for the analysis of marine dissolved organic carbon than the methods used previously.", "author" : [ { "dropping-particle" : "", "family" : "Sugimura", "given" : "Yukio", "non-dropping-particle" : "", "parse-names" : false, "suffix" : "" }, { "dropping-particle" : "", "family" : "Suzuki", "given" : "Yoshimi", "non-dropping-particle" : "", "parse-names" : false, "suffix" : "" } ], "container-title" : "Marine Chemistry", "id" : "ITEM-1", "issue" : "2", "issued" : { "date-parts" : [ [ "1988" ] ] }, "page" : "105-131", "title" : "A high-temperature catalytic oxidation method for the determination of non-volatile dissolved organic carbon in seawater by direct injection of a liquid sample", "type" : "article-journal", "volume" : "24" }, "uris" : [ "http://www.mendeley.com/documents/?uuid=9d3dcba4-0e8d-49b6-a6d1-cad60c1a4c60" ] } ], "mendeley" : { "formattedCitation" : "&lt;sup&gt;30&lt;/sup&gt;", "plainTextFormattedCitation" : "30", "previouslyFormattedCitation" : "&lt;sup&gt;30&lt;/sup&gt;" }, "properties" : { "noteIndex" : 0 }, "schema" : "https://github.com/citation-style-language/schema/raw/master/csl-citation.json" }</w:instrText>
      </w:r>
      <w:r w:rsidRPr="00DA4CEC">
        <w:fldChar w:fldCharType="separate"/>
      </w:r>
      <w:r w:rsidR="000076A8" w:rsidRPr="00DA4CEC">
        <w:rPr>
          <w:noProof/>
          <w:vertAlign w:val="superscript"/>
        </w:rPr>
        <w:t>30</w:t>
      </w:r>
      <w:r w:rsidRPr="00DA4CEC">
        <w:fldChar w:fldCharType="end"/>
      </w:r>
      <w:r w:rsidRPr="00DA4CEC">
        <w:t xml:space="preserve">  </w:t>
      </w:r>
      <w:r w:rsidRPr="00DA4CEC">
        <w:lastRenderedPageBreak/>
        <w:t>Each sample was acidified to pH 2 and sparged for 5 min at 75 ml min</w:t>
      </w:r>
      <w:r w:rsidRPr="00DA4CEC">
        <w:rPr>
          <w:vertAlign w:val="superscript"/>
        </w:rPr>
        <w:t>-1</w:t>
      </w:r>
      <w:r w:rsidRPr="00DA4CEC">
        <w:t xml:space="preserve"> with either ultra-pure air or ultra-pure oxygen to remove inorganic carbon prior to the measurement.  The mean value of three to five 25 µL </w:t>
      </w:r>
      <w:r w:rsidR="001D48AB" w:rsidRPr="00DA4CEC">
        <w:t>replicate samples</w:t>
      </w:r>
      <w:r w:rsidRPr="00DA4CEC">
        <w:t xml:space="preserve"> is reported.  The coefficient of variance (precision) was &lt; 2% for replicate determinations.</w:t>
      </w:r>
    </w:p>
    <w:p w14:paraId="3E1AAEC2" w14:textId="77777777" w:rsidR="00A94EF3" w:rsidRPr="00DA4CEC" w:rsidRDefault="00A94EF3" w:rsidP="00A94EF3">
      <w:pPr>
        <w:outlineLvl w:val="0"/>
        <w:rPr>
          <w:b/>
        </w:rPr>
      </w:pPr>
      <w:r w:rsidRPr="00DA4CEC">
        <w:rPr>
          <w:b/>
        </w:rPr>
        <w:t>Other Spectral Measurements</w:t>
      </w:r>
    </w:p>
    <w:p w14:paraId="20AF2743" w14:textId="77777777" w:rsidR="001D48AB" w:rsidRPr="00DA4CEC" w:rsidRDefault="00A94EF3" w:rsidP="00A94EF3">
      <w:pPr>
        <w:ind w:firstLine="720"/>
      </w:pPr>
      <w:r w:rsidRPr="00DA4CEC">
        <w:t>The sample pH was adjusted to 8 for spectral measurements as previously described.</w:t>
      </w:r>
      <w:r w:rsidRPr="00DA4CEC">
        <w:fldChar w:fldCharType="begin" w:fldLock="1"/>
      </w:r>
      <w:r w:rsidR="000076A8" w:rsidRPr="00DA4CEC">
        <w:instrText>ADDIN CSL_CITATION { "citationItems" : [ { "id" : "ITEM-1", "itemData" : { "DOI" : "10.1016/j.watres.2007.04.012", "ISSN" : "1879-2448", "PMID" : "17540432", "abstract" : "The UV-visible and fluorescence excitation-emission matrix spectrophotometric properties of dissolved organic matter (DOM) were compared for the effects of both pH and freeze/thaw on a wide range of freshwater DOM samples from the United Kingdom. It was observed that the spectrophotometric properties of our freshwater samples were sensitive to pH and that the recorded change varies with fluorescence and absorbance intensity, DOC concentration and the wavelength observed. Large and variable responses to pH were particularly severe at extremes of pH, but within the natural levels typically observed in freshwaters the response to pH was limited. For the same sample set large and variable responses were observed when subjected to freeze/thaw. From our data, knowledge of the original properties cannot be used to determine the amount of change that will occur with freezing and subsequent thawing. It is therefore recommended that in future research, to maintain the natural signal of the DOM, analysis is conducted at natural pH and without freezing to facilitate ease of comparison between studies. Our results also have implications for studies that utilise spectrophotometric techniques to investigate long-term trends in dissolved organic carbon in rivers. Spectrophotometric parameters from upland derived samples show varied responses of samples to pH and there is clear potential to complicate trends in the interpretation of long-term water colour data if pH is changing over time in a system or if samples are treated with different storage protocols with respect to acidification and freezing.", "author" : [ { "dropping-particle" : "", "family" : "Spencer", "given" : "Robert G M", "non-dropping-particle" : "", "parse-names" : false, "suffix" : "" }, { "dropping-particle" : "", "family" : "Bolton", "given" : "Lucy", "non-dropping-particle" : "", "parse-names" : false, "suffix" : "" }, { "dropping-particle" : "", "family" : "Baker", "given" : "Andy", "non-dropping-particle" : "", "parse-names" : false, "suffix" : "" } ], "container-title" : "Water research", "id" : "ITEM-1", "issue" : "13", "issued" : { "date-parts" : [ [ "2007", "7" ] ] }, "page" : "2941-50", "title" : "Freeze/thaw and pH effects on freshwater dissolved organic matter fluorescence and absorbance properties from a number of UK locations.", "type" : "article-journal", "volume" : "41" }, "uris" : [ "http://www.mendeley.com/documents/?uuid=a6eab96e-7648-3d91-8d1e-ad54d8999ffe" ] }, { "id" : "ITEM-2", "itemData" : { "DOI" : "10.1016/j.aca.2011.08.037", "ISSN" : "1873-4324", "PMID" : "22023860", "abstract" : "Acidification is a common method for preserving dissolved organic matter (DOM) in natural water samples until sophisticated laboratory analyses can be performed. However, little is known about the effects of this practice on the composition and optical properties of DOM. In this study, the effects of acidification on DOM in porewater samples collected from the RL IV bog system of the Glacial Lake Agassiz Peatlands in northern Minnesota were characterized. Molecular composition was determined by ultrahigh resolution mass spectrometry and optical properties by UV absorption and three-dimensional fluorescence spectroscopy. Excitation-emission matrix fluorescence spectroscopy results indicate that the fluorescence properties of the peatland porewater DOM were sensitive to pH and that the observed changes were fluorophore dependent. Ultrahigh resolution Fourier transform ion cyclotron resonance mass spectrometry revealed the appearance of newly formed, oxygen-rich compounds upon acidification. The extent to which these oxygen-rich compounds were formed was also dependent on the composition of the DOM.", "author" : [ { "dropping-particle" : "", "family" : "Tfaily", "given" : "Malak M", "non-dropping-particle" : "", "parse-names" : false, "suffix" : "" }, { "dropping-particle" : "", "family" : "Podgorski", "given" : "David C", "non-dropping-particle" : "", "parse-names" : false, "suffix" : "" }, { "dropping-particle" : "", "family" : "Corbett", "given" : "Jane E", "non-dropping-particle" : "", "parse-names" : false, "suffix" : "" }, { "dropping-particle" : "", "family" : "Chanton", "given" : "Jeffrey P", "non-dropping-particle" : "", "parse-names" : false, "suffix" : "" }, { "dropping-particle" : "", "family" : "Cooper", "given" : "William T", "non-dropping-particle" : "", "parse-names" : false, "suffix" : "" } ], "container-title" : "Analytica chimica acta", "id" : "ITEM-2", "issue" : "2", "issued" : { "date-parts" : [ [ "2011", "11", "14" ] ] }, "page" : "261-7", "title" : "Influence of acidification on the optical properties and molecular composition of dissolved organic matter.", "type" : "article-journal", "volume" : "706" }, "uris" : [ "http://www.mendeley.com/documents/?uuid=604ee623-85db-3d22-98b5-6e1b4f96e1a8" ] }, { "id" : "ITEM-3", "itemData" : { "DOI" : "10.1016/j.jlumin.2013.02.052", "ISSN" : "00222313", "abstract" : "This study investigated the optical properties of dissolved organic matter (DOM) using the fluorescence excitation\u2013emission matrix (EEM) method combined with parallel factor (PARAFAC) analysis. The examined DOM samples included Suwannee River fulvic acid (SRFA) and Nordic Reservoir natural organic matter (NRNOM). The optical properties of the DOM were determined from the behavior of individual groups of DOM fluorophores responding to different ionization states. The PARAFAC examination revealed that there were six independent EEM components in the SRFA that behaved differently in terms of pH influence on their fluorescence intensity. The dominant EEM peak locations (\u03bbex/\u03bbem) of these components were (230, 330)nm/420nm (Component 1), (250, 350)nm/450nm (Component 2), (240, 340)nm/460nm (Component 3), (220, 280)nm/380nm (Component 4), (270, 400)nm/490nm (Component 5), and (280, 340)nm/540nm (Component 6). However, only four EEM components were observed in the NRNOM, which are similar to Components 1, 2, 3 and 4 in the SRFA. It can be speculated that Components 1, 2, 3 and 6 can be categorized as traditional terrestrial humic-like chromophores, while they are composed of different fractions of carboxylic-like and phenolic-like chromophores; Component 4 can be categorized as protein-like fluorophores primarily composed of carboxylic-like chromophores, and Component 5 can be categorized as a microbial humic-like component that is overwhelmingly composed of phenolic-like fluorophores. The results demonstrated that PARAFAC analysis is a promising approach for characterizing the fine functions in DOM.", "author" : [ { "dropping-particle" : "", "family" : "Yan", "given" : "Mingquan", "non-dropping-particle" : "", "parse-names" : false, "suffix" : "" }, { "dropping-particle" : "", "family" : "Fu", "given" : "Qiangwei", "non-dropping-particle" : "", "parse-names" : false, "suffix" : "" }, { "dropping-particle" : "", "family" : "Li", "given" : "Dechao", "non-dropping-particle" : "", "parse-names" : false, "suffix" : "" }, { "dropping-particle" : "", "family" : "Gao", "given" : "Gunfa", "non-dropping-particle" : "", "parse-names" : false, "suffix" : "" }, { "dropping-particle" : "", "family" : "Wang", "given" : "Dongsheng", "non-dropping-particle" : "", "parse-names" : false, "suffix" : "" } ], "container-title" : "Journal of Luminescence", "id" : "ITEM-3", "issued" : { "date-parts" : [ [ "2013" ] ] }, "page" : "103-109", "title" : "Study of the pH influence on the optical properties of dissolved organic matter using fluorescence excitation\u2013emission matrix and parallel factor analysis", "type" : "article-journal", "volume" : "142" }, "uris" : [ "http://www.mendeley.com/documents/?uuid=5daeafe7-e8ee-35f4-bf4e-a98589a543e7" ] } ], "mendeley" : { "formattedCitation" : "&lt;sup&gt;31\u201333&lt;/sup&gt;", "plainTextFormattedCitation" : "31\u201333", "previouslyFormattedCitation" : "&lt;sup&gt;31\u201333&lt;/sup&gt;" }, "properties" : { "noteIndex" : 0 }, "schema" : "https://github.com/citation-style-language/schema/raw/master/csl-citation.json" }</w:instrText>
      </w:r>
      <w:r w:rsidRPr="00DA4CEC">
        <w:fldChar w:fldCharType="separate"/>
      </w:r>
      <w:r w:rsidR="000076A8" w:rsidRPr="00DA4CEC">
        <w:rPr>
          <w:noProof/>
          <w:vertAlign w:val="superscript"/>
        </w:rPr>
        <w:t>31–33</w:t>
      </w:r>
      <w:r w:rsidRPr="00DA4CEC">
        <w:fldChar w:fldCharType="end"/>
      </w:r>
      <w:r w:rsidRPr="00DA4CEC">
        <w:t xml:space="preserve">  Absorbance and fluorescence spectra were collected with an Aqualog® fluorometer (Horiba Scientific, Kyoto, Japan) in a 10 mm quartz cell at a constant room temperature of 20 °C.  Sealed water cell blanks were analyzed initially to test instrument stability u</w:t>
      </w:r>
      <w:r w:rsidR="001D48AB" w:rsidRPr="00DA4CEC">
        <w:t>sing the Raman peak of water</w:t>
      </w:r>
      <w:r w:rsidRPr="00DA4CEC">
        <w:t xml:space="preserve"> at excitation 350 nm and emission 340-420 nm.   Excitation and absorbance scans were collected from 240 to 800 nm at 5 nm increments with an integration time of 0.5 s.  Emission spectra were collected every 5 nm from 245 to 800 nm with a charge-coupled device at 1.64 nm</w:t>
      </w:r>
      <w:r w:rsidR="001D48AB" w:rsidRPr="00DA4CEC">
        <w:t xml:space="preserve"> resolution</w:t>
      </w:r>
      <w:r w:rsidRPr="00DA4CEC">
        <w:t>.  All samples were dilution corrected (absorbance at 254 = 0.1) with MilliQ water to reduce inner-filter effects.</w:t>
      </w:r>
      <w:r w:rsidRPr="00DA4CEC">
        <w:fldChar w:fldCharType="begin" w:fldLock="1"/>
      </w:r>
      <w:r w:rsidR="000076A8" w:rsidRPr="00DA4CEC">
        <w:instrText>ADDIN CSL_CITATION { "citationItems" : [ { "id" : "ITEM-1", "itemData" : { "DOI" : "10.1021/ES0155276", "abstract" : "The use of fluorescence spectrometry has been suggested as a simple method to determine the extent of natural organic matter humification by quantifying the red-shifting of fluorescence emission that occurs with increasing humification. Humification indices are calculated by dividing fluorescence intensity at longer wavelengths by intensity at shorter wavelengths. These indices calculated without any specific efforts to standardize dissolved organic matter (DOM) concentration will result in index values that vary with DOM concentration due to fluorescence inner-filtering effects. This study critically evaluated the effect of DOM concentration on humification index determination using organic matter isolated from field corn extract, soil:water extract, and soil fulvic acid. The results show that humification index values are sensitive to DOM concentration of the solution and are linear with respect to transmittance of the solution at the 254 nm used as the excitation wavelength. An approximate correction f...", "author" : [ { "dropping-particle" : "", "family" : "Ohno", "given" : "Tsutomu", "non-dropping-particle" : "", "parse-names" : false, "suffix" : "" } ], "id" : "ITEM-1", "issued" : { "date-parts" : [ [ "2002" ] ] }, "publisher" : "American Chemical Society", "title" : "Fluorescence Inner-Filtering Correction for Determining the Humification Index of Dissolved Organic Matter", "type" : "article-journal" }, "uris" : [ "http://www.mendeley.com/documents/?uuid=5378f3c9-70b2-35c3-93eb-939035c8b6ee" ] } ], "mendeley" : { "formattedCitation" : "&lt;sup&gt;34&lt;/sup&gt;", "plainTextFormattedCitation" : "34", "previouslyFormattedCitation" : "&lt;sup&gt;34&lt;/sup&gt;" }, "properties" : { "noteIndex" : 0 }, "schema" : "https://github.com/citation-style-language/schema/raw/master/csl-citation.json" }</w:instrText>
      </w:r>
      <w:r w:rsidRPr="00DA4CEC">
        <w:fldChar w:fldCharType="separate"/>
      </w:r>
      <w:r w:rsidR="000076A8" w:rsidRPr="00DA4CEC">
        <w:rPr>
          <w:noProof/>
          <w:vertAlign w:val="superscript"/>
        </w:rPr>
        <w:t>34</w:t>
      </w:r>
      <w:r w:rsidRPr="00DA4CEC">
        <w:fldChar w:fldCharType="end"/>
      </w:r>
      <w:r w:rsidRPr="00DA4CEC">
        <w:t xml:space="preserve"> </w:t>
      </w:r>
      <w:r w:rsidRPr="00DA4CEC">
        <w:rPr>
          <w:color w:val="424242"/>
          <w:szCs w:val="26"/>
        </w:rPr>
        <w:t>Excitation-emission matrix</w:t>
      </w:r>
      <w:r w:rsidRPr="00DA4CEC">
        <w:rPr>
          <w:color w:val="424242"/>
          <w:sz w:val="26"/>
          <w:szCs w:val="26"/>
        </w:rPr>
        <w:t xml:space="preserve"> </w:t>
      </w:r>
      <w:r w:rsidRPr="00DA4CEC">
        <w:t>fluorescence intensities were corrected for Rayleigh and Raman scattering by using a Milli-Q water blank-subtracted and instrument bias in excitation and emission prior to correction for inner-filter effects.</w:t>
      </w:r>
      <w:r w:rsidRPr="00DA4CEC">
        <w:fldChar w:fldCharType="begin" w:fldLock="1"/>
      </w:r>
      <w:r w:rsidR="000076A8" w:rsidRPr="00DA4CEC">
        <w:instrText>ADDIN CSL_CITATION { "citationItems" : [ { "id" : "ITEM-1", "itemData" : { "DOI" : "10.4319/lom.2008.6.572", "ISSN" : "15415856", "author" : [ { "dropping-particle" : "", "family" : "Stedmon", "given" : "Colin A.", "non-dropping-particle" : "", "parse-names" : false, "suffix" : "" }, { "dropping-particle" : "", "family" : "Bro", "given" : "Rasmus", "non-dropping-particle" : "", "parse-names" : false, "suffix" : "" } ], "container-title" : "Limnology and Oceanography: Methods", "id" : "ITEM-1", "issue" : "11", "issued" : { "date-parts" : [ [ "2008", "11" ] ] }, "page" : "572-579", "title" : "Characterizing dissolved organic matter fluorescence with parallel factor analysis: a tutorial", "type" : "article-journal", "volume" : "6" }, "uris" : [ "http://www.mendeley.com/documents/?uuid=c363fa9e-3169-382e-8f76-9cb0114a9fc6" ] } ], "mendeley" : { "formattedCitation" : "&lt;sup&gt;35&lt;/sup&gt;", "plainTextFormattedCitation" : "35", "previouslyFormattedCitation" : "&lt;sup&gt;35&lt;/sup&gt;" }, "properties" : { "noteIndex" : 0 }, "schema" : "https://github.com/citation-style-language/schema/raw/master/csl-citation.json" }</w:instrText>
      </w:r>
      <w:r w:rsidRPr="00DA4CEC">
        <w:fldChar w:fldCharType="separate"/>
      </w:r>
      <w:r w:rsidR="000076A8" w:rsidRPr="00DA4CEC">
        <w:rPr>
          <w:noProof/>
          <w:vertAlign w:val="superscript"/>
        </w:rPr>
        <w:t>35</w:t>
      </w:r>
      <w:r w:rsidRPr="00DA4CEC">
        <w:fldChar w:fldCharType="end"/>
      </w:r>
      <w:r w:rsidRPr="00DA4CEC">
        <w:t xml:space="preserve"> </w:t>
      </w:r>
      <w:r w:rsidR="001D48AB" w:rsidRPr="00DA4CEC">
        <w:t>Fluorescence intensity was</w:t>
      </w:r>
      <w:r w:rsidRPr="00DA4CEC">
        <w:t xml:space="preserve"> normalized to quinine sulfate units as previously described.</w:t>
      </w:r>
      <w:r w:rsidRPr="00DA4CEC">
        <w:fldChar w:fldCharType="begin" w:fldLock="1"/>
      </w:r>
      <w:r w:rsidR="000076A8" w:rsidRPr="00DA4CEC">
        <w:instrText>ADDIN CSL_CITATION { "citationItems" : [ { "id" : "ITEM-1", "itemData" : { "DOI" : "10.1021/ed069pA8", "ISSN" : "0021-9584", "abstract" : "Fluorescence spectroscopy is an extremely versatile, sensitive experimental technique used in identification and quantification of many environmentally important compounds.", "author" : [ { "dropping-particle" : "", "family" : "Tucker", "given" : "Sheryl A.", "non-dropping-particle" : "", "parse-names" : false, "suffix" : "" }, { "dropping-particle" : "", "family" : "Amszi", "given" : "Vicki L.", "non-dropping-particle" : "", "parse-names" : false, "suffix" : "" }, { "dropping-particle" : "", "family" : "Acree", "given" : "William E.", "non-dropping-particle" : "", "parse-names" : false, "suffix" : "" } ], "container-title" : "Journal of Chemical Education", "id" : "ITEM-1", "issue" : "1", "issued" : { "date-parts" : [ [ "1992", "1" ] ] }, "page" : "A8", "publisher" : " Division of Chemical Education ", "title" : "Primary and secondary inner filtering. Effect of K2Cr2O7 on fluorescence emission intensities of quinine sulfate", "type" : "article-journal", "volume" : "69" }, "uris" : [ "http://www.mendeley.com/documents/?uuid=f09882e1-1313-332d-aac1-7c4bd2c5ea50" ] } ], "mendeley" : { "formattedCitation" : "&lt;sup&gt;36&lt;/sup&gt;", "plainTextFormattedCitation" : "36", "previouslyFormattedCitation" : "&lt;sup&gt;36&lt;/sup&gt;" }, "properties" : { "noteIndex" : 0 }, "schema" : "https://github.com/citation-style-language/schema/raw/master/csl-citation.json" }</w:instrText>
      </w:r>
      <w:r w:rsidRPr="00DA4CEC">
        <w:fldChar w:fldCharType="separate"/>
      </w:r>
      <w:r w:rsidR="000076A8" w:rsidRPr="00DA4CEC">
        <w:rPr>
          <w:noProof/>
          <w:vertAlign w:val="superscript"/>
        </w:rPr>
        <w:t>36</w:t>
      </w:r>
      <w:r w:rsidRPr="00DA4CEC">
        <w:fldChar w:fldCharType="end"/>
      </w:r>
    </w:p>
    <w:p w14:paraId="7A82068F" w14:textId="77777777" w:rsidR="00A94EF3" w:rsidRPr="00DA4CEC" w:rsidRDefault="00A94EF3" w:rsidP="00A94EF3">
      <w:pPr>
        <w:outlineLvl w:val="0"/>
        <w:rPr>
          <w:b/>
        </w:rPr>
      </w:pPr>
      <w:r w:rsidRPr="00DA4CEC">
        <w:rPr>
          <w:b/>
        </w:rPr>
        <w:t>Mass Spectrometry</w:t>
      </w:r>
    </w:p>
    <w:p w14:paraId="69429841" w14:textId="77777777" w:rsidR="00A94EF3" w:rsidRPr="00DA4CEC" w:rsidRDefault="00A94EF3" w:rsidP="00A94EF3">
      <w:r w:rsidRPr="00DA4CEC">
        <w:rPr>
          <w:b/>
        </w:rPr>
        <w:tab/>
      </w:r>
      <w:r w:rsidRPr="00DA4CEC">
        <w:t>Dissolved organic components were obtained by solid-phase extraction (SPE) using the SPE-DOM method described elsewhere.</w:t>
      </w:r>
      <w:r w:rsidRPr="00DA4CEC">
        <w:fldChar w:fldCharType="begin" w:fldLock="1"/>
      </w:r>
      <w:r w:rsidR="000076A8" w:rsidRPr="00DA4CEC">
        <w:instrText>ADDIN CSL_CITATION { "citationItems" : [ { "id" : "ITEM-1", "itemData" : { "DOI" : "10.4319/lom.2008.6.230", "ISBN" : "1541-5856", "ISSN" : "15415856", "abstract" : "A simple protocol is presented for the solid-phase extraction of dissolved organic matter (SPE-DOM) from seawater using commercially prepacked cartridges. The method does not require major instrumentation and can be performed in the field. Modified styrene divinyl benzene polymer type sorbents (Varian PPL and ENV) and sorbents of a silica structure bonded with different hydrocarbon chains (Varian C8, C18, C18OH, and C18EWP) were considered. Except for C18OH, which heavily contaminated the samples, none of the sorbents leached significant amounts of dissolved organic carbon (DOC) or nitrogen (DON). Samples from the North Brazil shelf with strong mixing gradients of terrigenous and marine DOM were used to compare the various sorbents. PPL was the most efficient\u2014on average, 62% of DOC was recovered as salt-free extracts. C18 was found to be most efficient among the silica-based sorbents, but it showed only two-thirds of the extraction efficiency of PPL. As indicated by [1 H]NMR, C/N, and \u03b413 C analyses, PPL extracted a more representative proportion of DOM than C18. Therefore, PPL was used for comparative studies in the Gulf of Mexico and Antarctica. From brackish marsh and river waters, 65% and 62% of total DOC, respectively, could be extracted. For purely marine DOM in Antarctica and the deep sea, the extraction efficiency was lower (43% on average). The efficiency of the new method to isolate marine DOM is better than or similar to highly laborious methods. A further advantage is the complete desalination of the sample. The isolation of a major DOM fraction, which is salt-free, offers many pos- sibilities to further characterize DOM by advanced analytical techniques. Introduction", "author" : [ { "dropping-particle" : "", "family" : "Dittmar", "given" : "Thorsten", "non-dropping-particle" : "", "parse-names" : false, "suffix" : "" }, { "dropping-particle" : "", "family" : "Koch", "given" : "Boris", "non-dropping-particle" : "", "parse-names" : false, "suffix" : "" }, { "dropping-particle" : "", "family" : "Hertkorn", "given" : "Norbert", "non-dropping-particle" : "", "parse-names" : false, "suffix" : "" }, { "dropping-particle" : "", "family" : "Kattner", "given" : "Gerhard", "non-dropping-particle" : "", "parse-names" : false, "suffix" : "" } ], "container-title" : "Limnol. Oceanogr. Methods", "id" : "ITEM-1", "issued" : { "date-parts" : [ [ "2008" ] ] }, "page" : "230-235", "title" : "A simple and efficient method for the solid-phase extraction of dissolved organic matter (SPE-DOM) from seawater", "type" : "article-journal", "volume" : "6" }, "uris" : [ "http://www.mendeley.com/documents/?uuid=8c8495d9-02ee-486d-b277-42322a7d9ac4" ] } ], "mendeley" : { "formattedCitation" : "&lt;sup&gt;37&lt;/sup&gt;", "plainTextFormattedCitation" : "37", "previouslyFormattedCitation" : "&lt;sup&gt;37&lt;/sup&gt;" }, "properties" : { "noteIndex" : 0 }, "schema" : "https://github.com/citation-style-language/schema/raw/master/csl-citation.json" }</w:instrText>
      </w:r>
      <w:r w:rsidRPr="00DA4CEC">
        <w:fldChar w:fldCharType="separate"/>
      </w:r>
      <w:r w:rsidR="000076A8" w:rsidRPr="00DA4CEC">
        <w:rPr>
          <w:noProof/>
          <w:vertAlign w:val="superscript"/>
        </w:rPr>
        <w:t>37</w:t>
      </w:r>
      <w:r w:rsidRPr="00DA4CEC">
        <w:fldChar w:fldCharType="end"/>
      </w:r>
      <w:r w:rsidRPr="00DA4CEC">
        <w:t xml:space="preserve"> Briefly, each sample was passed through a precombusted 0.27 µm glass-fiber filter and acidified to pH 2 prior to loading </w:t>
      </w:r>
      <w:r w:rsidRPr="00DA4CEC">
        <w:lastRenderedPageBreak/>
        <w:t>onto an a Bond Elut PPL (Agilent Technologies) stationary phase cartridge.  Each sample was then desalted with pH 2 MilliQ water and eluted with methanol at a final concentration of 100 µgC mL</w:t>
      </w:r>
      <w:r w:rsidRPr="00DA4CEC">
        <w:rPr>
          <w:vertAlign w:val="superscript"/>
        </w:rPr>
        <w:t>-1</w:t>
      </w:r>
      <w:r w:rsidRPr="00DA4CEC">
        <w:t>.  The extracts were stored in the dark at -4 °C in pre-combusted glass vials until analysis by negative-ion electrospray ionization coupled with a custom-built 9.4 tesla Fourier transform ion cyclotron resonance mass spectrometer (National High Magnetic Field Laboratory</w:t>
      </w:r>
      <w:r w:rsidR="00946E12">
        <w:t xml:space="preserve"> (NHMFL)</w:t>
      </w:r>
      <w:r w:rsidRPr="00DA4CEC">
        <w:t>, Florida State University, Tallahassee).</w:t>
      </w:r>
      <w:r w:rsidRPr="00DA4CEC">
        <w:fldChar w:fldCharType="begin" w:fldLock="1"/>
      </w:r>
      <w:r w:rsidR="000076A8" w:rsidRPr="00DA4CEC">
        <w:instrText>ADDIN CSL_CITATION { "citationItems" : [ { "id" : "ITEM-1", "itemData" : { "DOI" : "10.1007/s13361-011-0141-9", "ISSN" : "1044-0305", "author" : [ { "dropping-particle" : "", "family" : "Kaiser", "given" : "Nathan K.", "non-dropping-particle" : "", "parse-names" : false, "suffix" : "" }, { "dropping-particle" : "", "family" : "Quinn", "given" : "John P.", "non-dropping-particle" : "", "parse-names" : false, "suffix" : "" }, { "dropping-particle" : "", "family" : "Blakney", "given" : "Gregory T.", "non-dropping-particle" : "", "parse-names" : false, "suffix" : "" }, { "dropping-particle" : "", "family" : "Hendrickson", "given" : "Christopher L.", "non-dropping-particle" : "", "parse-names" : false, "suffix" : "" }, { "dropping-particle" : "", "family" : "Marshall", "given" : "Alan G.", "non-dropping-particle" : "", "parse-names" : false, "suffix" : "" } ], "container-title" : "Journal of The American Society for Mass Spectrometry", "id" : "ITEM-1", "issue" : "8", "issued" : { "date-parts" : [ [ "2011", "8", "5" ] ] }, "page" : "1343-1351", "publisher" : "Springer-Verlag", "title" : "A Novel 9.4 Tesla FTICR Mass Spectrometer with Improved Sensitivity, Mass Resolution, and Mass Range", "type" : "article-journal", "volume" : "22" }, "uris" : [ "http://www.mendeley.com/documents/?uuid=a5463cc5-cd8f-38c2-90ca-8ebece59ac20" ] }, { "id" : "ITEM-2", "itemData" : { "DOI" : "10.1016/j.ijms.2011.03.009", "ISSN" : "13873806", "abstract" : "Here, we present the Predator data station, a control system for FT-ICR mass spectrometers that champions speed and experimental flexibility while simultaneously providing stability, ease of use, and the ability to integrate more advanced hardware as it becomes available. The Predator is the first FT-ICR MS data station comprised solely of fast PCI, PXI, and yet faster PXI Express-based commercial data acquisition hardware. Increased data transfer speed is required because recorded transient data count increases linearly at higher magnetic field (higher measured frequency) with extended transient duration for FT-ICR MS instruments. The application of new cell designs with additional compensation voltages, experimental techniques to increase resolution, and experimental techniques that minimize/reject variations in ion abundance exemplify the scope of recent Predator data station implementations. When the above techniques are applied simultaneously, the results give rise to sub-30ppb rms mass error for 5250 assigned peaks in a petroleum FT-ICR mass spectrum. The Predator data station is designed for facile implementation with any FT-ICR MS instrument. The Predator hardware provides 17 analog voltage outputs and 18 digital TTL outputs synchronized to a single timing source. SWIFT, chirp, and single frequency excitation waveforms are generated by a 100MSample/s arbitrary waveform generator with a minimum 32MB of onboard memory and the potential of terabytes of virtual memory via first in-first out (FIFO) buffering. Transient detection is facilitated by a 2-channel, 100MSample/s digitizer with a minimum of 32MB of onboard memory per channel. FIFO buffering implementation allows TB transient collection as well. Commercial hardware, royalty-free software solutions, and commercially produced custom printed circuit boards (PCB) for the cell controller ensure open availability. The present data complement numerous extant publications: the Predator data station has been the sole data station for the National High Magnetic Field Laboratory (NHMFL) 9.4T FT-ICR MS instrument since July 2004, and several additional Predator data stations are in operation elsewhere.", "author" : [ { "dropping-particle" : "", "family" : "Blakney", "given" : "Greg T.", "non-dropping-particle" : "", "parse-names" : false, "suffix" : "" }, { "dropping-particle" : "", "family" : "Hendrickson", "given" : "Christopher L.", "non-dropping-particle" : "", "parse-names" : false, "suffix" : "" }, { "dropping-particle" : "", "family" : "Marshall", "given" : "Alan G.", "non-dropping-particle" : "", "parse-names" : false, "suffix" : "" } ], "container-title" : "International Journal of Mass Spectrometry", "id" : "ITEM-2", "issue" : "2", "issued" : { "date-parts" : [ [ "2011" ] ] }, "page" : "246-252", "title" : "Predator data station: A fast data acquisition system for advanced FT-ICR MS experiments", "type" : "article-journal", "volume" : "306" }, "uris" : [ "http://www.mendeley.com/documents/?uuid=019c717d-f068-3c44-af31-18d600857da6" ] } ], "mendeley" : { "formattedCitation" : "&lt;sup&gt;38,39&lt;/sup&gt;", "plainTextFormattedCitation" : "38,39", "previouslyFormattedCitation" : "&lt;sup&gt;38,39&lt;/sup&gt;" }, "properties" : { "noteIndex" : 0 }, "schema" : "https://github.com/citation-style-language/schema/raw/master/csl-citation.json" }</w:instrText>
      </w:r>
      <w:r w:rsidRPr="00DA4CEC">
        <w:fldChar w:fldCharType="separate"/>
      </w:r>
      <w:r w:rsidR="000076A8" w:rsidRPr="00DA4CEC">
        <w:rPr>
          <w:noProof/>
          <w:vertAlign w:val="superscript"/>
        </w:rPr>
        <w:t>38,39</w:t>
      </w:r>
      <w:r w:rsidRPr="00DA4CEC">
        <w:fldChar w:fldCharType="end"/>
      </w:r>
      <w:r w:rsidRPr="00DA4CEC">
        <w:t xml:space="preserve">  Each mass spectrum was internally calibrated with a “walking” calibration equation followed by molecular formula assignment </w:t>
      </w:r>
      <w:r w:rsidR="00DA5C5E">
        <w:t xml:space="preserve">with internally developed software provided by the </w:t>
      </w:r>
      <w:r w:rsidR="00946E12">
        <w:t>NHMFL.</w:t>
      </w:r>
      <w:r w:rsidRPr="00DA4CEC">
        <w:fldChar w:fldCharType="begin" w:fldLock="1"/>
      </w:r>
      <w:r w:rsidR="000076A8" w:rsidRPr="00DA4CEC">
        <w:instrText>ADDIN CSL_CITATION { "citationItems" : [ { "id" : "ITEM-1", "itemData" : { "DOI" : "10.1021/ac102943z", "ISSN" : "0003-2700", "abstract" : "Ion cyclotron resonance frequency, f, is conventionally converted to ion mass-to-charge ratio, m/z (mass \u201ccalibration\u201d) by fitting experimental data spanning the entire detected m/z range to the relation, m/z = A/f + B/f2, to yield rms mass error as low as \u223c200 ppb for \u223c10\u2009000 resolved components of a petroleum crude oil. Analysis of residual error versus m/z and peak abundance reveals that systematic errors limit mass accuracy and thus the confidence in elemental composition assignments. Here, we present a calibration procedure in which the spectrum is divided into dozens of adjoining segments, and a separate calibration is applied to each, thereby eliminating systematic error with respect to m/z. Further, incorporation of a third term in the calibration equation that is proportional to the magnitude of each detected peak minimizes systematic error with respect to ion abundance. Finally, absorption-mode data analysis increases mass measurement accuracy only after minimization of systematic errors. We are...", "author" : [ { "dropping-particle" : "", "family" : "Savory", "given" : "Joshua J.", "non-dropping-particle" : "", "parse-names" : false, "suffix" : "" }, { "dropping-particle" : "", "family" : "Kaiser", "given" : "Nathan K.", "non-dropping-particle" : "", "parse-names" : false, "suffix" : "" }, { "dropping-particle" : "", "family" : "McKenna", "given" : "Amy M.", "non-dropping-particle" : "", "parse-names" : false, "suffix" : "" }, { "dropping-particle" : "", "family" : "Xian", "given" : "Feng", "non-dropping-particle" : "", "parse-names" : false, "suffix" : "" }, { "dropping-particle" : "", "family" : "Blakney", "given" : "Greg T.", "non-dropping-particle" : "", "parse-names" : false, "suffix" : "" }, { "dropping-particle" : "", "family" : "Rodgers", "given" : "Ryan P.", "non-dropping-particle" : "", "parse-names" : false, "suffix" : "" }, { "dropping-particle" : "", "family" : "Hendrickson", "given" : "Christopher L.", "non-dropping-particle" : "", "parse-names" : false, "suffix" : "" }, { "dropping-particle" : "", "family" : "Marshall", "given" : "Alan G.", "non-dropping-particle" : "", "parse-names" : false, "suffix" : "" } ], "container-title" : "Analytical Chemistry", "id" : "ITEM-1", "issue" : "5", "issued" : { "date-parts" : [ [ "2011", "3" ] ] }, "page" : "1732-1736", "publisher" : "American Chemical Society", "title" : "Parts-Per-Billion Fourier Transform Ion Cyclotron Resonance Mass Measurement Accuracy with a \u201cWalking\u201d Calibration Equation", "type" : "article-journal", "volume" : "83" }, "uris" : [ "http://www.mendeley.com/documents/?uuid=7d475fb5-3bd6-37d0-8113-796ece3ae0c4" ] } ], "mendeley" : { "formattedCitation" : "&lt;sup&gt;40&lt;/sup&gt;", "plainTextFormattedCitation" : "40", "previouslyFormattedCitation" : "&lt;sup&gt;40&lt;/sup&gt;" }, "properties" : { "noteIndex" : 0 }, "schema" : "https://github.com/citation-style-language/schema/raw/master/csl-citation.json" }</w:instrText>
      </w:r>
      <w:r w:rsidRPr="00DA4CEC">
        <w:fldChar w:fldCharType="separate"/>
      </w:r>
      <w:r w:rsidR="000076A8" w:rsidRPr="00DA4CEC">
        <w:rPr>
          <w:noProof/>
          <w:vertAlign w:val="superscript"/>
        </w:rPr>
        <w:t>40</w:t>
      </w:r>
      <w:r w:rsidRPr="00DA4CEC">
        <w:fldChar w:fldCharType="end"/>
      </w:r>
    </w:p>
    <w:p w14:paraId="3AD7DCA4" w14:textId="77777777" w:rsidR="00A94EF3" w:rsidRPr="00DA4CEC" w:rsidRDefault="00A94EF3" w:rsidP="00A94EF3"/>
    <w:p w14:paraId="0638500E" w14:textId="77777777" w:rsidR="00A94EF3" w:rsidRPr="00DA4CEC" w:rsidRDefault="00A94EF3" w:rsidP="00A94EF3">
      <w:pPr>
        <w:jc w:val="center"/>
        <w:rPr>
          <w:b/>
        </w:rPr>
      </w:pPr>
      <w:r w:rsidRPr="00DA4CEC">
        <w:rPr>
          <w:b/>
        </w:rPr>
        <w:t>Results</w:t>
      </w:r>
    </w:p>
    <w:p w14:paraId="3963DFB6" w14:textId="77777777" w:rsidR="00A94EF3" w:rsidRPr="00DA4CEC" w:rsidRDefault="00A94EF3" w:rsidP="00A94EF3">
      <w:pPr>
        <w:outlineLvl w:val="0"/>
      </w:pPr>
      <w:r w:rsidRPr="00DA4CEC">
        <w:rPr>
          <w:b/>
        </w:rPr>
        <w:t>Toxicity Screening</w:t>
      </w:r>
    </w:p>
    <w:p w14:paraId="478A0C8D" w14:textId="77777777" w:rsidR="00A94EF3" w:rsidRPr="00DA4CEC" w:rsidRDefault="00A94EF3" w:rsidP="00A94EF3">
      <w:r w:rsidRPr="00DA4CEC">
        <w:tab/>
        <w:t>Many toxicity evaluations employ a single organism to assess the potential impact of a given toxicant</w:t>
      </w:r>
      <w:r w:rsidR="00A828B1" w:rsidRPr="00DA4CEC">
        <w:t>.</w:t>
      </w:r>
      <w:r w:rsidR="00A828B1" w:rsidRPr="00DA4CEC">
        <w:fldChar w:fldCharType="begin" w:fldLock="1"/>
      </w:r>
      <w:r w:rsidR="000076A8" w:rsidRPr="00DA4CEC">
        <w:instrText>ADDIN CSL_CITATION { "citationItems" : [ { "id" : "ITEM-1", "itemData" : { "DOI" : "10.1021/es403899t", "ISBN" : "0013-936X", "ISSN" : "0013-936X", "PMID" : "24369993", "abstract" : "Thousands of organic micropollutants and their transformation products occur in water. Although often present at low concentrations, individual compounds contribute to mixture effects. Cell-based bioassays that target health-relevant biological endpoints may therefore complement chemical analysis for water quality assessment. The objective of this study was to evaluate cell-based bioassays for their suitability to benchmark water quality and to assess efficacy of water treatment processes. The selected bioassays cover relevant steps in the toxicity pathways including induction of xenobiotic metabolism, specific and reactive modes of toxic action, activation of adaptive stress response pathways and system responses. Twenty laboratories applied 103 unique in vitro bioassays to a common set of 10 water samples collected in Australia, including wastewater treatment plant effluent, two types of recycled water (reverse osmosis and ozonation/activated carbon filtration), stormwater, surface water, and drinking water. Sixty-five bioassays (63%) showed positive results in at least one sample, typically in wastewater treatment plant effluent, and only five (5%) were positive in the control (ultrapure water). Each water type had a characteristic bioanalytical profile with particular groups of toxicity pathways either consistently responsive or not responsive across test systems. The most responsive health-relevant endpoints were related to xenobiotic metabolism (pregnane X and aryl hydrocarbon receptors), hormone-mediated modes of action (mainly related to the estrogen, glucocorticoid, and antiandrogen activities), reactive modes of action (genotoxicity) and adaptive stress response pathway (oxidative stress response). This study has demonstrated that selected cell-based bioassays are suitable to benchmark water quality and it is recommended to use a purpose-tailored panel of bioassays for routine monitoring.", "author" : [ { "dropping-particle" : "", "family" : "Escher", "given" : "Beate I.", "non-dropping-particle" : "", "parse-names" : false, "suffix" : "" }, { "dropping-particle" : "", "family" : "Allinson", "given" : "Mayumi", "non-dropping-particle" : "", "parse-names" : false, "suffix" : "" }, { "dropping-particle" : "", "family" : "Altenburger", "given" : "Rolf", "non-dropping-particle" : "", "parse-names" : false, "suffix" : "" }, { "dropping-particle" : "", "family" : "Bain", "given" : "Peter A.", "non-dropping-particle" : "", "parse-names" : false, "suffix" : "" }, { "dropping-particle" : "", "family" : "Balaguer", "given" : "Patrick", "non-dropping-particle" : "", "parse-names" : false, "suffix" : "" }, { "dropping-particle" : "", "family" : "Busch", "given" : "Wibke", "non-dropping-particle" : "", "parse-names" : false, "suffix" : "" }, { "dropping-particle" : "", "family" : "Crago", "given" : "Jordan", "non-dropping-particle" : "", "parse-names" : false, "suffix" : "" }, { "dropping-particle" : "", "family" : "Denslow", "given" : "Nancy D.", "non-dropping-particle" : "", "parse-names" : false, "suffix" : "" }, { "dropping-particle" : "", "family" : "Dopp", "given" : "Elke", "non-dropping-particle" : "", "parse-names" : false, "suffix" : "" }, { "dropping-particle" : "", "family" : "Hilscherova", "given" : "Klara", "non-dropping-particle" : "", "parse-names" : false, "suffix" : "" }, { "dropping-particle" : "", "family" : "Humpage", "given" : "Andrew R.", "non-dropping-particle" : "", "parse-names" : false, "suffix" : "" }, { "dropping-particle" : "", "family" : "Kumar", "given" : "Anu", "non-dropping-particle" : "", "parse-names" : false, "suffix" : "" }, { "dropping-particle" : "", "family" : "Grimaldi", "given" : "Marina", "non-dropping-particle" : "", "parse-names" : false, "suffix" : "" }, { "dropping-particle" : "", "family" : "Jayasinghe", "given" : "B. Sumith", "non-dropping-particle" : "", "parse-names" : false, "suffix" : "" }, { "dropping-particle" : "", "family" : "Jarosova", "given" : "Barbora", "non-dropping-particle" : "", "parse-names" : false, "suffix" : "" }, { "dropping-particle" : "", "family" : "Jia", "given" : "Ai", "non-dropping-particle" : "", "parse-names" : false, "suffix" : "" }, { "dropping-particle" : "", "family" : "Makarov", "given" : "Sergei", "non-dropping-particle" : "", "parse-names" : false, "suffix" : "" }, { "dropping-particle" : "", "family" : "Maruya", "given" : "Keith A.", "non-dropping-particle" : "", "parse-names" : false, "suffix" : "" }, { "dropping-particle" : "", "family" : "Medvedev", "given" : "Alex", "non-dropping-particle" : "", "parse-names" : false, "suffix" : "" }, { "dropping-particle" : "", "family" : "Mehinto", "given" : "Alvine C.", "non-dropping-particle" : "", "parse-names" : false, "suffix" : "" }, { "dropping-particle" : "", "family" : "Mendez", "given" : "Jamie E.", "non-dropping-particle" : "", "parse-names" : false, "suffix" : "" }, { "dropping-particle" : "", "family" : "Poulsen", "given" : "Anita", "non-dropping-particle" : "", "parse-names" : false, "suffix" : "" }, { "dropping-particle" : "", "family" : "Prochazka", "given" : "Erik", "non-dropping-particle" : "", "parse-names" : false, "suffix" : "" }, { "dropping-particle" : "", "family" : "Richard", "given" : "Jessica", "non-dropping-particle" : "", "parse-names" : false, "suffix" : "" }, { "dropping-particle" : "", "family" : "Schifferli", "given" : "Andrea", "non-dropping-particle" : "", "parse-names" : false, "suffix" : "" }, { "dropping-particle" : "", "family" : "Schlenk", "given" : "Daniel", "non-dropping-particle" : "", "parse-names" : false, "suffix" : "" }, { "dropping-particle" : "", "family" : "Scholz", "given" : "Stefan", "non-dropping-particle" : "", "parse-names" : false, "suffix" : "" }, { "dropping-particle" : "", "family" : "Shiraishi", "given" : "Fujio", "non-dropping-particle" : "", "parse-names" : false, "suffix" : "" }, { "dropping-particle" : "", "family" : "Snyder", "given" : "Shane", "non-dropping-particle" : "", "parse-names" : false, "suffix" : "" }, { "dropping-particle" : "", "family" : "Su", "given" : "Guanyong", "non-dropping-particle" : "", "parse-names" : false, "suffix" : "" }, { "dropping-particle" : "", "family" : "Tang", "given" : "Janet Y M", "non-dropping-particle" : "", "parse-names" : false, "suffix" : "" }, { "dropping-particle" : "Van Der", "family" : "Burg", "given" : "Bart", "non-dropping-particle" : "", "parse-names" : false, "suffix" : "" }, { "dropping-particle" : "Van Der", "family" : "Linden", "given" : "Sander C", "non-dropping-particle" : "", "parse-names" : false, "suffix" : "" }, { "dropping-particle" : "", "family" : "Werner", "given" : "Inge", "non-dropping-particle" : "", "parse-names" : false, "suffix" : "" }, { "dropping-particle" : "", "family" : "Westerheide", "given" : "Sandy D.", "non-dropping-particle" : "", "parse-names" : false, "suffix" : "" }, { "dropping-particle" : "", "family" : "Wong", "given" : "Chris K C", "non-dropping-particle" : "", "parse-names" : false, "suffix" : "" }, { "dropping-particle" : "", "family" : "Yang", "given" : "Min", "non-dropping-particle" : "", "parse-names" : false, "suffix" : "" }, { "dropping-particle" : "", "family" : "Yeung", "given" : "Bonnie H Y", "non-dropping-particle" : "", "parse-names" : false, "suffix" : "" }, { "dropping-particle" : "", "family" : "Zhang", "given" : "Xiaowei", "non-dropping-particle" : "", "parse-names" : false, "suffix" : "" }, { "dropping-particle" : "", "family" : "Leusch", "given" : "Frederic D L", "non-dropping-particle" : "", "parse-names" : false, "suffix" : "" } ], "container-title" : "Environmental Science and Technology", "id" : "ITEM-1", "issue" : "3", "issued" : { "date-parts" : [ [ "2014" ] ] }, "page" : "1940-1956", "title" : "Benchmarking organic micropollutants in wastewater, recycled water and drinking water with &lt;i&gt;in vitro&lt;/i&gt; bioassays", "type" : "article-journal", "volume" : "48" }, "uris" : [ "http://www.mendeley.com/documents/?uuid=e7fc3b25-a460-4718-9411-ca3efee1a4e9" ] } ], "mendeley" : { "formattedCitation" : "&lt;sup&gt;41&lt;/sup&gt;", "plainTextFormattedCitation" : "41", "previouslyFormattedCitation" : "&lt;sup&gt;41&lt;/sup&gt;" }, "properties" : { "noteIndex" : 0 }, "schema" : "https://github.com/citation-style-language/schema/raw/master/csl-citation.json" }</w:instrText>
      </w:r>
      <w:r w:rsidR="00A828B1" w:rsidRPr="00DA4CEC">
        <w:fldChar w:fldCharType="separate"/>
      </w:r>
      <w:r w:rsidR="000076A8" w:rsidRPr="00DA4CEC">
        <w:rPr>
          <w:noProof/>
          <w:vertAlign w:val="superscript"/>
        </w:rPr>
        <w:t>41</w:t>
      </w:r>
      <w:r w:rsidR="00A828B1" w:rsidRPr="00DA4CEC">
        <w:fldChar w:fldCharType="end"/>
      </w:r>
      <w:r w:rsidRPr="00DA4CEC">
        <w:t xml:space="preserve">  Such evaluations are subject to a multitude of interpretational constraints when extrapolating the resulting information to other organisms or to larger community effects.  It is arguably more environmentally relevant to examine the response to perturbations by monitoring overall community respiration.  In marine habitats, the two most quantitatively important electron acceptors available to the requisite microbial communities are oxygen and sulfate.</w:t>
      </w:r>
      <w:r w:rsidR="00A828B1" w:rsidRPr="00DA4CEC">
        <w:fldChar w:fldCharType="begin" w:fldLock="1"/>
      </w:r>
      <w:r w:rsidR="000076A8" w:rsidRPr="00DA4CEC">
        <w:instrText>ADDIN CSL_CITATION { "citationItems" : [ { "id" : "ITEM-1", "itemData" : { "DOI" : "10.3389/fmicb.2013.00189", "ISBN" : "1664-302X", "ISSN" : "1664302X", "PMID" : "23874326", "abstract" : "The vast marine deep biosphere consists of microbial habitats within sediment, pore waters, upper basaltic crust and the fluids that circulate throughout it. A wide range of temperature, pressure, pH, and electron donor and acceptor conditions exists-all of which can combine to affect carbon and nutrient cycling and result in gradients on spatial scales ranging from millimeters to kilometers. Diverse and mostly uncharacterized microorganisms live in these habitats, and potentially play a role in mediating global scale biogeochemical processes. Quantifying the rates at which microbial activity in the subsurface occurs is a challenging endeavor, yet developing an understanding of these rates is essential to determine the impact of subsurface life on Earth's global biogeochemical cycles, and for understanding how microorganisms in these \"extreme\" environments survive (or even thrive). Here, we synthesize recent advances and discoveries pertaining to microbial activity in the marine deep subsurface, and we highlight topics about which there is still little understanding and suggest potential paths forward to address them. This publication is the result of a workshop held in August 2012 by the NSF-funded Center for Dark Energy Biosphere Investigations (C-DEBI) \"theme team\" on microbial activity (www.darkenergybiosphere.org).", "author" : [ { "dropping-particle" : "", "family" : "Orcutt", "given" : "Beth N.", "non-dropping-particle" : "", "parse-names" : false, "suffix" : "" }, { "dropping-particle" : "", "family" : "LaRowe", "given" : "Douglas E.", "non-dropping-particle" : "", "parse-names" : false, "suffix" : "" }, { "dropping-particle" : "", "family" : "Biddle", "given" : "Jennifer F.", "non-dropping-particle" : "", "parse-names" : false, "suffix" : "" }, { "dropping-particle" : "", "family" : "Colwell", "given" : "Frederick S.", "non-dropping-particle" : "", "parse-names" : false, "suffix" : "" }, { "dropping-particle" : "", "family" : "Glazer", "given" : "Brian T.", "non-dropping-particle" : "", "parse-names" : false, "suffix" : "" }, { "dropping-particle" : "", "family" : "Reese", "given" : "Brandi Kiel", "non-dropping-particle" : "", "parse-names" : false, "suffix" : "" }, { "dropping-particle" : "", "family" : "Kirkpatrick", "given" : "John B.", "non-dropping-particle" : "", "parse-names" : false, "suffix" : "" }, { "dropping-particle" : "", "family" : "Lapham", "given" : "Laura L.", "non-dropping-particle" : "", "parse-names" : false, "suffix" : "" }, { "dropping-particle" : "", "family" : "Mills", "given" : "Heath J.", "non-dropping-particle" : "", "parse-names" : false, "suffix" : "" }, { "dropping-particle" : "", "family" : "Sylvan", "given" : "Jason B.", "non-dropping-particle" : "", "parse-names" : false, "suffix" : "" }, { "dropping-particle" : "", "family" : "Wankel", "given" : "Scott D.", "non-dropping-particle" : "", "parse-names" : false, "suffix" : "" }, { "dropping-particle" : "", "family" : "Wheat", "given" : "C. Geoff", "non-dropping-particle" : "", "parse-names" : false, "suffix" : "" } ], "container-title" : "Frontiers in Microbiology", "id" : "ITEM-1", "issue" : "JUL", "issued" : { "date-parts" : [ [ "2013" ] ] }, "page" : "1-15", "title" : "Microbial activity in the marine deep biosphere: Progress and prospects", "type" : "article-journal", "volume" : "4" }, "uris" : [ "http://www.mendeley.com/documents/?uuid=e10fc70b-b85d-4fdb-9870-0c40a216d02c" ] } ], "mendeley" : { "formattedCitation" : "&lt;sup&gt;42&lt;/sup&gt;", "plainTextFormattedCitation" : "42", "previouslyFormattedCitation" : "&lt;sup&gt;42&lt;/sup&gt;" }, "properties" : { "noteIndex" : 0 }, "schema" : "https://github.com/citation-style-language/schema/raw/master/csl-citation.json" }</w:instrText>
      </w:r>
      <w:r w:rsidR="00A828B1" w:rsidRPr="00DA4CEC">
        <w:fldChar w:fldCharType="separate"/>
      </w:r>
      <w:r w:rsidR="000076A8" w:rsidRPr="00DA4CEC">
        <w:rPr>
          <w:noProof/>
          <w:vertAlign w:val="superscript"/>
        </w:rPr>
        <w:t>42</w:t>
      </w:r>
      <w:r w:rsidR="00A828B1" w:rsidRPr="00DA4CEC">
        <w:fldChar w:fldCharType="end"/>
      </w:r>
      <w:r w:rsidRPr="00DA4CEC">
        <w:t xml:space="preserve">  The heterotrophic respiration of aerobic microbial communities was monitored as the impact of sand patties on the endogenous rate of oxygen utilization, while the corresponding anaerobic respiration activity was measured as a rate of sulfide formation (Table 1).</w:t>
      </w:r>
    </w:p>
    <w:p w14:paraId="16106959" w14:textId="77777777" w:rsidR="00A94EF3" w:rsidRPr="00DA4CEC" w:rsidRDefault="00A94EF3" w:rsidP="00A94EF3">
      <w:r w:rsidRPr="00DA4CEC">
        <w:lastRenderedPageBreak/>
        <w:tab/>
        <w:t xml:space="preserve">The sulfate reduction assays containing sediment, seawater, and varying amounts of sand patty material or lactate are shown in Table 1.  The lactate-amended positive control reduced more sulfate than the endogenous control, confirming that the resident microflora included anaerobes that could respond to the introduction of a labile carbon source.  Community respiration also generally increased as a function of the sand patty amendment with the most statistically significant amount of reduced sulfide evident in incubations receiving the highest amount of sand patty material.  Thus, it can be concluded that sand patty organic material is not inherently detrimental to the native </w:t>
      </w:r>
      <w:r w:rsidR="00650935" w:rsidRPr="00DA4CEC">
        <w:t xml:space="preserve">sulfate-reducing </w:t>
      </w:r>
      <w:r w:rsidRPr="00DA4CEC">
        <w:t>microflora.  Rather, the maximal 39% increase in rate of sulfate reduct</w:t>
      </w:r>
      <w:r w:rsidR="001D48AB" w:rsidRPr="00DA4CEC">
        <w:t xml:space="preserve">ion </w:t>
      </w:r>
      <w:r w:rsidRPr="00DA4CEC">
        <w:t xml:space="preserve">over the endogenous rate suggests that sediment microbes are capable of utilizing at least some components in sand patties as electron donors to support anaerobic respiratory activity.  </w:t>
      </w:r>
    </w:p>
    <w:p w14:paraId="0EA632EF" w14:textId="77777777" w:rsidR="00A94EF3" w:rsidRPr="00DA4CEC" w:rsidRDefault="00A94EF3" w:rsidP="00A94EF3">
      <w:r w:rsidRPr="00DA4CEC">
        <w:tab/>
        <w:t xml:space="preserve">Similarly, oxygen respiration was used as an indicator of the relative toxicity of sand patty organic matter on aerobic microbial communities.  Table 1 shows the rate of oxygen consumption in nearly identical seawater-sediment incubations with or without an amendment of whole sand patty material.  If sand patties were an inherent detriment to aerobic microbial communities, a decrease in the oxygen respiration rate would be evident upon sand patty addition.  However, when aerobic incubations were amended with 1-2g of sand patty material, the oxygen respiration rate remained unaltered.  Indeed, like the anaerobic incubations, larger sand patty amendments (5g) significantly stimulated aerobic microbial community respiration.  </w:t>
      </w:r>
      <w:r w:rsidRPr="00DA4CEC">
        <w:rPr>
          <w:rStyle w:val="CommentReference"/>
          <w:vanish/>
        </w:rPr>
        <w:t xml:space="preserve">TTThese </w:t>
      </w:r>
      <w:r w:rsidRPr="00DA4CEC">
        <w:t>These results suggest that the GoM microflora was largely impervious to the potential inhibitory effect of sand patties, but some associated components likely stimulated biodegradation activity.</w:t>
      </w:r>
    </w:p>
    <w:p w14:paraId="18FCA5C3" w14:textId="77777777" w:rsidR="00A94EF3" w:rsidRPr="00DA4CEC" w:rsidRDefault="00650935" w:rsidP="00A94EF3">
      <w:pPr>
        <w:outlineLvl w:val="0"/>
        <w:rPr>
          <w:b/>
        </w:rPr>
      </w:pPr>
      <w:r w:rsidRPr="00DA4CEC">
        <w:rPr>
          <w:b/>
        </w:rPr>
        <w:lastRenderedPageBreak/>
        <w:t>Seawater Transport</w:t>
      </w:r>
      <w:r w:rsidR="00A94EF3" w:rsidRPr="00DA4CEC">
        <w:rPr>
          <w:b/>
        </w:rPr>
        <w:t xml:space="preserve"> in Sand Patties </w:t>
      </w:r>
      <w:r w:rsidR="00A94EF3" w:rsidRPr="00DA4CEC">
        <w:rPr>
          <w:b/>
        </w:rPr>
        <w:tab/>
      </w:r>
    </w:p>
    <w:p w14:paraId="2F6FE064" w14:textId="77777777" w:rsidR="00A94EF3" w:rsidRPr="00DA4CEC" w:rsidRDefault="00A94EF3" w:rsidP="00A94EF3">
      <w:r w:rsidRPr="00DA4CEC">
        <w:tab/>
        <w:t xml:space="preserve">Sand patties were incubated </w:t>
      </w:r>
      <w:r w:rsidR="00AE29CD" w:rsidRPr="00DA4CEC">
        <w:t xml:space="preserve">for 7 days </w:t>
      </w:r>
      <w:r w:rsidRPr="00DA4CEC">
        <w:t xml:space="preserve">in seawater containing </w:t>
      </w:r>
      <w:r w:rsidRPr="00DA4CEC">
        <w:rPr>
          <w:vertAlign w:val="superscript"/>
        </w:rPr>
        <w:t>35</w:t>
      </w:r>
      <w:r w:rsidRPr="00DA4CEC">
        <w:t>SO</w:t>
      </w:r>
      <w:r w:rsidRPr="00DA4CEC">
        <w:rPr>
          <w:vertAlign w:val="subscript"/>
        </w:rPr>
        <w:t>4</w:t>
      </w:r>
      <w:r w:rsidRPr="00DA4CEC">
        <w:rPr>
          <w:vertAlign w:val="superscript"/>
        </w:rPr>
        <w:t>-2</w:t>
      </w:r>
      <w:r w:rsidRPr="00DA4CEC">
        <w:t xml:space="preserve"> and subsequently dissected and analyzed.  The autoradiographic images clearly show that the</w:t>
      </w:r>
      <w:r w:rsidR="00650935" w:rsidRPr="00DA4CEC">
        <w:t xml:space="preserve"> water-soluble tracer was transported</w:t>
      </w:r>
      <w:r w:rsidRPr="00DA4CEC">
        <w:t xml:space="preserve"> to the interior of the structures (Figure 1).  The amount of radioactivity in various subsections of the dissected sand patty was roughly equivalent.  However, the distribution of the label was more even in one distal end of the sand patty, presumably reflecting variations in thickness.   Ignoring the surface radioacti</w:t>
      </w:r>
      <w:r w:rsidR="00650935" w:rsidRPr="00DA4CEC">
        <w:t>vity, the tracer that reached</w:t>
      </w:r>
      <w:r w:rsidRPr="00DA4CEC">
        <w:t xml:space="preserve"> to the interior of the sand patty was largely normally distributed in all subsections (only representative data shown in Figure 1).  However, several subsections had local hot spots of accumulated radioactivity for unknown reasons.  Collectively, these findings argue that seawater was readily able to infiltrate sand patties and that the chemical nature of these structures does not represent a substant</w:t>
      </w:r>
      <w:r w:rsidR="00650935" w:rsidRPr="00DA4CEC">
        <w:t>ive barrier to water transport</w:t>
      </w:r>
      <w:r w:rsidRPr="00DA4CEC">
        <w:t>.</w:t>
      </w:r>
    </w:p>
    <w:p w14:paraId="720018CB" w14:textId="77777777" w:rsidR="00A94EF3" w:rsidRPr="00DA4CEC" w:rsidRDefault="00A94EF3" w:rsidP="00A94EF3">
      <w:r w:rsidRPr="00DA4CEC">
        <w:rPr>
          <w:b/>
        </w:rPr>
        <w:t xml:space="preserve">Absorption Characteristics of Sand Patty DOM </w:t>
      </w:r>
    </w:p>
    <w:p w14:paraId="08C413FE" w14:textId="77777777" w:rsidR="00A94EF3" w:rsidRPr="00DA4CEC" w:rsidRDefault="00A94EF3" w:rsidP="00A94EF3">
      <w:r w:rsidRPr="00DA4CEC">
        <w:rPr>
          <w:b/>
        </w:rPr>
        <w:tab/>
        <w:t xml:space="preserve"> </w:t>
      </w:r>
      <w:r w:rsidRPr="00DA4CEC">
        <w:t>Sand patties were broken into pieces, placed in sterile seawater and exposed to simulated sunlight to examine the impact of irradiation on the weathering of these oil</w:t>
      </w:r>
      <w:r w:rsidR="001D48AB" w:rsidRPr="00DA4CEC">
        <w:t xml:space="preserve"> residue</w:t>
      </w:r>
      <w:r w:rsidRPr="00DA4CEC">
        <w:t xml:space="preserve"> structures.  The absorption characteristics of compounds photo-solubilized by this procedure were measured from 200 – 600 nm and compared with dark controls and the seawater alone.  Routine monitoring at 254 nm of irradiated and dark samples as well as background seawater measurements revealed an increase in UV-absorbing material leached from the sand patties under both conditions (Figure 2).  However, consistently more UV</w:t>
      </w:r>
      <w:r w:rsidRPr="00DA4CEC">
        <w:rPr>
          <w:vertAlign w:val="subscript"/>
        </w:rPr>
        <w:t>254</w:t>
      </w:r>
      <w:r w:rsidRPr="00DA4CEC">
        <w:t xml:space="preserve"> -absorbing material was produced upon irradiation, particularly over the first 12 h.  The increase in UV absorbance at 254 is noteworthy since this value </w:t>
      </w:r>
      <w:r w:rsidRPr="00DA4CEC">
        <w:lastRenderedPageBreak/>
        <w:t>is known to correlate with DOM content</w:t>
      </w:r>
      <w:r w:rsidR="00860862" w:rsidRPr="00DA4CEC">
        <w:t>.</w:t>
      </w:r>
      <w:r w:rsidR="00860862" w:rsidRPr="00DA4CEC">
        <w:fldChar w:fldCharType="begin" w:fldLock="1"/>
      </w:r>
      <w:r w:rsidR="000076A8" w:rsidRPr="00DA4CEC">
        <w:instrText>ADDIN CSL_CITATION { "citationItems" : [ { "id" : "ITEM-1", "itemData" : { "DOI" : "10.1016/j.watres.2007.04.012", "ISSN" : "1879-2448", "PMID" : "17540432", "abstract" : "The UV-visible and fluorescence excitation-emission matrix spectrophotometric properties of dissolved organic matter (DOM) were compared for the effects of both pH and freeze/thaw on a wide range of freshwater DOM samples from the United Kingdom. It was observed that the spectrophotometric properties of our freshwater samples were sensitive to pH and that the recorded change varies with fluorescence and absorbance intensity, DOC concentration and the wavelength observed. Large and variable responses to pH were particularly severe at extremes of pH, but within the natural levels typically observed in freshwaters the response to pH was limited. For the same sample set large and variable responses were observed when subjected to freeze/thaw. From our data, knowledge of the original properties cannot be used to determine the amount of change that will occur with freezing and subsequent thawing. It is therefore recommended that in future research, to maintain the natural signal of the DOM, analysis is conducted at natural pH and without freezing to facilitate ease of comparison between studies. Our results also have implications for studies that utilise spectrophotometric techniques to investigate long-term trends in dissolved organic carbon in rivers. Spectrophotometric parameters from upland derived samples show varied responses of samples to pH and there is clear potential to complicate trends in the interpretation of long-term water colour data if pH is changing over time in a system or if samples are treated with different storage protocols with respect to acidification and freezing.", "author" : [ { "dropping-particle" : "", "family" : "Spencer", "given" : "Robert G M", "non-dropping-particle" : "", "parse-names" : false, "suffix" : "" }, { "dropping-particle" : "", "family" : "Bolton", "given" : "Lucy", "non-dropping-particle" : "", "parse-names" : false, "suffix" : "" }, { "dropping-particle" : "", "family" : "Baker", "given" : "Andy", "non-dropping-particle" : "", "parse-names" : false, "suffix" : "" } ], "container-title" : "Water research", "id" : "ITEM-1", "issue" : "13", "issued" : { "date-parts" : [ [ "2007", "7" ] ] }, "page" : "2941-50", "title" : "Freeze/thaw and pH effects on freshwater dissolved organic matter fluorescence and absorbance properties from a number of UK locations.", "type" : "article-journal", "volume" : "41" }, "uris" : [ "http://www.mendeley.com/documents/?uuid=a6eab96e-7648-3d91-8d1e-ad54d8999ffe" ] } ], "mendeley" : { "formattedCitation" : "&lt;sup&gt;31&lt;/sup&gt;", "plainTextFormattedCitation" : "31", "previouslyFormattedCitation" : "&lt;sup&gt;31&lt;/sup&gt;" }, "properties" : { "noteIndex" : 0 }, "schema" : "https://github.com/citation-style-language/schema/raw/master/csl-citation.json" }</w:instrText>
      </w:r>
      <w:r w:rsidR="00860862" w:rsidRPr="00DA4CEC">
        <w:fldChar w:fldCharType="separate"/>
      </w:r>
      <w:r w:rsidR="000076A8" w:rsidRPr="00DA4CEC">
        <w:rPr>
          <w:noProof/>
          <w:vertAlign w:val="superscript"/>
        </w:rPr>
        <w:t>31</w:t>
      </w:r>
      <w:r w:rsidR="00860862" w:rsidRPr="00DA4CEC">
        <w:fldChar w:fldCharType="end"/>
      </w:r>
      <w:r w:rsidRPr="00DA4CEC">
        <w:t xml:space="preserve"> </w:t>
      </w:r>
      <w:r w:rsidR="001D48AB" w:rsidRPr="00DA4CEC">
        <w:t xml:space="preserve">Near linear increase in DOM as evidenced by absorbance was observed in the first 12 h of irradiation. After the initial 12 h of irradiation, the release of UV-absorbing material then decreased to a slower, but also linear rate. Both irradiated and dark control samples showed similar behavior, except the rate of increase in absorbance was faster for the irradiated samples in both the initial 12 h period and the subsequent time periods. </w:t>
      </w:r>
      <w:r w:rsidRPr="00DA4CEC">
        <w:t>UV-absorbing material continued to solubilize from even the dark samples relative to seawater</w:t>
      </w:r>
      <w:r w:rsidR="001D48AB" w:rsidRPr="00DA4CEC">
        <w:t xml:space="preserve"> throughout the 84 h of the experiment</w:t>
      </w:r>
      <w:r w:rsidRPr="00DA4CEC">
        <w:t xml:space="preserve">.  These findings indicate that sand patties represent a source of UV-absorbing material to the surrounding environment and that more photo-solubilized material is released upon exposure to sunlight.  It is likely that these processes occur in the swash zone of GoM beaches as sand patties are exposed to natural sunlight and constantly impacted by wave action. </w:t>
      </w:r>
    </w:p>
    <w:p w14:paraId="653FAEA5" w14:textId="77777777" w:rsidR="00A94EF3" w:rsidRPr="00DA4CEC" w:rsidRDefault="00A94EF3" w:rsidP="00A94EF3">
      <w:pPr>
        <w:outlineLvl w:val="0"/>
        <w:rPr>
          <w:b/>
        </w:rPr>
      </w:pPr>
      <w:r w:rsidRPr="00DA4CEC">
        <w:rPr>
          <w:b/>
        </w:rPr>
        <w:t>Biodegradation of Sand Patty-Derived DOM</w:t>
      </w:r>
    </w:p>
    <w:p w14:paraId="571BD2B2" w14:textId="77777777" w:rsidR="00A94EF3" w:rsidRPr="00DA4CEC" w:rsidRDefault="00A94EF3" w:rsidP="00A94EF3">
      <w:r w:rsidRPr="00DA4CEC">
        <w:tab/>
      </w:r>
      <w:r w:rsidR="00D90FDC" w:rsidRPr="00DA4CEC">
        <w:t xml:space="preserve">An inoculum from the GoM was used to determine if the indigenous microflora were capable of metabolizing DOM released under dark and irradiated conditions. Figure 3 shows the total amount of oxygen consumed by aerobic GoM sediment communities over the course of a 3 d incubation when amended with irradiated, dark, or whole sand patty material. </w:t>
      </w:r>
      <w:r w:rsidRPr="00DA4CEC">
        <w:t xml:space="preserve">The aerobic toxicity screening (above) revealed that at least some components in the sand patties alone were amenable to biodegradation as evidenced by the increased rate of oxygen consumption relative to the endogenous control (no added organic matter) (Fig. 3).  A very similar rate of oxygen consumption was observed when the DOM from the dark control incubations were similarly assayed.  We presume that the same or similar suite of seawater-soluble DOM components </w:t>
      </w:r>
      <w:r w:rsidRPr="00DA4CEC">
        <w:lastRenderedPageBreak/>
        <w:t>leached from the whole sand patties in the experimental systems and served as suitable electron donors for the resident aerobic microflora.  Since seawater could readily penetrate the sand patties (Fig. 1), the DOM components in both</w:t>
      </w:r>
      <w:r w:rsidR="00D90FDC" w:rsidRPr="00DA4CEC">
        <w:t xml:space="preserve"> the dark controls and whole sand patty</w:t>
      </w:r>
      <w:r w:rsidRPr="00DA4CEC">
        <w:t xml:space="preserve"> treatments was likely comparable.   </w:t>
      </w:r>
    </w:p>
    <w:p w14:paraId="616EDFF0" w14:textId="77777777" w:rsidR="00A94EF3" w:rsidRPr="00DA4CEC" w:rsidRDefault="00A94EF3" w:rsidP="00A94EF3">
      <w:r w:rsidRPr="00DA4CEC">
        <w:tab/>
        <w:t>When photo-solubilized DOM from sand patties was utilized as an amendment for the GoM inoculum, the rate of oxygen consumption was clearly increased relative to the dark DOM treatment or the endogenous level of respiration (Fig. 3).  Over the course of a 3 d incubation, the endogenous microflora respired 38 µM O</w:t>
      </w:r>
      <w:r w:rsidRPr="00DA4CEC">
        <w:rPr>
          <w:vertAlign w:val="subscript"/>
        </w:rPr>
        <w:t>2</w:t>
      </w:r>
      <w:r w:rsidRPr="00DA4CEC">
        <w:t xml:space="preserve"> with natural seawater/sediment organic matter serving as electron donors, while 64 and 67 µM O</w:t>
      </w:r>
      <w:r w:rsidRPr="00DA4CEC">
        <w:rPr>
          <w:vertAlign w:val="subscript"/>
        </w:rPr>
        <w:t>2</w:t>
      </w:r>
      <w:r w:rsidRPr="00DA4CEC">
        <w:t xml:space="preserve"> were utilized when the same inoc</w:t>
      </w:r>
      <w:r w:rsidR="0011150E" w:rsidRPr="00DA4CEC">
        <w:t>u</w:t>
      </w:r>
      <w:r w:rsidRPr="00DA4CEC">
        <w:t>lum used whole sand patty organic matter or the DOM from dark controls, respectively.  However, when photo-solubilized DOM from sand patties was similarly assayed, a total of 114 µM O</w:t>
      </w:r>
      <w:r w:rsidRPr="00DA4CEC">
        <w:rPr>
          <w:vertAlign w:val="subscript"/>
        </w:rPr>
        <w:t>2</w:t>
      </w:r>
      <w:r w:rsidRPr="00DA4CEC">
        <w:t xml:space="preserve"> was utilized.   These findings attest to the increased susceptibility to aerobic biodegradation of the soluble organic matter formed upon exposure to solar radiation.</w:t>
      </w:r>
    </w:p>
    <w:p w14:paraId="7591DBE4" w14:textId="77777777" w:rsidR="00A94EF3" w:rsidRPr="00DA4CEC" w:rsidRDefault="00A94EF3" w:rsidP="00A94EF3">
      <w:pPr>
        <w:outlineLvl w:val="0"/>
        <w:rPr>
          <w:b/>
        </w:rPr>
      </w:pPr>
      <w:r w:rsidRPr="00DA4CEC">
        <w:rPr>
          <w:b/>
        </w:rPr>
        <w:t>Chemical Characterization of DOM Biodegradation</w:t>
      </w:r>
    </w:p>
    <w:p w14:paraId="77ADB4A2" w14:textId="77777777" w:rsidR="00A94EF3" w:rsidRPr="00DA4CEC" w:rsidRDefault="00A94EF3" w:rsidP="00A94EF3">
      <w:r w:rsidRPr="00DA4CEC">
        <w:tab/>
        <w:t xml:space="preserve">The nature of material leached from sand patties under both irradiated and dark conditions were furthered characterized by </w:t>
      </w:r>
      <w:r w:rsidRPr="00DA4CEC">
        <w:rPr>
          <w:szCs w:val="27"/>
        </w:rPr>
        <w:t>ultrahigh-resolution electrospray ionization Fourier transform ion cyclot</w:t>
      </w:r>
      <w:r w:rsidR="00BF545F" w:rsidRPr="00DA4CEC">
        <w:rPr>
          <w:szCs w:val="27"/>
        </w:rPr>
        <w:t>ron resonance mass spectrometry</w:t>
      </w:r>
      <w:r w:rsidRPr="00DA4CEC">
        <w:t xml:space="preserve"> as well as absorbance and fluorescence measurements commonly used to characterize DOM.</w:t>
      </w:r>
      <w:r w:rsidRPr="00DA4CEC">
        <w:fldChar w:fldCharType="begin" w:fldLock="1"/>
      </w:r>
      <w:r w:rsidR="000076A8" w:rsidRPr="00DA4CEC">
        <w:instrText>ADDIN CSL_CITATION { "citationItems" : [ { "id" : "ITEM-1", "itemData" : { "DOI" : "10.1016/j.ijms.2011.03.009", "ISSN" : "13873806", "abstract" : "Here, we present the Predator data station, a control system for FT-ICR mass spectrometers that champions speed and experimental flexibility while simultaneously providing stability, ease of use, and the ability to integrate more advanced hardware as it becomes available. The Predator is the first FT-ICR MS data station comprised solely of fast PCI, PXI, and yet faster PXI Express-based commercial data acquisition hardware. Increased data transfer speed is required because recorded transient data count increases linearly at higher magnetic field (higher measured frequency) with extended transient duration for FT-ICR MS instruments. The application of new cell designs with additional compensation voltages, experimental techniques to increase resolution, and experimental techniques that minimize/reject variations in ion abundance exemplify the scope of recent Predator data station implementations. When the above techniques are applied simultaneously, the results give rise to sub-30ppb rms mass error for 5250 assigned peaks in a petroleum FT-ICR mass spectrum. The Predator data station is designed for facile implementation with any FT-ICR MS instrument. The Predator hardware provides 17 analog voltage outputs and 18 digital TTL outputs synchronized to a single timing source. SWIFT, chirp, and single frequency excitation waveforms are generated by a 100MSample/s arbitrary waveform generator with a minimum 32MB of onboard memory and the potential of terabytes of virtual memory via first in-first out (FIFO) buffering. Transient detection is facilitated by a 2-channel, 100MSample/s digitizer with a minimum of 32MB of onboard memory per channel. FIFO buffering implementation allows TB transient collection as well. Commercial hardware, royalty-free software solutions, and commercially produced custom printed circuit boards (PCB) for the cell controller ensure open availability. The present data complement numerous extant publications: the Predator data station has been the sole data station for the National High Magnetic Field Laboratory (NHMFL) 9.4T FT-ICR MS instrument since July 2004, and several additional Predator data stations are in operation elsewhere.", "author" : [ { "dropping-particle" : "", "family" : "Blakney", "given" : "Greg T.", "non-dropping-particle" : "", "parse-names" : false, "suffix" : "" }, { "dropping-particle" : "", "family" : "Hendrickson", "given" : "Christopher L.", "non-dropping-particle" : "", "parse-names" : false, "suffix" : "" }, { "dropping-particle" : "", "family" : "Marshall", "given" : "Alan G.", "non-dropping-particle" : "", "parse-names" : false, "suffix" : "" } ], "container-title" : "International Journal of Mass Spectrometry", "id" : "ITEM-1", "issue" : "2", "issued" : { "date-parts" : [ [ "2011" ] ] }, "page" : "246-252", "title" : "Predator data station: A fast data acquisition system for advanced FT-ICR MS experiments", "type" : "article-journal", "volume" : "306" }, "uris" : [ "http://www.mendeley.com/documents/?uuid=019c717d-f068-3c44-af31-18d600857da6" ] }, { "id" : "ITEM-2", "itemData" : { "DOI" : "10.1007/s13361-011-0141-9", "ISSN" : "1044-0305", "author" : [ { "dropping-particle" : "", "family" : "Kaiser", "given" : "Nathan K.", "non-dropping-particle" : "", "parse-names" : false, "suffix" : "" }, { "dropping-particle" : "", "family" : "Quinn", "given" : "John P.", "non-dropping-particle" : "", "parse-names" : false, "suffix" : "" }, { "dropping-particle" : "", "family" : "Blakney", "given" : "Gregory T.", "non-dropping-particle" : "", "parse-names" : false, "suffix" : "" }, { "dropping-particle" : "", "family" : "Hendrickson", "given" : "Christopher L.", "non-dropping-particle" : "", "parse-names" : false, "suffix" : "" }, { "dropping-particle" : "", "family" : "Marshall", "given" : "Alan G.", "non-dropping-particle" : "", "parse-names" : false, "suffix" : "" } ], "container-title" : "Journal of The American Society for Mass Spectrometry", "id" : "ITEM-2", "issue" : "8", "issued" : { "date-parts" : [ [ "2011", "8", "5" ] ] }, "page" : "1343-1351", "publisher" : "Springer-Verlag", "title" : "A Novel 9.4 Tesla FTICR Mass Spectrometer with Improved Sensitivity, Mass Resolution, and Mass Range", "type" : "article-journal", "volume" : "22" }, "uris" : [ "http://www.mendeley.com/documents/?uuid=a5463cc5-cd8f-38c2-90ca-8ebece59ac20" ] }, { "id" : "ITEM-3", "itemData" : { "author" : [ { "dropping-particle" : "", "family" : "Hansen", "given" : "Angela M.", "non-dropping-particle" : "", "parse-names" : false, "suffix" : "" }, { "dropping-particle" : "", "family" : "Kraus", "given" : "Tamara E.C.", "non-dropping-particle" : "", "parse-names" : false, "suffix" : "" }, { "dropping-particle" : "", "family" : "Pellerin", "given" : "Brian A.", "non-dropping-particle" : "", "parse-names" : false, "suffix" : "" }, { "dropping-particle" : "", "family" : "Fleck", "given" : "Jacob A.", "non-dropping-particle" : "", "parse-names" : false, "suffix" : "" }, { "dropping-particle" : "", "family" : "Downing", "given" : "Bryan D.", "non-dropping-particle" : "", "parse-names" : false, "suffix" : "" }, { "dropping-particle" : "", "family" : "Bergamaschi", "given" : "Brian A.", "non-dropping-particle" : "", "parse-names" : false, "suffix" : "" } ], "container-title" : "Limnology and OCeanography", "id" : "ITEM-3", "issued" : { "date-parts" : [ [ "2016" ] ] }, "page" : "1015-1032", "title" : "Optical properties of dissolved organic matter - Effects of biological and photolytic degradation.pdf", "type" : "article-journal", "volume" : "61" }, "uris" : [ "http://www.mendeley.com/documents/?uuid=c7e49ea5-2a8f-4c4e-9dab-f15e82957708" ] } ], "mendeley" : { "formattedCitation" : "&lt;sup&gt;38,39,43&lt;/sup&gt;", "plainTextFormattedCitation" : "38,39,43", "previouslyFormattedCitation" : "&lt;sup&gt;38,39,43&lt;/sup&gt;" }, "properties" : { "noteIndex" : 0 }, "schema" : "https://github.com/citation-style-language/schema/raw/master/csl-citation.json" }</w:instrText>
      </w:r>
      <w:r w:rsidRPr="00DA4CEC">
        <w:fldChar w:fldCharType="separate"/>
      </w:r>
      <w:r w:rsidR="000076A8" w:rsidRPr="00DA4CEC">
        <w:rPr>
          <w:noProof/>
          <w:vertAlign w:val="superscript"/>
        </w:rPr>
        <w:t>38,39,43</w:t>
      </w:r>
      <w:r w:rsidRPr="00DA4CEC">
        <w:fldChar w:fldCharType="end"/>
      </w:r>
      <w:r w:rsidRPr="00DA4CEC">
        <w:t xml:space="preserve"> The latter procedures are typically applied to soil, plant or algal organic matter, but </w:t>
      </w:r>
      <w:r w:rsidR="00642FEC" w:rsidRPr="00DA4CEC">
        <w:t xml:space="preserve">were </w:t>
      </w:r>
      <w:r w:rsidRPr="00DA4CEC">
        <w:t xml:space="preserve">used here to characterize the sand patty-derived DOM.  Clearly, the organic matter in sand patties differs markedly from typical sources of DOM, so the values derived from fluorescence and optical measurements are likely to be somewhat unconventional; </w:t>
      </w:r>
      <w:r w:rsidR="00642FEC" w:rsidRPr="00DA4CEC">
        <w:t>however</w:t>
      </w:r>
      <w:r w:rsidRPr="00DA4CEC">
        <w:t xml:space="preserve">, the </w:t>
      </w:r>
      <w:r w:rsidRPr="00DA4CEC">
        <w:lastRenderedPageBreak/>
        <w:t>relative changes in the values following phototransformation and biodegradation can be interpreted in a comparable manner</w:t>
      </w:r>
      <w:r w:rsidR="00642FEC" w:rsidRPr="00DA4CEC">
        <w:t xml:space="preserve"> as for other types of DOM</w:t>
      </w:r>
      <w:r w:rsidRPr="00DA4CEC">
        <w:t xml:space="preserve">. </w:t>
      </w:r>
    </w:p>
    <w:p w14:paraId="5DF79FF7" w14:textId="77777777" w:rsidR="00A94EF3" w:rsidRPr="00DA4CEC" w:rsidRDefault="00863D6C" w:rsidP="00A94EF3">
      <w:pPr>
        <w:rPr>
          <w:szCs w:val="27"/>
        </w:rPr>
      </w:pPr>
      <w:r w:rsidRPr="00DA4CEC">
        <w:tab/>
      </w:r>
      <w:r w:rsidR="00A94EF3" w:rsidRPr="00DA4CEC">
        <w:rPr>
          <w:b/>
        </w:rPr>
        <w:t>Mass Spectrometry</w:t>
      </w:r>
      <w:r w:rsidR="00A94EF3" w:rsidRPr="00DA4CEC">
        <w:t xml:space="preserve">:  </w:t>
      </w:r>
      <w:r w:rsidR="00A94EF3" w:rsidRPr="00DA4CEC">
        <w:rPr>
          <w:szCs w:val="20"/>
        </w:rPr>
        <w:t>Van Krevelen plots of the mass spect</w:t>
      </w:r>
      <w:r w:rsidR="00642FEC" w:rsidRPr="00DA4CEC">
        <w:rPr>
          <w:szCs w:val="20"/>
        </w:rPr>
        <w:t>ral data (Supplemental Figure S1</w:t>
      </w:r>
      <w:r w:rsidR="00A94EF3" w:rsidRPr="00DA4CEC">
        <w:rPr>
          <w:szCs w:val="20"/>
        </w:rPr>
        <w:t xml:space="preserve">) show a vast array of chemical features representing DOM with a diverse range of </w:t>
      </w:r>
      <w:r w:rsidR="00642FEC" w:rsidRPr="00DA4CEC">
        <w:rPr>
          <w:szCs w:val="20"/>
        </w:rPr>
        <w:t>oxygen to carbon (</w:t>
      </w:r>
      <w:r w:rsidR="00A94EF3" w:rsidRPr="00DA4CEC">
        <w:t>O/C</w:t>
      </w:r>
      <w:r w:rsidR="00642FEC" w:rsidRPr="00DA4CEC">
        <w:t>)</w:t>
      </w:r>
      <w:r w:rsidR="00A94EF3" w:rsidRPr="00DA4CEC">
        <w:t xml:space="preserve"> and</w:t>
      </w:r>
      <w:r w:rsidR="00642FEC" w:rsidRPr="00DA4CEC">
        <w:t xml:space="preserve"> hydrogen to carbon</w:t>
      </w:r>
      <w:r w:rsidR="00A94EF3" w:rsidRPr="00DA4CEC">
        <w:t xml:space="preserve"> </w:t>
      </w:r>
      <w:r w:rsidR="00642FEC" w:rsidRPr="00DA4CEC">
        <w:t>(</w:t>
      </w:r>
      <w:r w:rsidR="00A94EF3" w:rsidRPr="00DA4CEC">
        <w:t>H/C</w:t>
      </w:r>
      <w:r w:rsidR="00642FEC" w:rsidRPr="00DA4CEC">
        <w:t>)</w:t>
      </w:r>
      <w:r w:rsidR="00A94EF3" w:rsidRPr="00DA4CEC">
        <w:t xml:space="preserve"> ratios </w:t>
      </w:r>
      <w:r w:rsidR="00A94EF3" w:rsidRPr="00DA4CEC">
        <w:rPr>
          <w:szCs w:val="20"/>
        </w:rPr>
        <w:t>leached from the sand patties under both irradiated and dark conditions.  However, this analysis does not allow for ready comparison of the qualitative (or quantitative) nature of the leached DOM.  More revealing are Van Krevelen difference plots</w:t>
      </w:r>
      <w:r w:rsidR="00A94EF3" w:rsidRPr="00DA4CEC">
        <w:rPr>
          <w:szCs w:val="27"/>
        </w:rPr>
        <w:t xml:space="preserve"> that remove chemical features that were common to and persisted over the course of the biodegradation experiment (Figure 4).  That is, Fig. 4A and 4C</w:t>
      </w:r>
      <w:r w:rsidR="00642FEC" w:rsidRPr="00DA4CEC">
        <w:rPr>
          <w:szCs w:val="27"/>
        </w:rPr>
        <w:t xml:space="preserve"> </w:t>
      </w:r>
      <w:r w:rsidR="00A94EF3" w:rsidRPr="00DA4CEC">
        <w:rPr>
          <w:szCs w:val="27"/>
        </w:rPr>
        <w:t xml:space="preserve">emphasize the chemical features that were altered during the aerobic biodegradation experiment using the DOM </w:t>
      </w:r>
      <w:r w:rsidR="00642FEC" w:rsidRPr="00DA4CEC">
        <w:rPr>
          <w:szCs w:val="27"/>
        </w:rPr>
        <w:t>released to the seawater</w:t>
      </w:r>
      <w:r w:rsidR="00A94EF3" w:rsidRPr="00DA4CEC">
        <w:rPr>
          <w:szCs w:val="27"/>
        </w:rPr>
        <w:t xml:space="preserve"> dark and irradiated conditions, respectively.  Simil</w:t>
      </w:r>
      <w:r w:rsidR="00642FEC" w:rsidRPr="00DA4CEC">
        <w:rPr>
          <w:szCs w:val="27"/>
        </w:rPr>
        <w:t>arly, Fig. 4B and 4D</w:t>
      </w:r>
      <w:r w:rsidR="00A94EF3" w:rsidRPr="00DA4CEC">
        <w:rPr>
          <w:szCs w:val="27"/>
        </w:rPr>
        <w:t xml:space="preserve"> highlight chemical features that were newly formed during the course of the biodegradation experiment.  </w:t>
      </w:r>
    </w:p>
    <w:p w14:paraId="7FC09CF8" w14:textId="77777777" w:rsidR="00A94EF3" w:rsidRPr="00DA4CEC" w:rsidDel="00BD4C8A" w:rsidRDefault="00642FEC" w:rsidP="00A94EF3">
      <w:r w:rsidRPr="00DA4CEC">
        <w:rPr>
          <w:szCs w:val="27"/>
        </w:rPr>
        <w:tab/>
        <w:t>The comparison of Figures 4A and 4C reveal that prior to</w:t>
      </w:r>
      <w:r w:rsidR="00A94EF3" w:rsidRPr="00DA4CEC">
        <w:rPr>
          <w:szCs w:val="27"/>
        </w:rPr>
        <w:t xml:space="preserve"> biodegradation</w:t>
      </w:r>
      <w:r w:rsidRPr="00DA4CEC">
        <w:rPr>
          <w:szCs w:val="27"/>
        </w:rPr>
        <w:t>,</w:t>
      </w:r>
      <w:r w:rsidR="00A94EF3" w:rsidRPr="00DA4CEC">
        <w:rPr>
          <w:szCs w:val="27"/>
        </w:rPr>
        <w:t xml:space="preserve"> the DOM in the </w:t>
      </w:r>
      <w:r w:rsidR="00A94EF3" w:rsidRPr="00DA4CEC">
        <w:t xml:space="preserve">irradiated samples had more chemical features and more diverse chemical constituents that exhibited a wider range of both </w:t>
      </w:r>
      <w:r w:rsidR="00A94EF3" w:rsidRPr="00DA4CEC">
        <w:rPr>
          <w:szCs w:val="20"/>
        </w:rPr>
        <w:t xml:space="preserve">H/C and O/C ratios.  </w:t>
      </w:r>
      <w:r w:rsidR="00A94EF3" w:rsidRPr="00DA4CEC">
        <w:t>Chemical features with low H/C tend to be removed through photochemical processes, while microbial transformation activities remove features with high H/C.   In both cases, the general trend is for the transformation products to be shifted toward the center of the plot and relatively high O/C values.</w:t>
      </w:r>
      <w:r w:rsidR="00A94EF3" w:rsidRPr="00DA4CEC">
        <w:tab/>
      </w:r>
    </w:p>
    <w:p w14:paraId="1B52D8EC" w14:textId="77777777" w:rsidR="00A94EF3" w:rsidRPr="00DA4CEC" w:rsidRDefault="00A94EF3" w:rsidP="00A94EF3">
      <w:r w:rsidRPr="00DA4CEC">
        <w:tab/>
        <w:t xml:space="preserve">However, there is only a 24% degree of similarity between the plots depicted in Figure 4A and 4C.  </w:t>
      </w:r>
      <w:r w:rsidRPr="00DA4CEC">
        <w:rPr>
          <w:szCs w:val="20"/>
        </w:rPr>
        <w:t xml:space="preserve">Thus, the DOM leached from the sand patty </w:t>
      </w:r>
      <w:r w:rsidR="00642FEC" w:rsidRPr="00DA4CEC">
        <w:rPr>
          <w:szCs w:val="20"/>
        </w:rPr>
        <w:t>into seawater</w:t>
      </w:r>
      <w:r w:rsidRPr="00DA4CEC">
        <w:rPr>
          <w:szCs w:val="20"/>
        </w:rPr>
        <w:t xml:space="preserve"> </w:t>
      </w:r>
      <w:r w:rsidR="00642FEC" w:rsidRPr="00DA4CEC">
        <w:rPr>
          <w:szCs w:val="20"/>
        </w:rPr>
        <w:t xml:space="preserve">in </w:t>
      </w:r>
      <w:r w:rsidRPr="00DA4CEC">
        <w:rPr>
          <w:szCs w:val="20"/>
        </w:rPr>
        <w:t xml:space="preserve">the </w:t>
      </w:r>
      <w:r w:rsidRPr="00DA4CEC">
        <w:rPr>
          <w:szCs w:val="20"/>
        </w:rPr>
        <w:lastRenderedPageBreak/>
        <w:t xml:space="preserve">dark and the light are fundamentally different.   </w:t>
      </w:r>
      <w:r w:rsidRPr="00DA4CEC">
        <w:t>The greater tendency toward higher O/C r</w:t>
      </w:r>
      <w:r w:rsidR="00642FEC" w:rsidRPr="00DA4CEC">
        <w:t>atios in the irradiated samples</w:t>
      </w:r>
      <w:r w:rsidRPr="00DA4CEC">
        <w:t xml:space="preserve"> indicates that photooxidation results in the generation of more oxidized compounds from the sand patties that may then partition to the seawater. </w:t>
      </w:r>
      <w:r w:rsidR="00642FEC" w:rsidRPr="00DA4CEC">
        <w:t>This observation is in agreement with previous reports.</w:t>
      </w:r>
      <w:r w:rsidR="00642FEC" w:rsidRPr="00DA4CEC">
        <w:fldChar w:fldCharType="begin" w:fldLock="1"/>
      </w:r>
      <w:r w:rsidR="00642FEC" w:rsidRPr="00DA4CEC">
        <w:instrText>ADDIN CSL_CITATION { "citationItems" : [ { "id" : "ITEM-1", "itemData" : { "DOI" : "10.1016/j.jhazmat.2014.08.059", "ISSN" : "0304-3894", "author" : [ { "dropping-particle" : "", "family" : "Ray", "given" : "Phoebe Z", "non-dropping-particle" : "", "parse-names" : false, "suffix" : "" }, { "dropping-particle" : "", "family" : "Chen", "given" : "Huan", "non-dropping-particle" : "", "parse-names" : false, "suffix" : "" }, { "dropping-particle" : "", "family" : "Podgorski", "given" : "David C", "non-dropping-particle" : "", "parse-names" : false, "suffix" : "" }, { "dropping-particle" : "", "family" : "Mckenna", "given" : "Amy M", "non-dropping-particle" : "", "parse-names" : false, "suffix" : "" }, { "dropping-particle" : "", "family" : "Tarr", "given" : "Matthew A", "non-dropping-particle" : "", "parse-names" : false, "suffix" : "" } ], "container-title" : "Journal of Hazardous Materials", "id" : "ITEM-1", "issued" : { "date-parts" : [ [ "2014" ] ] }, "page" : "636-643", "publisher" : "Elsevier B.V.", "title" : "Sunlight creates oxygenated species in water-soluble fractions of Deepwater horizon oil", "type" : "article-journal", "volume" : "280" }, "uris" : [ "http://www.mendeley.com/documents/?uuid=56a02569-1afe-4a98-825e-db40f756882b" ] } ], "mendeley" : { "formattedCitation" : "&lt;sup&gt;24&lt;/sup&gt;", "plainTextFormattedCitation" : "24" }, "properties" : { "noteIndex" : 0 }, "schema" : "https://github.com/citation-style-language/schema/raw/master/csl-citation.json" }</w:instrText>
      </w:r>
      <w:r w:rsidR="00642FEC" w:rsidRPr="00DA4CEC">
        <w:fldChar w:fldCharType="separate"/>
      </w:r>
      <w:r w:rsidR="00642FEC" w:rsidRPr="00DA4CEC">
        <w:rPr>
          <w:noProof/>
          <w:vertAlign w:val="superscript"/>
        </w:rPr>
        <w:t>24</w:t>
      </w:r>
      <w:r w:rsidR="00642FEC" w:rsidRPr="00DA4CEC">
        <w:fldChar w:fldCharType="end"/>
      </w:r>
    </w:p>
    <w:p w14:paraId="54588EE7" w14:textId="77777777" w:rsidR="00A94EF3" w:rsidRPr="00DA4CEC" w:rsidRDefault="00A94EF3" w:rsidP="00A94EF3">
      <w:pPr>
        <w:rPr>
          <w:szCs w:val="20"/>
        </w:rPr>
      </w:pPr>
      <w:r w:rsidRPr="00DA4CEC">
        <w:tab/>
        <w:t>The relative differences in the DOM formed in both the dark and irradiated samples are also evident at the end of the biodegradation experiment (Fig. 4).   A</w:t>
      </w:r>
      <w:r w:rsidR="00642FEC" w:rsidRPr="00DA4CEC">
        <w:t xml:space="preserve"> comparison of Figure 4B and 4D</w:t>
      </w:r>
      <w:r w:rsidRPr="00DA4CEC">
        <w:t xml:space="preserve"> reveal that a greater number and diversity of chemical features were formed in incubations receiving dark DOM.  These intermediates exhibited a wide range in both the </w:t>
      </w:r>
      <w:r w:rsidRPr="00DA4CEC">
        <w:rPr>
          <w:szCs w:val="20"/>
        </w:rPr>
        <w:t>H/C and O/C ratios, but a greater tendency for the production of less oxidized and more saturated constituents.  In contrast, the intermediate constituents formed in the biodegradation experim</w:t>
      </w:r>
      <w:r w:rsidR="00642FEC" w:rsidRPr="00DA4CEC">
        <w:rPr>
          <w:szCs w:val="20"/>
        </w:rPr>
        <w:t>ent amended with irradiated DOM</w:t>
      </w:r>
      <w:r w:rsidRPr="00DA4CEC">
        <w:rPr>
          <w:szCs w:val="20"/>
        </w:rPr>
        <w:t xml:space="preserve"> was less diverse and relatively more oxidized.  Presumably the fewer and more oxidized constituents reflect that fact that more of the DOM was in a relatively more advanced state of decomposition and/or completely mineralized.  These findings are consistent with the oxygen respiration data and further suggest that the irradiated DOM was more amenable to biodegradation and complete mineralization.</w:t>
      </w:r>
    </w:p>
    <w:p w14:paraId="646F2475" w14:textId="77777777" w:rsidR="00A94EF3" w:rsidRPr="00DA4CEC" w:rsidRDefault="00863D6C" w:rsidP="00A94EF3">
      <w:r w:rsidRPr="00DA4CEC">
        <w:rPr>
          <w:szCs w:val="20"/>
        </w:rPr>
        <w:tab/>
      </w:r>
      <w:r w:rsidR="00A94EF3" w:rsidRPr="00DA4CEC">
        <w:rPr>
          <w:b/>
        </w:rPr>
        <w:t>Characterization of DOM</w:t>
      </w:r>
      <w:r w:rsidR="00A94EF3" w:rsidRPr="00DA4CEC">
        <w:t xml:space="preserve"> </w:t>
      </w:r>
      <w:r w:rsidR="00A94EF3" w:rsidRPr="00DA4CEC">
        <w:rPr>
          <w:b/>
        </w:rPr>
        <w:t>Optical Properties</w:t>
      </w:r>
      <w:r w:rsidR="00A94EF3" w:rsidRPr="00DA4CEC">
        <w:t xml:space="preserve">:  The DOM concentration, slope ratio, humification index, and freshness index </w:t>
      </w:r>
      <w:r w:rsidR="001D0323" w:rsidRPr="00DA4CEC">
        <w:t xml:space="preserve">was </w:t>
      </w:r>
      <w:r w:rsidR="00A94EF3" w:rsidRPr="00DA4CEC">
        <w:t>determined for each sample at the beginning (T</w:t>
      </w:r>
      <w:r w:rsidR="00A94EF3" w:rsidRPr="00DA4CEC">
        <w:rPr>
          <w:vertAlign w:val="subscript"/>
        </w:rPr>
        <w:t>0</w:t>
      </w:r>
      <w:r w:rsidR="00A94EF3" w:rsidRPr="00DA4CEC">
        <w:t>) and end (T</w:t>
      </w:r>
      <w:r w:rsidR="00A94EF3" w:rsidRPr="00DA4CEC">
        <w:rPr>
          <w:vertAlign w:val="subscript"/>
        </w:rPr>
        <w:t>Final</w:t>
      </w:r>
      <w:r w:rsidR="00A94EF3" w:rsidRPr="00DA4CEC">
        <w:t>) of the biodegradation experiment is shown in Figure 5.  A marked increase in DOM material leached from the sand patties after exposure to simulated sunlight was observed relative to those kept in the dark; an indication that photooxidation enhances the formation of water-soluble organic components from the weathered oil residuum as previously suggested.</w:t>
      </w:r>
      <w:r w:rsidR="00A94EF3" w:rsidRPr="00DA4CEC">
        <w:fldChar w:fldCharType="begin" w:fldLock="1"/>
      </w:r>
      <w:r w:rsidR="00D34B4F" w:rsidRPr="00DA4CEC">
        <w:instrText>ADDIN CSL_CITATION { "citationItems" : [ { "id" : "ITEM-1", "itemData" : { "DOI" : "10.1016/j.jhazmat.2014.08.059", "ISSN" : "0304-3894", "author" : [ { "dropping-particle" : "", "family" : "Ray", "given" : "Phoebe Z", "non-dropping-particle" : "", "parse-names" : false, "suffix" : "" }, { "dropping-particle" : "", "family" : "Chen", "given" : "Huan", "non-dropping-particle" : "", "parse-names" : false, "suffix" : "" }, { "dropping-particle" : "", "family" : "Podgorski", "given" : "David C", "non-dropping-particle" : "", "parse-names" : false, "suffix" : "" }, { "dropping-particle" : "", "family" : "Mckenna", "given" : "Amy M", "non-dropping-particle" : "", "parse-names" : false, "suffix" : "" }, { "dropping-particle" : "", "family" : "Tarr", "given" : "Matthew A", "non-dropping-particle" : "", "parse-names" : false, "suffix" : "" } ], "container-title" : "Journal of Hazardous Materials", "id" : "ITEM-1", "issued" : { "date-parts" : [ [ "2014" ] ] }, "page" : "636-643", "publisher" : "Elsevier B.V.", "title" : "Sunlight creates oxygenated species in water-soluble fractions of Deepwater horizon oil", "type" : "article-journal", "volume" : "280" }, "uris" : [ "http://www.mendeley.com/documents/?uuid=56a02569-1afe-4a98-825e-db40f756882b" ] } ], "mendeley" : { "formattedCitation" : "&lt;sup&gt;24&lt;/sup&gt;", "plainTextFormattedCitation" : "24", "previouslyFormattedCitation" : "&lt;sup&gt;24&lt;/sup&gt;" }, "properties" : { "noteIndex" : 0 }, "schema" : "https://github.com/citation-style-language/schema/raw/master/csl-citation.json" }</w:instrText>
      </w:r>
      <w:r w:rsidR="00A94EF3" w:rsidRPr="00DA4CEC">
        <w:fldChar w:fldCharType="separate"/>
      </w:r>
      <w:r w:rsidR="00D34B4F" w:rsidRPr="00DA4CEC">
        <w:rPr>
          <w:noProof/>
          <w:vertAlign w:val="superscript"/>
        </w:rPr>
        <w:t>24</w:t>
      </w:r>
      <w:r w:rsidR="00A94EF3" w:rsidRPr="00DA4CEC">
        <w:fldChar w:fldCharType="end"/>
      </w:r>
      <w:r w:rsidR="00A94EF3" w:rsidRPr="00DA4CEC">
        <w:t xml:space="preserve">  The fact that the DOM </w:t>
      </w:r>
      <w:r w:rsidR="004C18D0" w:rsidRPr="00DA4CEC">
        <w:t xml:space="preserve">content </w:t>
      </w:r>
      <w:r w:rsidR="00A94EF3" w:rsidRPr="00DA4CEC">
        <w:t xml:space="preserve">was </w:t>
      </w:r>
      <w:r w:rsidR="00A94EF3" w:rsidRPr="00DA4CEC">
        <w:lastRenderedPageBreak/>
        <w:t xml:space="preserve">significantly reduced by the end of the incubation </w:t>
      </w:r>
      <w:r w:rsidR="004C18D0" w:rsidRPr="00DA4CEC">
        <w:t>for</w:t>
      </w:r>
      <w:r w:rsidR="00A94EF3" w:rsidRPr="00DA4CEC">
        <w:t xml:space="preserve"> the dark and irradiated </w:t>
      </w:r>
      <w:r w:rsidR="004C18D0" w:rsidRPr="00DA4CEC">
        <w:t>samples</w:t>
      </w:r>
      <w:r w:rsidR="00A94EF3" w:rsidRPr="00DA4CEC">
        <w:t xml:space="preserve"> by 67% and 56%, respectively strongly suggests that the water-soluble organic material leached from sand patties </w:t>
      </w:r>
      <w:r w:rsidR="004C18D0" w:rsidRPr="00DA4CEC">
        <w:t>was</w:t>
      </w:r>
      <w:r w:rsidR="00A94EF3" w:rsidRPr="00DA4CEC">
        <w:t xml:space="preserve"> available to the resident microflora and amenable to biodegradation.</w:t>
      </w:r>
    </w:p>
    <w:p w14:paraId="16D695F7" w14:textId="77777777" w:rsidR="00A94EF3" w:rsidRPr="00DA4CEC" w:rsidRDefault="00A94EF3" w:rsidP="00A94EF3">
      <w:r w:rsidRPr="00DA4CEC">
        <w:tab/>
        <w:t>The amount of DOM in the endogenous incubation at either T</w:t>
      </w:r>
      <w:r w:rsidRPr="00DA4CEC">
        <w:rPr>
          <w:vertAlign w:val="subscript"/>
        </w:rPr>
        <w:t>0</w:t>
      </w:r>
      <w:r w:rsidRPr="00DA4CEC">
        <w:t xml:space="preserve"> or T</w:t>
      </w:r>
      <w:r w:rsidRPr="00DA4CEC">
        <w:rPr>
          <w:vertAlign w:val="subscript"/>
        </w:rPr>
        <w:t>Final</w:t>
      </w:r>
      <w:r w:rsidRPr="00DA4CEC">
        <w:t xml:space="preserve"> was only about a third and a fifth of that initially formed in the dark and irradiated samples, respectively.  This is not surprising since the endogenous sample did not contain sand patty material.  The lack of a substantive change in DOM at such low concentrations over the course of the experiment suggests that the determination is too insensitive an indicator when losses due to aerobic respiration (Fig. 5</w:t>
      </w:r>
      <w:r w:rsidR="004C18D0" w:rsidRPr="00DA4CEC">
        <w:t>A</w:t>
      </w:r>
      <w:r w:rsidRPr="00DA4CEC">
        <w:t>) are possibly offset by increases in microbial growth.  The DOM in the sterile incubation increased over the endogenous control following the intense heating during sterilization. The release of DOM from marine sediments following heating is not without precedence.</w:t>
      </w:r>
      <w:r w:rsidR="00BF545F" w:rsidRPr="00DA4CEC">
        <w:fldChar w:fldCharType="begin" w:fldLock="1"/>
      </w:r>
      <w:r w:rsidR="000076A8" w:rsidRPr="00DA4CEC">
        <w:instrText>ADDIN CSL_CITATION { "citationItems" : [ { "id" : "ITEM-1", "itemData" : { "DOI" : "10.1038/371410a0", "ISBN" : "0028-0836", "ISSN" : "0028-0836", "PMID" : "632", "abstract" : "Deep-sea sediments become apparently more hostile to life with increasing depth as temperature and pressure rise, and organic matter becomes increasingly recalcitrant. Demonstrations of high bacterial populations in deep sediments1,2 may thus appear enigmatic. How, then, can the continued presence of active bacterial populations in deep sediments that are over 10 million years old be explained? Although volatile fatty acids, particularly acetate, are important intermediates in the anaerobic degradation of organic matter3,4, their concentrations are kept very low in sediments (&lt;15 microM) by rapid bacterial consumption5,6. Here we show that heating surface coastal marine sediments to simulate increasing temperature during burial produces an increase of over three orders of magnitude in acetate concentration and increases bacterial activity. We found that pore-water acetate concentration at two sites in the Atlantic Ocean increased at depths below about 150 m and was associated with a significant stimulation in bacterial activity. Comparing these acetate concentrations to in situ temperatures confirmed that there was a notable generation of acetate associated with temperature increases during burial. This was supported by heating experiments with deep sediments. Thus, acetate generation from organic matter during burial may explain the presence of a deep bacterial biosphere in marine sediments, and could underpin an even deeper and hotter biosphere than has previously been considered.", "author" : [ { "dropping-particle" : "", "family" : "Wellsbury", "given" : "Peter", "non-dropping-particle" : "", "parse-names" : false, "suffix" : "" }, { "dropping-particle" : "", "family" : "Goodman", "given" : "Kim", "non-dropping-particle" : "", "parse-names" : false, "suffix" : "" }, { "dropping-particle" : "", "family" : "Barth", "given" : "Tanja", "non-dropping-particle" : "", "parse-names" : false, "suffix" : "" }, { "dropping-particle" : "", "family" : "Cragg", "given" : "Barry A", "non-dropping-particle" : "", "parse-names" : false, "suffix" : "" }, { "dropping-particle" : "", "family" : "Barnes", "given" : "Stephen P", "non-dropping-particle" : "", "parse-names" : false, "suffix" : "" }, { "dropping-particle" : "", "family" : "Parkes", "given" : "R John", "non-dropping-particle" : "", "parse-names" : false, "suffix" : "" } ], "container-title" : "Nature", "id" : "ITEM-1", "issue" : "August", "issued" : { "date-parts" : [ [ "1997" ] ] }, "page" : "573-576", "title" : "Deep marine biosphere fuelled by increasing organic matter availability during burial and heating", "type" : "article-journal", "volume" : "388" }, "uris" : [ "http://www.mendeley.com/documents/?uuid=99515037-589b-4868-a714-bad3bbfebf55" ] } ], "mendeley" : { "formattedCitation" : "&lt;sup&gt;44&lt;/sup&gt;", "plainTextFormattedCitation" : "44", "previouslyFormattedCitation" : "&lt;sup&gt;44&lt;/sup&gt;" }, "properties" : { "noteIndex" : 0 }, "schema" : "https://github.com/citation-style-language/schema/raw/master/csl-citation.json" }</w:instrText>
      </w:r>
      <w:r w:rsidR="00BF545F" w:rsidRPr="00DA4CEC">
        <w:fldChar w:fldCharType="separate"/>
      </w:r>
      <w:r w:rsidR="000076A8" w:rsidRPr="00DA4CEC">
        <w:rPr>
          <w:noProof/>
          <w:vertAlign w:val="superscript"/>
        </w:rPr>
        <w:t>44</w:t>
      </w:r>
      <w:r w:rsidR="00BF545F" w:rsidRPr="00DA4CEC">
        <w:fldChar w:fldCharType="end"/>
      </w:r>
      <w:r w:rsidRPr="00DA4CEC">
        <w:t xml:space="preserve"> However, such extreme heating has no substantive environmental relevance in coastal marine sediments and is included here for comparative purposes, but this treatment is only interpretationally useful for other DOM characterization efforts.  Collectively, the findings are significant in the context of the ultimate fate of petroleum hydrocarbons in the environment.  They suggest that the already partially oxidized sand patty constituents can continuously release water-soluble and biodegradable organic constituents to the surrounding environment by wave action during the day and at night.  However, solar irradiation further oxidizes the sand patty constituents, alters the quality of the organic matter leached to the surroundings and increases its propensity to undergo aerobic attack. </w:t>
      </w:r>
    </w:p>
    <w:p w14:paraId="4143E911" w14:textId="77777777" w:rsidR="00A94EF3" w:rsidRPr="00DA4CEC" w:rsidRDefault="004C18D0" w:rsidP="00A94EF3">
      <w:r w:rsidRPr="00DA4CEC">
        <w:lastRenderedPageBreak/>
        <w:tab/>
        <w:t>The nature of DOM</w:t>
      </w:r>
      <w:r w:rsidR="00A94EF3" w:rsidRPr="00DA4CEC">
        <w:t xml:space="preserve"> at the beginning and end of the biodegradation experiment were further characterized by the changes in spectral properties as previously detailed by Hansen et. al., 2016.</w:t>
      </w:r>
      <w:r w:rsidR="00A94EF3" w:rsidRPr="00DA4CEC">
        <w:rPr>
          <w:vertAlign w:val="superscript"/>
        </w:rPr>
        <w:t>43</w:t>
      </w:r>
      <w:r w:rsidR="00A94EF3" w:rsidRPr="00DA4CEC">
        <w:t xml:space="preserve">  The spectral slope (S</w:t>
      </w:r>
      <w:r w:rsidR="00A94EF3" w:rsidRPr="00DA4CEC">
        <w:rPr>
          <w:vertAlign w:val="subscript"/>
        </w:rPr>
        <w:t>275-295</w:t>
      </w:r>
      <w:r w:rsidR="00A94EF3" w:rsidRPr="00DA4CEC">
        <w:t>; S</w:t>
      </w:r>
      <w:r w:rsidR="00A94EF3" w:rsidRPr="00DA4CEC">
        <w:rPr>
          <w:vertAlign w:val="subscript"/>
        </w:rPr>
        <w:t>350-400</w:t>
      </w:r>
      <w:r w:rsidR="00A94EF3" w:rsidRPr="00DA4CEC">
        <w:t>) was calculated by applying a nonlinear fit of an exponential function to an absorbance spectrum in the range of 275-295 nm (Fig. 5B) and 350-400 nm (Fig. 5C) and the spectral slope ratio (S</w:t>
      </w:r>
      <w:r w:rsidR="00A94EF3" w:rsidRPr="00DA4CEC">
        <w:rPr>
          <w:vertAlign w:val="subscript"/>
        </w:rPr>
        <w:t>R</w:t>
      </w:r>
      <w:r w:rsidRPr="00DA4CEC">
        <w:t>) was</w:t>
      </w:r>
      <w:r w:rsidR="00A94EF3" w:rsidRPr="00DA4CEC">
        <w:t xml:space="preserve"> calculated as the ratio of S</w:t>
      </w:r>
      <w:r w:rsidR="00A94EF3" w:rsidRPr="00DA4CEC">
        <w:rPr>
          <w:vertAlign w:val="subscript"/>
        </w:rPr>
        <w:t xml:space="preserve">275-295 </w:t>
      </w:r>
      <w:r w:rsidR="00A94EF3" w:rsidRPr="00DA4CEC">
        <w:t>to S</w:t>
      </w:r>
      <w:r w:rsidR="00A94EF3" w:rsidRPr="00DA4CEC">
        <w:rPr>
          <w:vertAlign w:val="subscript"/>
        </w:rPr>
        <w:t>350-400</w:t>
      </w:r>
      <w:r w:rsidR="00A94EF3" w:rsidRPr="00DA4CEC">
        <w:t xml:space="preserve"> (Fig 5D).</w:t>
      </w:r>
      <w:r w:rsidR="00A94EF3" w:rsidRPr="00DA4CEC">
        <w:fldChar w:fldCharType="begin" w:fldLock="1"/>
      </w:r>
      <w:r w:rsidR="000076A8" w:rsidRPr="00DA4CEC">
        <w:instrText>ADDIN CSL_CITATION { "citationItems" : [ { "id" : "ITEM-1", "itemData" : { "DOI" : "10.4319/lo.2008.53.3.0955", "ISSN" : "00243590", "author" : [ { "dropping-particle" : "", "family" : "Helms", "given" : "John R.", "non-dropping-particle" : "", "parse-names" : false, "suffix" : "" }, { "dropping-particle" : "", "family" : "Stubbins", "given" : "Aron", "non-dropping-particle" : "", "parse-names" : false, "suffix" : "" }, { "dropping-particle" : "", "family" : "Ritchie", "given" : "Jason D.", "non-dropping-particle" : "", "parse-names" : false, "suffix" : "" }, { "dropping-particle" : "", "family" : "Minor", "given" : "Elizabeth C.", "non-dropping-particle" : "", "parse-names" : false, "suffix" : "" }, { "dropping-particle" : "", "family" : "Kieber", "given" : "David J.", "non-dropping-particle" : "", "parse-names" : false, "suffix" : "" }, { "dropping-particle" : "", "family" : "Mopper", "given" : "Kenneth", "non-dropping-particle" : "", "parse-names" : false, "suffix" : "" } ], "container-title" : "Limnology and Oceanography", "id" : "ITEM-1", "issue" : "3", "issued" : { "date-parts" : [ [ "2008", "5" ] ] }, "page" : "955-969", "title" : "Absorption spectral slopes and slope ratios as indicators of molecular weight, source, and photobleaching of chromophoric dissolved organic matter", "type" : "article-journal", "volume" : "53" }, "uris" : [ "http://www.mendeley.com/documents/?uuid=d3243289-dbff-32b7-a36d-ad91528bcb49" ] } ], "mendeley" : { "formattedCitation" : "&lt;sup&gt;45&lt;/sup&gt;", "plainTextFormattedCitation" : "45", "previouslyFormattedCitation" : "&lt;sup&gt;45&lt;/sup&gt;" }, "properties" : { "noteIndex" : 0 }, "schema" : "https://github.com/citation-style-language/schema/raw/master/csl-citation.json" }</w:instrText>
      </w:r>
      <w:r w:rsidR="00A94EF3" w:rsidRPr="00DA4CEC">
        <w:fldChar w:fldCharType="separate"/>
      </w:r>
      <w:r w:rsidR="000076A8" w:rsidRPr="00DA4CEC">
        <w:rPr>
          <w:noProof/>
          <w:vertAlign w:val="superscript"/>
        </w:rPr>
        <w:t>45</w:t>
      </w:r>
      <w:r w:rsidR="00A94EF3" w:rsidRPr="00DA4CEC">
        <w:fldChar w:fldCharType="end"/>
      </w:r>
      <w:r w:rsidR="00A94EF3" w:rsidRPr="00DA4CEC">
        <w:t xml:space="preserve"> The three parameters were shown to correlate with the molecular weight, aromaticity and source of DOM and relative changes in these values can be attributed to photochemical and microbial degradation processes.</w:t>
      </w:r>
      <w:r w:rsidR="00A94EF3" w:rsidRPr="00DA4CEC">
        <w:fldChar w:fldCharType="begin" w:fldLock="1"/>
      </w:r>
      <w:r w:rsidR="000076A8" w:rsidRPr="00DA4CEC">
        <w:instrText>ADDIN CSL_CITATION { "citationItems" : [ { "id" : "ITEM-1", "itemData" : { "DOI" : "10.4319/lo.2008.53.3.0955", "ISSN" : "00243590", "author" : [ { "dropping-particle" : "", "family" : "Helms", "given" : "John R.", "non-dropping-particle" : "", "parse-names" : false, "suffix" : "" }, { "dropping-particle" : "", "family" : "Stubbins", "given" : "Aron", "non-dropping-particle" : "", "parse-names" : false, "suffix" : "" }, { "dropping-particle" : "", "family" : "Ritchie", "given" : "Jason D.", "non-dropping-particle" : "", "parse-names" : false, "suffix" : "" }, { "dropping-particle" : "", "family" : "Minor", "given" : "Elizabeth C.", "non-dropping-particle" : "", "parse-names" : false, "suffix" : "" }, { "dropping-particle" : "", "family" : "Kieber", "given" : "David J.", "non-dropping-particle" : "", "parse-names" : false, "suffix" : "" }, { "dropping-particle" : "", "family" : "Mopper", "given" : "Kenneth", "non-dropping-particle" : "", "parse-names" : false, "suffix" : "" } ], "container-title" : "Limnology and Oceanography", "id" : "ITEM-1", "issue" : "3", "issued" : { "date-parts" : [ [ "2008", "5" ] ] }, "page" : "955-969", "title" : "Absorption spectral slopes and slope ratios as indicators of molecular weight, source, and photobleaching of chromophoric dissolved organic matter", "type" : "article-journal", "volume" : "53" }, "uris" : [ "http://www.mendeley.com/documents/?uuid=d3243289-dbff-32b7-a36d-ad91528bcb49" ] } ], "mendeley" : { "formattedCitation" : "&lt;sup&gt;45&lt;/sup&gt;", "plainTextFormattedCitation" : "45", "previouslyFormattedCitation" : "&lt;sup&gt;45&lt;/sup&gt;" }, "properties" : { "noteIndex" : 0 }, "schema" : "https://github.com/citation-style-language/schema/raw/master/csl-citation.json" }</w:instrText>
      </w:r>
      <w:r w:rsidR="00A94EF3" w:rsidRPr="00DA4CEC">
        <w:fldChar w:fldCharType="separate"/>
      </w:r>
      <w:r w:rsidR="000076A8" w:rsidRPr="00DA4CEC">
        <w:rPr>
          <w:noProof/>
          <w:vertAlign w:val="superscript"/>
        </w:rPr>
        <w:t>45</w:t>
      </w:r>
      <w:r w:rsidR="00A94EF3" w:rsidRPr="00DA4CEC">
        <w:fldChar w:fldCharType="end"/>
      </w:r>
      <w:r w:rsidR="00A94EF3" w:rsidRPr="00DA4CEC">
        <w:t xml:space="preserve">  Basically, the increase in the slope ratio from 1.4 to 1.6 in the dark and irradiated samples, respectively indicates that more lower molecular weight constituents were photosolubilized </w:t>
      </w:r>
      <w:r w:rsidR="00456842" w:rsidRPr="00DA4CEC">
        <w:t xml:space="preserve">prior to </w:t>
      </w:r>
      <w:r w:rsidR="00A94EF3" w:rsidRPr="00DA4CEC">
        <w:t>the biodegradation experiment upon irradiation (Fig. 5D).  Figure 5 also shows that mean S</w:t>
      </w:r>
      <w:r w:rsidR="00A94EF3" w:rsidRPr="00DA4CEC">
        <w:rPr>
          <w:vertAlign w:val="subscript"/>
        </w:rPr>
        <w:t xml:space="preserve">275-295 </w:t>
      </w:r>
      <w:r w:rsidR="00A94EF3" w:rsidRPr="00DA4CEC">
        <w:t>and S</w:t>
      </w:r>
      <w:r w:rsidR="00A94EF3" w:rsidRPr="00DA4CEC">
        <w:rPr>
          <w:vertAlign w:val="subscript"/>
        </w:rPr>
        <w:t>R</w:t>
      </w:r>
      <w:r w:rsidR="00A94EF3" w:rsidRPr="00DA4CEC">
        <w:t xml:space="preserve"> values increase for the DOM produced from sand patty-amended incubations relative to the endogenous or sterile controls, particularly in replicates that were exposed to sunlight.  Relatively steep S</w:t>
      </w:r>
      <w:r w:rsidR="00A94EF3" w:rsidRPr="00DA4CEC">
        <w:rPr>
          <w:vertAlign w:val="subscript"/>
        </w:rPr>
        <w:t xml:space="preserve">275-295 </w:t>
      </w:r>
      <w:r w:rsidR="00A94EF3" w:rsidRPr="00DA4CEC">
        <w:t>and high S</w:t>
      </w:r>
      <w:r w:rsidR="00A94EF3" w:rsidRPr="00DA4CEC">
        <w:rPr>
          <w:vertAlign w:val="subscript"/>
        </w:rPr>
        <w:t>R</w:t>
      </w:r>
      <w:r w:rsidR="00A94EF3" w:rsidRPr="00DA4CEC">
        <w:t xml:space="preserve"> are related to a decrease in DOM molecular weight and aromaticity.</w:t>
      </w:r>
      <w:r w:rsidR="00A94EF3" w:rsidRPr="00DA4CEC">
        <w:fldChar w:fldCharType="begin" w:fldLock="1"/>
      </w:r>
      <w:r w:rsidR="000076A8" w:rsidRPr="00DA4CEC">
        <w:instrText>ADDIN CSL_CITATION { "citationItems" : [ { "id" : "ITEM-1", "itemData" : { "author" : [ { "dropping-particle" : "V", "family" : "Blough", "given" : "N", "non-dropping-particle" : "", "parse-names" : false, "suffix" : "" }, { "dropping-particle" : "", "family" : "Green", "given" : "S A", "non-dropping-particle" : "", "parse-names" : false, "suffix" : "" } ], "container-title" : "The Role of Non-living Organic Matter in the Earth's Carbon Cycle (RG Zepp and C. Sonntag, eds.), John Wiley &amp; Sons Ltd", "id" : "ITEM-1", "issued" : { "date-parts" : [ [ "1995" ] ] }, "page" : "23-45", "title" : "Spectroscopic characterization and remote sensing of non-living organic matter", "type" : "article-journal" }, "uris" : [ "http://www.mendeley.com/documents/?uuid=fc81d503-29f4-4b56-b767-6316be46e058" ] }, { "id" : "ITEM-2", "itemData" : { "DOI" : "10.4319/lo.2008.53.3.0955", "ISSN" : "00243590", "author" : [ { "dropping-particle" : "", "family" : "Helms", "given" : "John R.", "non-dropping-particle" : "", "parse-names" : false, "suffix" : "" }, { "dropping-particle" : "", "family" : "Stubbins", "given" : "Aron", "non-dropping-particle" : "", "parse-names" : false, "suffix" : "" }, { "dropping-particle" : "", "family" : "Ritchie", "given" : "Jason D.", "non-dropping-particle" : "", "parse-names" : false, "suffix" : "" }, { "dropping-particle" : "", "family" : "Minor", "given" : "Elizabeth C.", "non-dropping-particle" : "", "parse-names" : false, "suffix" : "" }, { "dropping-particle" : "", "family" : "Kieber", "given" : "David J.", "non-dropping-particle" : "", "parse-names" : false, "suffix" : "" }, { "dropping-particle" : "", "family" : "Mopper", "given" : "Kenneth", "non-dropping-particle" : "", "parse-names" : false, "suffix" : "" } ], "container-title" : "Limnology and Oceanography", "id" : "ITEM-2", "issue" : "3", "issued" : { "date-parts" : [ [ "2008", "5" ] ] }, "page" : "955-969", "title" : "Absorption spectral slopes and slope ratios as indicators of molecular weight, source, and photobleaching of chromophoric dissolved organic matter", "type" : "article-journal", "volume" : "53" }, "uris" : [ "http://www.mendeley.com/documents/?uuid=d3243289-dbff-32b7-a36d-ad91528bcb49" ] }, { "id" : "ITEM-3", "itemData" : { "DOI" : "10.1029/2009JG001180", "ISSN" : "0148-0227", "author" : [ { "dropping-particle" : "", "family" : "Spencer", "given" : "Robert G. M.", "non-dropping-particle" : "", "parse-names" : false, "suffix" : "" }, { "dropping-particle" : "", "family" : "Hernes", "given" : "Peter J.", "non-dropping-particle" : "", "parse-names" : false, "suffix" : "" }, { "dropping-particle" : "", "family" : "Ruf", "given" : "Rosmarie", "non-dropping-particle" : "", "parse-names" : false, "suffix" : "" }, { "dropping-particle" : "", "family" : "Baker", "given" : "Andy", "non-dropping-particle" : "", "parse-names" : false, "suffix" : "" }, { "dropping-particle" : "", "family" : "Dyda", "given" : "Rachael Y.", "non-dropping-particle" : "", "parse-names" : false, "suffix" : "" }, { "dropping-particle" : "", "family" : "Stubbins", "given" : "Aron", "non-dropping-particle" : "", "parse-names" : false, "suffix" : "" }, { "dropping-particle" : "", "family" : "Six", "given" : "Johan", "non-dropping-particle" : "", "parse-names" : false, "suffix" : "" } ], "container-title" : "Journal of Geophysical Research", "id" : "ITEM-3", "issue" : "G3", "issued" : { "date-parts" : [ [ "2010", "8", "6" ] ] }, "page" : "G03013", "title" : "Temporal controls on dissolved organic matter and lignin biogeochemistry in a pristine tropical river, Democratic Republic of Congo", "type" : "article-journal", "volume" : "115" }, "uris" : [ "http://www.mendeley.com/documents/?uuid=4025cb78-e5f8-3be4-bee6-49ca2999e7fc" ] }, { "id" : "ITEM-4", "itemData" : { "DOI" : "10.4319/lo.2011.56.6.2371", "ISSN" : "00243590", "author" : [ { "dropping-particle" : "", "family" : "Osburn", "given" : "Christopher L.", "non-dropping-particle" : "", "parse-names" : false, "suffix" : "" }, { "dropping-particle" : "", "family" : "Wigdahl", "given" : "Courtney R.", "non-dropping-particle" : "", "parse-names" : false, "suffix" : "" }, { "dropping-particle" : "", "family" : "Fritz", "given" : "Sherilyn C.", "non-dropping-particle" : "", "parse-names" : false, "suffix" : "" }, { "dropping-particle" : "", "family" : "Saros", "given" : "Jasmine E.", "non-dropping-particle" : "", "parse-names" : false, "suffix" : "" } ], "container-title" : "Limnology and Oceanography", "id" : "ITEM-4", "issue" : "6", "issued" : { "date-parts" : [ [ "2011", "11" ] ] }, "page" : "2371-2390", "title" : "Dissolved organic matter composition and photoreactivity in prairie lakes of the U.S. Great Plains", "type" : "article-journal", "volume" : "56" }, "uris" : [ "http://www.mendeley.com/documents/?uuid=e0064944-c280-35fb-a12f-ee32428696f3" ] } ], "mendeley" : { "formattedCitation" : "&lt;sup&gt;45\u201348&lt;/sup&gt;", "plainTextFormattedCitation" : "45\u201348", "previouslyFormattedCitation" : "&lt;sup&gt;45\u201348&lt;/sup&gt;" }, "properties" : { "noteIndex" : 0 }, "schema" : "https://github.com/citation-style-language/schema/raw/master/csl-citation.json" }</w:instrText>
      </w:r>
      <w:r w:rsidR="00A94EF3" w:rsidRPr="00DA4CEC">
        <w:fldChar w:fldCharType="separate"/>
      </w:r>
      <w:r w:rsidR="000076A8" w:rsidRPr="00DA4CEC">
        <w:rPr>
          <w:noProof/>
          <w:vertAlign w:val="superscript"/>
        </w:rPr>
        <w:t>45–48</w:t>
      </w:r>
      <w:r w:rsidR="00A94EF3" w:rsidRPr="00DA4CEC">
        <w:fldChar w:fldCharType="end"/>
      </w:r>
      <w:r w:rsidR="00A94EF3" w:rsidRPr="00DA4CEC">
        <w:t xml:space="preserve"> The compounds</w:t>
      </w:r>
      <w:r w:rsidR="00456842" w:rsidRPr="00DA4CEC">
        <w:t xml:space="preserve"> leached from the sand patties were</w:t>
      </w:r>
      <w:r w:rsidR="00A94EF3" w:rsidRPr="00DA4CEC">
        <w:t xml:space="preserve"> utilized by the resident microflora during the course of the biodegradation experiment as evidenced by an increase in S</w:t>
      </w:r>
      <w:r w:rsidR="00A94EF3" w:rsidRPr="00DA4CEC">
        <w:rPr>
          <w:vertAlign w:val="subscript"/>
        </w:rPr>
        <w:t>350-400</w:t>
      </w:r>
      <w:r w:rsidR="00A94EF3" w:rsidRPr="00DA4CEC">
        <w:t xml:space="preserve"> and decrease in S</w:t>
      </w:r>
      <w:r w:rsidR="00A94EF3" w:rsidRPr="00DA4CEC">
        <w:rPr>
          <w:vertAlign w:val="subscript"/>
        </w:rPr>
        <w:t>R</w:t>
      </w:r>
      <w:r w:rsidR="004D4432" w:rsidRPr="00DA4CEC">
        <w:rPr>
          <w:vertAlign w:val="subscript"/>
        </w:rPr>
        <w:t xml:space="preserve"> </w:t>
      </w:r>
      <w:r w:rsidR="004D4432" w:rsidRPr="00DA4CEC">
        <w:t>(Fig. 5C and 5D)</w:t>
      </w:r>
      <w:r w:rsidR="00A94EF3" w:rsidRPr="00DA4CEC">
        <w:t>.</w:t>
      </w:r>
      <w:r w:rsidR="00AD0B29" w:rsidRPr="00DA4CEC">
        <w:t xml:space="preserve">  The significant decrease in S</w:t>
      </w:r>
      <w:r w:rsidR="00AD0B29" w:rsidRPr="00DA4CEC">
        <w:rPr>
          <w:vertAlign w:val="subscript"/>
        </w:rPr>
        <w:t>R</w:t>
      </w:r>
      <w:r w:rsidR="00A94EF3" w:rsidRPr="00DA4CEC">
        <w:t xml:space="preserve"> after biodegradation was a result of a corresponding increase in S</w:t>
      </w:r>
      <w:r w:rsidR="00A94EF3" w:rsidRPr="00DA4CEC">
        <w:rPr>
          <w:vertAlign w:val="subscript"/>
        </w:rPr>
        <w:t>350-400</w:t>
      </w:r>
      <w:r w:rsidR="00A94EF3" w:rsidRPr="00DA4CEC">
        <w:t xml:space="preserve"> while S</w:t>
      </w:r>
      <w:r w:rsidR="00A94EF3" w:rsidRPr="00DA4CEC">
        <w:rPr>
          <w:vertAlign w:val="subscript"/>
        </w:rPr>
        <w:t>275-295</w:t>
      </w:r>
      <w:r w:rsidR="00A94EF3" w:rsidRPr="00DA4CEC">
        <w:t xml:space="preserve"> remained constant.  This </w:t>
      </w:r>
      <w:r w:rsidR="004D4432" w:rsidRPr="00DA4CEC">
        <w:t>decrease in S</w:t>
      </w:r>
      <w:r w:rsidR="004D4432" w:rsidRPr="00DA4CEC">
        <w:rPr>
          <w:vertAlign w:val="subscript"/>
        </w:rPr>
        <w:t xml:space="preserve">R </w:t>
      </w:r>
      <w:r w:rsidR="00A94EF3" w:rsidRPr="00DA4CEC">
        <w:t xml:space="preserve">was likely </w:t>
      </w:r>
      <w:r w:rsidR="00650935" w:rsidRPr="00DA4CEC">
        <w:t>a result of microbial metabolism</w:t>
      </w:r>
      <w:r w:rsidR="00A94EF3" w:rsidRPr="00DA4CEC">
        <w:t xml:space="preserve"> and/or selective preservation of relatively large, aromatic compounds. </w:t>
      </w:r>
    </w:p>
    <w:p w14:paraId="6550FDD3" w14:textId="77777777" w:rsidR="00A94EF3" w:rsidRPr="00DA4CEC" w:rsidRDefault="00A94EF3" w:rsidP="00A94EF3">
      <w:r w:rsidRPr="00DA4CEC">
        <w:tab/>
        <w:t xml:space="preserve">Microbial transformation of low molecular weight organic compounds into relatively condensed, high molecular weight macromolecules is often assessed through </w:t>
      </w:r>
      <w:r w:rsidRPr="00DA4CEC">
        <w:lastRenderedPageBreak/>
        <w:t xml:space="preserve">changes in the humification index.   The process of humification results in a red shift in emission spectra that corresponds to a decrease in the hydrogen to carbon ratio. The humification index is calculated by dividing the area under Em. 435-480 by the peak area 300-435 nm + 435-480 nm, </w:t>
      </w:r>
      <w:r w:rsidR="004D4432" w:rsidRPr="00DA4CEC">
        <w:t>with excitation at</w:t>
      </w:r>
      <w:r w:rsidRPr="00DA4CEC">
        <w:t xml:space="preserve"> 254 nm.</w:t>
      </w:r>
      <w:r w:rsidRPr="00DA4CEC">
        <w:fldChar w:fldCharType="begin" w:fldLock="1"/>
      </w:r>
      <w:r w:rsidR="000076A8" w:rsidRPr="00DA4CEC">
        <w:instrText>ADDIN CSL_CITATION { "citationItems" : [ { "id" : "ITEM-1", "itemData" : { "DOI" : "10.1021/ES0155276", "abstract" : "The use of fluorescence spectrometry has been suggested as a simple method to determine the extent of natural organic matter humification by quantifying the red-shifting of fluorescence emission that occurs with increasing humification. Humification indices are calculated by dividing fluorescence intensity at longer wavelengths by intensity at shorter wavelengths. These indices calculated without any specific efforts to standardize dissolved organic matter (DOM) concentration will result in index values that vary with DOM concentration due to fluorescence inner-filtering effects. This study critically evaluated the effect of DOM concentration on humification index determination using organic matter isolated from field corn extract, soil:water extract, and soil fulvic acid. The results show that humification index values are sensitive to DOM concentration of the solution and are linear with respect to transmittance of the solution at the 254 nm used as the excitation wavelength. An approximate correction f...", "author" : [ { "dropping-particle" : "", "family" : "Ohno", "given" : "Tsutomu", "non-dropping-particle" : "", "parse-names" : false, "suffix" : "" } ], "id" : "ITEM-1", "issued" : { "date-parts" : [ [ "2002" ] ] }, "publisher" : "American Chemical Society", "title" : "Fluorescence Inner-Filtering Correction for Determining the Humification Index of Dissolved Organic Matter", "type" : "article-journal" }, "uris" : [ "http://www.mendeley.com/documents/?uuid=5378f3c9-70b2-35c3-93eb-939035c8b6ee" ] } ], "mendeley" : { "formattedCitation" : "&lt;sup&gt;34&lt;/sup&gt;", "plainTextFormattedCitation" : "34", "previouslyFormattedCitation" : "&lt;sup&gt;34&lt;/sup&gt;" }, "properties" : { "noteIndex" : 0 }, "schema" : "https://github.com/citation-style-language/schema/raw/master/csl-citation.json" }</w:instrText>
      </w:r>
      <w:r w:rsidRPr="00DA4CEC">
        <w:fldChar w:fldCharType="separate"/>
      </w:r>
      <w:r w:rsidR="000076A8" w:rsidRPr="00DA4CEC">
        <w:rPr>
          <w:noProof/>
          <w:vertAlign w:val="superscript"/>
        </w:rPr>
        <w:t>34</w:t>
      </w:r>
      <w:r w:rsidRPr="00DA4CEC">
        <w:fldChar w:fldCharType="end"/>
      </w:r>
      <w:r w:rsidRPr="00DA4CEC">
        <w:t xml:space="preserve">  </w:t>
      </w:r>
      <w:r w:rsidRPr="00DA4CEC">
        <w:rPr>
          <w:szCs w:val="18"/>
        </w:rPr>
        <w:t>The humification index of the DOM,</w:t>
      </w:r>
      <w:r w:rsidRPr="00DA4CEC">
        <w:t xml:space="preserve"> was nearly equivalent at the beginning of the biodegradation experiment in both the endogenous and sterile incubations that were not amended with a sand patty (Fig 5E).   The same index of the DOM leached form the sand patties were significantly lower and different at T</w:t>
      </w:r>
      <w:r w:rsidRPr="00DA4CEC">
        <w:rPr>
          <w:vertAlign w:val="subscript"/>
        </w:rPr>
        <w:t>0</w:t>
      </w:r>
      <w:r w:rsidRPr="00DA4CEC">
        <w:t xml:space="preserve"> between the dark and irradiated treatments.  That is, the humification index decreased from 1.5 in dark samples to 1.0 in irradiated incubations.  This result suggests that the DOM photosolubilized from sand patties had a higher hydrogen to carbon ratio relative to material leached in the dark and was presumably more bioavailable.    At the end of the biodegradation experiment, the humification index rose in all incubations except the sterile control.  Presumably, the more labile DOM constituents were preferentially metabolized by the GoM microflora resulting in a relatively higher humification index in each case.  The increase in the T</w:t>
      </w:r>
      <w:r w:rsidRPr="00DA4CEC">
        <w:rPr>
          <w:vertAlign w:val="subscript"/>
        </w:rPr>
        <w:t>Final</w:t>
      </w:r>
      <w:r w:rsidRPr="00DA4CEC">
        <w:t xml:space="preserve"> humification index for the sand patty-derived DOM (83%) leached in the dark was higher than the comparable measure for DOM leached in the presence of sunlight (62%).  This difference may reflect an increase in the quantity of relatively aliphatic, small, bioavailable DOM formed after the sand patties were exposed to sunlight.  An increase in the pool of labile DOM may result in a slower rate of change in the humification index values relative to a small pool that was rapidly depleted by microbes.  The residual DOM at T</w:t>
      </w:r>
      <w:r w:rsidRPr="00DA4CEC">
        <w:rPr>
          <w:vertAlign w:val="subscript"/>
        </w:rPr>
        <w:t>Final</w:t>
      </w:r>
      <w:r w:rsidRPr="00DA4CEC">
        <w:t xml:space="preserve"> in the endogenous incubations had the highest humification index than either of the sand patty incubations.  However, the hum</w:t>
      </w:r>
      <w:r w:rsidR="00650935" w:rsidRPr="00DA4CEC">
        <w:t>i</w:t>
      </w:r>
      <w:r w:rsidRPr="00DA4CEC">
        <w:t xml:space="preserve">fication </w:t>
      </w:r>
      <w:r w:rsidRPr="00DA4CEC">
        <w:lastRenderedPageBreak/>
        <w:t xml:space="preserve">index in the sterile incubation decreased with time, probably reflecting an unknown abiotic change in DOM quality.    </w:t>
      </w:r>
    </w:p>
    <w:p w14:paraId="6F2680E2" w14:textId="77777777" w:rsidR="00A94EF3" w:rsidRPr="00DA4CEC" w:rsidRDefault="00A94EF3" w:rsidP="00863D6C">
      <w:pPr>
        <w:pStyle w:val="Heading1"/>
        <w:jc w:val="left"/>
      </w:pPr>
      <w:r w:rsidRPr="00DA4CEC">
        <w:tab/>
        <w:t xml:space="preserve">Freshness index </w:t>
      </w:r>
      <w:r w:rsidRPr="00DA4CEC">
        <w:rPr>
          <w:i/>
        </w:rPr>
        <w:t xml:space="preserve">(β:α) </w:t>
      </w:r>
      <w:r w:rsidRPr="00DA4CEC">
        <w:t>describes the ratio of “fresh-like” (aliphatic) to “humic-like” (aromatic) DOM.</w:t>
      </w:r>
      <w:r w:rsidRPr="00DA4CEC">
        <w:fldChar w:fldCharType="begin" w:fldLock="1"/>
      </w:r>
      <w:r w:rsidR="000076A8" w:rsidRPr="00DA4CEC">
        <w:instrText>ADDIN CSL_CITATION { "citationItems" : [ { "id" : "ITEM-1", "itemData" : { "DOI" : "10.4319/lo.2008.53.3.0955", "ISSN" : "00243590", "author" : [ { "dropping-particle" : "", "family" : "Helms", "given" : "John R.", "non-dropping-particle" : "", "parse-names" : false, "suffix" : "" }, { "dropping-particle" : "", "family" : "Stubbins", "given" : "Aron", "non-dropping-particle" : "", "parse-names" : false, "suffix" : "" }, { "dropping-particle" : "", "family" : "Ritchie", "given" : "Jason D.", "non-dropping-particle" : "", "parse-names" : false, "suffix" : "" }, { "dropping-particle" : "", "family" : "Minor", "given" : "Elizabeth C.", "non-dropping-particle" : "", "parse-names" : false, "suffix" : "" }, { "dropping-particle" : "", "family" : "Kieber", "given" : "David J.", "non-dropping-particle" : "", "parse-names" : false, "suffix" : "" }, { "dropping-particle" : "", "family" : "Mopper", "given" : "Kenneth", "non-dropping-particle" : "", "parse-names" : false, "suffix" : "" } ], "container-title" : "Limnology and Oceanography", "id" : "ITEM-1", "issue" : "3", "issued" : { "date-parts" : [ [ "2008", "5" ] ] }, "page" : "955-969", "title" : "Absorption spectral slopes and slope ratios as indicators of molecular weight, source, and photobleaching of chromophoric dissolved organic matter", "type" : "article-journal", "volume" : "53" }, "uris" : [ "http://www.mendeley.com/documents/?uuid=d3243289-dbff-32b7-a36d-ad91528bcb49" ] } ], "mendeley" : { "formattedCitation" : "&lt;sup&gt;45&lt;/sup&gt;", "plainTextFormattedCitation" : "45", "previouslyFormattedCitation" : "&lt;sup&gt;45&lt;/sup&gt;" }, "properties" : { "noteIndex" : 0 }, "schema" : "https://github.com/citation-style-language/schema/raw/master/csl-citation.json" }</w:instrText>
      </w:r>
      <w:r w:rsidRPr="00DA4CEC">
        <w:fldChar w:fldCharType="separate"/>
      </w:r>
      <w:r w:rsidR="000076A8" w:rsidRPr="00DA4CEC">
        <w:rPr>
          <w:noProof/>
          <w:vertAlign w:val="superscript"/>
        </w:rPr>
        <w:t>45</w:t>
      </w:r>
      <w:r w:rsidRPr="00DA4CEC">
        <w:fldChar w:fldCharType="end"/>
      </w:r>
      <w:r w:rsidRPr="00DA4CEC">
        <w:t xml:space="preserve"> The value is obtained from the emission intensity at 380 nm divided by the Em</w:t>
      </w:r>
      <w:r w:rsidRPr="00DA4CEC">
        <w:rPr>
          <w:vertAlign w:val="subscript"/>
        </w:rPr>
        <w:t>max</w:t>
      </w:r>
      <w:r w:rsidRPr="00DA4CEC">
        <w:t xml:space="preserve"> between 420 and 435 nm</w:t>
      </w:r>
      <w:r w:rsidR="004D4432" w:rsidRPr="00DA4CEC">
        <w:t>,</w:t>
      </w:r>
      <w:r w:rsidRPr="00DA4CEC">
        <w:t xml:space="preserve"> </w:t>
      </w:r>
      <w:r w:rsidR="004D4432" w:rsidRPr="00DA4CEC">
        <w:t>with excitation at</w:t>
      </w:r>
      <w:r w:rsidRPr="00DA4CEC">
        <w:t xml:space="preserve"> 310 nm.</w:t>
      </w:r>
      <w:r w:rsidRPr="00DA4CEC">
        <w:fldChar w:fldCharType="begin" w:fldLock="1"/>
      </w:r>
      <w:r w:rsidR="000076A8" w:rsidRPr="00DA4CEC">
        <w:instrText>ADDIN CSL_CITATION { "citationItems" : [ { "id" : "ITEM-1", "itemData" : { "DOI" : "10.1016/S0146-6380(00)00124-8", "ISSN" : "01466380", "abstract" : "Here we report on an investigation of the three-dimensional excitation-emission-matrix (EEM) fluorescence spectra of unconcentrated water samples collected in 1996, 1998 and 1999 at a site particularly propitious for macro-algae development. The degradation of these macro-algae was studied to determine the influence of their exudates on natural water EEM fluorescence spectra. This work demonstrates that biological activity is one of the major factors involved in the formation of the blue-shifted fluorescence band observed in marine waters (\u03b2 component Ex/Em=310\u2013320 nm/380\u2013410 nm); our study also shows that fluorescence can be used to evaluate the biological activity both quantitatively and to determine its different phases.", "author" : [ { "dropping-particle" : "", "family" : "Parlanti", "given" : "E.", "non-dropping-particle" : "", "parse-names" : false, "suffix" : "" }, { "dropping-particle" : "", "family" : "W\u00f6rz", "given" : "K.", "non-dropping-particle" : "", "parse-names" : false, "suffix" : "" }, { "dropping-particle" : "", "family" : "Geoffroy", "given" : "L.", "non-dropping-particle" : "", "parse-names" : false, "suffix" : "" }, { "dropping-particle" : "", "family" : "Lamotte", "given" : "M.", "non-dropping-particle" : "", "parse-names" : false, "suffix" : "" } ], "container-title" : "Organic Geochemistry", "id" : "ITEM-1", "issue" : "12", "issued" : { "date-parts" : [ [ "2000" ] ] }, "page" : "1765-1781", "title" : "Dissolved organic matter fluorescence spectroscopy as a tool to estimate biological activity in a coastal zone submitted to anthropogenic inputs", "type" : "article-journal", "volume" : "31" }, "uris" : [ "http://www.mendeley.com/documents/?uuid=4797b155-b665-32ac-9cb5-e3dae38c1c0c" ] } ], "mendeley" : { "formattedCitation" : "&lt;sup&gt;49&lt;/sup&gt;", "plainTextFormattedCitation" : "49", "previouslyFormattedCitation" : "&lt;sup&gt;49&lt;/sup&gt;" }, "properties" : { "noteIndex" : 0 }, "schema" : "https://github.com/citation-style-language/schema/raw/master/csl-citation.json" }</w:instrText>
      </w:r>
      <w:r w:rsidRPr="00DA4CEC">
        <w:fldChar w:fldCharType="separate"/>
      </w:r>
      <w:r w:rsidR="000076A8" w:rsidRPr="00DA4CEC">
        <w:rPr>
          <w:noProof/>
          <w:vertAlign w:val="superscript"/>
        </w:rPr>
        <w:t>49</w:t>
      </w:r>
      <w:r w:rsidRPr="00DA4CEC">
        <w:fldChar w:fldCharType="end"/>
      </w:r>
      <w:r w:rsidRPr="00DA4CEC">
        <w:t xml:space="preserve">  Relatively high </w:t>
      </w:r>
      <w:r w:rsidRPr="00DA4CEC">
        <w:rPr>
          <w:i/>
        </w:rPr>
        <w:t>β:α</w:t>
      </w:r>
      <w:r w:rsidRPr="00DA4CEC">
        <w:t xml:space="preserve"> values are indicative o</w:t>
      </w:r>
      <w:r w:rsidR="00BF545F" w:rsidRPr="00DA4CEC">
        <w:t>f labile, bioavailable DOM</w:t>
      </w:r>
      <w:r w:rsidRPr="00DA4CEC">
        <w:t>.</w:t>
      </w:r>
      <w:r w:rsidR="00BF545F" w:rsidRPr="00DA4CEC">
        <w:fldChar w:fldCharType="begin" w:fldLock="1"/>
      </w:r>
      <w:r w:rsidR="000076A8" w:rsidRPr="00DA4CEC">
        <w:instrText>ADDIN CSL_CITATION { "citationItems" : [ { "id" : "ITEM-1", "itemData" : { "author" : [ { "dropping-particle" : "", "family" : "Hansen", "given" : "Angela M.", "non-dropping-particle" : "", "parse-names" : false, "suffix" : "" }, { "dropping-particle" : "", "family" : "Kraus", "given" : "Tamara E.C.", "non-dropping-particle" : "", "parse-names" : false, "suffix" : "" }, { "dropping-particle" : "", "family" : "Pellerin", "given" : "Brian A.", "non-dropping-particle" : "", "parse-names" : false, "suffix" : "" }, { "dropping-particle" : "", "family" : "Fleck", "given" : "Jacob A.", "non-dropping-particle" : "", "parse-names" : false, "suffix" : "" }, { "dropping-particle" : "", "family" : "Downing", "given" : "Bryan D.", "non-dropping-particle" : "", "parse-names" : false, "suffix" : "" }, { "dropping-particle" : "", "family" : "Bergamaschi", "given" : "Brian A.", "non-dropping-particle" : "", "parse-names" : false, "suffix" : "" } ], "container-title" : "Limnology and OCeanography", "id" : "ITEM-1", "issued" : { "date-parts" : [ [ "2016" ] ] }, "page" : "1015-1032", "title" : "Optical properties of dissolved organic matter - Effects of biological and photolytic degradation.pdf", "type" : "article-journal", "volume" : "61" }, "uris" : [ "http://www.mendeley.com/documents/?uuid=c7e49ea5-2a8f-4c4e-9dab-f15e82957708" ] } ], "mendeley" : { "formattedCitation" : "&lt;sup&gt;43&lt;/sup&gt;", "plainTextFormattedCitation" : "43", "previouslyFormattedCitation" : "&lt;sup&gt;43&lt;/sup&gt;" }, "properties" : { "noteIndex" : 0 }, "schema" : "https://github.com/citation-style-language/schema/raw/master/csl-citation.json" }</w:instrText>
      </w:r>
      <w:r w:rsidR="00BF545F" w:rsidRPr="00DA4CEC">
        <w:fldChar w:fldCharType="separate"/>
      </w:r>
      <w:r w:rsidR="000076A8" w:rsidRPr="00DA4CEC">
        <w:rPr>
          <w:noProof/>
          <w:vertAlign w:val="superscript"/>
        </w:rPr>
        <w:t>43</w:t>
      </w:r>
      <w:r w:rsidR="00BF545F" w:rsidRPr="00DA4CEC">
        <w:fldChar w:fldCharType="end"/>
      </w:r>
      <w:r w:rsidRPr="00DA4CEC">
        <w:t xml:space="preserve">  Microbial utilization of the labile DOM pool results in a decrease in </w:t>
      </w:r>
      <w:r w:rsidRPr="00DA4CEC">
        <w:rPr>
          <w:i/>
        </w:rPr>
        <w:t>β:α</w:t>
      </w:r>
      <w:r w:rsidRPr="00DA4CEC">
        <w:t xml:space="preserve"> as the material is converted to more persistent DOM.  Thus, the increase from 1.1 in dark samples to 1.4 in irradiated samples indicates an increase in smaller, less conjugated compounds due to photooxidation </w:t>
      </w:r>
      <w:r w:rsidR="004D4432" w:rsidRPr="00DA4CEC">
        <w:t>prior to microbial treatment</w:t>
      </w:r>
      <w:r w:rsidRPr="00DA4CEC">
        <w:t xml:space="preserve"> (Fig. 5F).  Similarly, the freshness index of the endogenous DOM at the beginning of the experiment (0.9) was lowest (more recalcitrant) relative to either the dark or irradiated samples.  This is yet another indication that the DOM produced in sand patty-amended incubations is substantially different from the endogenous forms of organic matter in the GoM.  At the end of the biodegradation experiment (T</w:t>
      </w:r>
      <w:r w:rsidRPr="00DA4CEC">
        <w:rPr>
          <w:vertAlign w:val="subscript"/>
        </w:rPr>
        <w:t>Final</w:t>
      </w:r>
      <w:r w:rsidRPr="00DA4CEC">
        <w:t>; Fig 5F), the same relative increasing trend in the DOM freshness index is apparent when comparing the endogenous, dark and irradiated samples.  However i</w:t>
      </w:r>
      <w:r w:rsidR="004D4432" w:rsidRPr="00DA4CEC">
        <w:t>n each case, the index decreased</w:t>
      </w:r>
      <w:r w:rsidRPr="00DA4CEC">
        <w:t xml:space="preserve"> relative to the T</w:t>
      </w:r>
      <w:r w:rsidRPr="00DA4CEC">
        <w:rPr>
          <w:vertAlign w:val="subscript"/>
        </w:rPr>
        <w:t>0</w:t>
      </w:r>
      <w:r w:rsidRPr="00DA4CEC">
        <w:t xml:space="preserve"> determinations.  This </w:t>
      </w:r>
      <w:r w:rsidR="004D4432" w:rsidRPr="00DA4CEC">
        <w:t xml:space="preserve">result </w:t>
      </w:r>
      <w:r w:rsidRPr="00DA4CEC">
        <w:t>suggests that the conjugated DOM is at least partially amenable to microbial decay, resulting in the residual pool of organic matter increasing in relative recalcitrance.</w:t>
      </w:r>
    </w:p>
    <w:p w14:paraId="332B5A42" w14:textId="77777777" w:rsidR="00A94EF3" w:rsidRPr="00DA4CEC" w:rsidRDefault="00A94EF3" w:rsidP="00863D6C">
      <w:pPr>
        <w:pStyle w:val="Heading1"/>
      </w:pPr>
    </w:p>
    <w:p w14:paraId="21326F12" w14:textId="77777777" w:rsidR="00DA4CEC" w:rsidRDefault="00DA4CEC" w:rsidP="00863D6C">
      <w:pPr>
        <w:pStyle w:val="Heading1"/>
        <w:rPr>
          <w:b/>
        </w:rPr>
      </w:pPr>
    </w:p>
    <w:p w14:paraId="26DBB7E5" w14:textId="77777777" w:rsidR="00DA4CEC" w:rsidRDefault="00DA4CEC" w:rsidP="00863D6C">
      <w:pPr>
        <w:pStyle w:val="Heading1"/>
        <w:rPr>
          <w:b/>
        </w:rPr>
      </w:pPr>
    </w:p>
    <w:p w14:paraId="562A8210" w14:textId="77777777" w:rsidR="00863D6C" w:rsidRPr="00DA4CEC" w:rsidRDefault="00863D6C" w:rsidP="00863D6C">
      <w:pPr>
        <w:pStyle w:val="Heading1"/>
        <w:rPr>
          <w:b/>
        </w:rPr>
      </w:pPr>
      <w:r w:rsidRPr="00DA4CEC">
        <w:rPr>
          <w:b/>
        </w:rPr>
        <w:lastRenderedPageBreak/>
        <w:t>Discussion</w:t>
      </w:r>
    </w:p>
    <w:p w14:paraId="37CC90A8" w14:textId="77777777" w:rsidR="00A94EF3" w:rsidRPr="00DA4CEC" w:rsidRDefault="00863D6C" w:rsidP="00863D6C">
      <w:pPr>
        <w:pStyle w:val="Heading1"/>
        <w:jc w:val="left"/>
      </w:pPr>
      <w:r w:rsidRPr="00DA4CEC">
        <w:tab/>
      </w:r>
      <w:r w:rsidR="00A94EF3" w:rsidRPr="00DA4CEC">
        <w:t xml:space="preserve">The formation of sand patties as a residual </w:t>
      </w:r>
      <w:r w:rsidR="00E81023" w:rsidRPr="00DA4CEC">
        <w:t>form of the Deepw</w:t>
      </w:r>
      <w:r w:rsidR="00A94EF3" w:rsidRPr="00DA4CEC">
        <w:t>ater Horizon oil and their and deposition on northern GoM shores has been previously reported.</w:t>
      </w:r>
      <w:r w:rsidR="00A94EF3" w:rsidRPr="00DA4CEC">
        <w:fldChar w:fldCharType="begin" w:fldLock="1"/>
      </w:r>
      <w:r w:rsidR="001317C1" w:rsidRPr="00DA4CEC">
        <w:instrText>ADDIN CSL_CITATION { "citationItems" : [ { "id" : "ITEM-1", "itemData" : { "DOI" : "10.5194/hessd-8-6721-2011", "author" : [ { "dropping-particle" : "", "family" : "Hayworth", "given" : "J.S.", "non-dropping-particle" : "", "parse-names" : false, "suffix" : "" }, { "dropping-particle" : "", "family" : "Clement", "given" : "T.P.", "non-dropping-particle" : "", "parse-names" : false, "suffix" : "" }, { "dropping-particle" : "", "family" : "Valentine", "given" : "J.F.", "non-dropping-particle" : "", "parse-names" : false, "suffix" : "" } ], "container-title" : "Hydrology and Earth System Sciences", "id" : "ITEM-1", "issued" : { "date-parts" : [ [ "2011" ] ] }, "page" : "3639-3649", "title" : "Deepwater Horizon oil spill impacts on Alabama beaches Deepwater Horizon oil spill impacts on Alabama beaches", "type" : "article-journal", "volume" : "15" }, "uris" : [ "http://www.mendeley.com/documents/?uuid=27937d17-a091-4336-9f14-f568150b5d69" ] }, { "id" : "ITEM-2", "itemData" : { "DOI" : "10.1021/es3015138", "ISSN" : "1520-5851", "PMID" : "22809266", "abstract" : "Following the Deepwater Horizon disaster, the effect of weathering on surface slicks, oil-soaked sands, and oil-covered rocks and boulders was studied for 18 months. With time, oxygen content increased in the hydrocarbon residues. Furthermore, a weathering-dependent increase of an operationally defined oxygenated fraction relative to the saturated and aromatic fractions was observed. This oxygenated fraction made up &gt;50% of the mass of weathered samples, had an average carbon oxidation state of -1.0, and an average molecular formula of (C(5)H(7)O)(n). These oxygenated hydrocarbon residues were devoid of natural radiocarbon, confirming a fossil source and excluding contributions from recent photosynthate. The incorporation of oxygen into the oil's hydrocarbons, which we refer to as oxyhydrocarbons, was confirmed from the detection of hydroxyl and carbonyl functional groups and the identification of long chain (C(10)-C(32)) carboxylic acids as well as alcohols. On the basis of the diagnostic ratios of alkanes and polycyclic aromatic hydrocarbons, and the context within which these samples were collected, we hypothesize that biodegradation and photooxidation share responsibility for the accumulation of oxygen in the oil residues. These results reveal that molecular-level transformations of petroleum hydrocarbons lead to increasing amounts of, apparently recalcitrant, oxyhydrocarbons that dominate the solvent-extractable material from oiled samples.", "author" : [ { "dropping-particle" : "", "family" : "Aeppli", "given" : "Christoph", "non-dropping-particle" : "", "parse-names" : false, "suffix" : "" }, { "dropping-particle" : "", "family" : "Carmichael", "given" : "Catherine A", "non-dropping-particle" : "", "parse-names" : false, "suffix" : "" }, { "dropping-particle" : "", "family" : "Nelson", "given" : "Robert K", "non-dropping-particle" : "", "parse-names" : false, "suffix" : "" }, { "dropping-particle" : "", "family" : "Lemkau", "given" : "Karin L", "non-dropping-particle" : "", "parse-names" : false, "suffix" : "" }, { "dropping-particle" : "", "family" : "Graham", "given" : "William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"dropping-particle" : "", "family" : "Graham", "given" :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"container-title" : "Environmental science &amp; technology", "id" : "ITEM-2", "issue" : "16", "issued" : { "date-parts" : [ [ "2012" ] ] }, "page" : "8799-807", "title" : "Oil weathering after the Deepwater Horizon disaster led to the formation of oxygenated residues.", "type" : "article-journal", "volume" : "46" }, "uris" : [ "http://www.mendeley.com/documents/?uuid=2bc2247b-a311-4ec2-b7e1-1d59c49fad55" ] }, { "id" : "ITEM-3", "itemData" : { "author" : [ { "dropping-particle" : "", "family" : "Aeppli", "given" : "Christoph", "non-dropping-particle" : "", "parse-names" : false, "suffix" : "" }, { "dropping-particle" : "", "family" : "Nelson", "given" : "Robert K", "non-dropping-particle" : "", "parse-names" : false, "suffix" : "" }, { "dropping-particle" : "", "family" : "Radovic", "given" : "Jagos R", "non-dropping-particle" : "", "parse-names" : false, "suffix" : "" }, { "dropping-particle" : "", "family" : "Carmichael", "given" : "Catherine A", "non-dropping-particle" : "", "parse-names" : false, "suffix" : "" }, { "dropping-particle" : "", "family" : "Valentine", "given" : "David L", "non-dropping-particle" : "", "parse-names" : false, "suffix" : "" }, { "dropping-particle" : "", "family" : "Reddy", "given" : "Christopher M", "non-dropping-particle" : "", "parse-names" : false, "suffix" : "" } ], "container-title" : "Environ Sci Technol", "id" : "ITEM-3", "issued" : { "date-parts" : [ [ "2014" ] ] }, "page" : "6727-6734", "title" : "Recalcitrance and Degradation of Petroleum Biomarkers upon Abiotic and Biotic Natural Weathering of Deepwater Horizon Oil", "type" : "article-journal", "volume" : "48" }, "uris" : [ "http://www.mendeley.com/documents/?uuid=23ed41af-8744-4cbe-a4ae-a2d0ddb4a727" ] }, { "id" : "ITEM-4", "itemData" : { "DOI" : "10.1016/j.marpolbul.2014.11.016", "ISSN" : "0025-326X", "author" : [ { "dropping-particle" : "", "family" : "Hayworth", "given" : "Joel S", "non-dropping-particle" : "", "parse-names" : false, "suffix" : "" }, { "dropping-particle" : "", "family" : "Clement", "given" : "T Prabakhar", "non-dropping-particle" : "", "parse-names" : false, "suffix" : "" }, { "dropping-particle" : "", "family" : "John", "given" : "Gerald F", "non-dropping-particle" : "", "parse-names" : false, "suffix" : "" }, { "dropping-particle" : "", "family" : "Yin", "given" : "Fang", "non-dropping-particle" : "", "parse-names" : false, "suffix" : "" } ], "container-title" : "Marine Pollution Bulletin", "id" : "ITEM-4", "issue" : "1-2", "issued" : { "date-parts" : [ [ "2015" ] ] }, "page" : "95-105", "publisher" : "Elsevier Ltd", "title" : "Fate of Deepwater Horizon oil in Alabama \u2019 s beach system : Understanding physical evolution processes based on observational data", "type" : "article-journal", "volume" : "90" }, "uris" : [ "http://www.mendeley.com/documents/?uuid=b7199ebc-2673-485f-a174-deadb0f207aa" ] } ], "mendeley" : { "formattedCitation" : "&lt;sup&gt;15,18,20,21&lt;/sup&gt;", "plainTextFormattedCitation" : "15,18,20,21", "previouslyFormattedCitation" : "&lt;sup&gt;15,18,20,21&lt;/sup&gt;" }, "properties" : { "noteIndex" : 0 }, "schema" : "https://github.com/citation-style-language/schema/raw/master/csl-citation.json" }</w:instrText>
      </w:r>
      <w:r w:rsidR="00A94EF3" w:rsidRPr="00DA4CEC">
        <w:fldChar w:fldCharType="separate"/>
      </w:r>
      <w:r w:rsidR="000076A8" w:rsidRPr="00DA4CEC">
        <w:rPr>
          <w:noProof/>
          <w:vertAlign w:val="superscript"/>
        </w:rPr>
        <w:t>15,18,20,21</w:t>
      </w:r>
      <w:r w:rsidR="00A94EF3" w:rsidRPr="00DA4CEC">
        <w:fldChar w:fldCharType="end"/>
      </w:r>
      <w:r w:rsidR="00A94EF3" w:rsidRPr="00DA4CEC">
        <w:t xml:space="preserve"> Aeppli and colleagues noted the apparent recalcitrance of sand patties and characterized their chemical composition.</w:t>
      </w:r>
      <w:r w:rsidR="00A94EF3" w:rsidRPr="00DA4CEC">
        <w:fldChar w:fldCharType="begin" w:fldLock="1"/>
      </w:r>
      <w:r w:rsidR="00D34B4F" w:rsidRPr="00DA4CEC">
        <w:instrText>ADDIN CSL_CITATION { "citationItems" : [ { "id" : "ITEM-1", "itemData" : { "DOI" : "10.1021/es3015138", "ISSN" : "1520-5851", "PMID" : "22809266", "abstract" : "Following the Deepwater Horizon disaster, the effect of weathering on surface slicks, oil-soaked sands, and oil-covered rocks and boulders was studied for 18 months. With time, oxygen content increased in the hydrocarbon residues. Furthermore, a weathering-dependent increase of an operationally defined oxygenated fraction relative to the saturated and aromatic fractions was observed. This oxygenated fraction made up &gt;50% of the mass of weathered samples, had an average carbon oxidation state of -1.0, and an average molecular formula of (C(5)H(7)O)(n). These oxygenated hydrocarbon residues were devoid of natural radiocarbon, confirming a fossil source and excluding contributions from recent photosynthate. The incorporation of oxygen into the oil's hydrocarbons, which we refer to as oxyhydrocarbons, was confirmed from the detection of hydroxyl and carbonyl functional groups and the identification of long chain (C(10)-C(32)) carboxylic acids as well as alcohols. On the basis of the diagnostic ratios of alkanes and polycyclic aromatic hydrocarbons, and the context within which these samples were collected, we hypothesize that biodegradation and photooxidation share responsibility for the accumulation of oxygen in the oil residues. These results reveal that molecular-level transformations of petroleum hydrocarbons lead to increasing amounts of, apparently recalcitrant, oxyhydrocarbons that dominate the solvent-extractable material from oiled samples.", "author" : [ { "dropping-particle" : "", "family" : "Aeppli", "given" : "Christoph", "non-dropping-particle" : "", "parse-names" : false, "suffix" : "" }, { "dropping-particle" : "", "family" : "Carmichael", "given" : "Catherine A", "non-dropping-particle" : "", "parse-names" : false, "suffix" : "" }, { "dropping-particle" : "", "family" : "Nelson", "given" : "Robert K", "non-dropping-particle" : "", "parse-names" : false, "suffix" : "" }, { "dropping-particle" : "", "family" : "Lemkau", "given" : "Karin L", "non-dropping-particle" : "", "parse-names" : false, "suffix" : "" }, { "dropping-particle" : "", "family" : "Graham", "given" : "William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"dropping-particle" : "", "family" : "Graham", "given" :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"container-title" : "Environmental science &amp; technology", "id" : "ITEM-1", "issue" : "16", "issued" : { "date-parts" : [ [ "2012" ] ] }, "page" : "8799-807", "title" : "Oil weathering after the Deepwater Horizon disaster led to the formation of oxygenated residues.", "type" : "article-journal", "volume" : "46" }, "uris" : [ "http://www.mendeley.com/documents/?uuid=2bc2247b-a311-4ec2-b7e1-1d59c49fad55" ] } ], "mendeley" : { "formattedCitation" : "&lt;sup&gt;20&lt;/sup&gt;", "plainTextFormattedCitation" : "20", "previouslyFormattedCitation" : "&lt;sup&gt;20&lt;/sup&gt;" }, "properties" : { "noteIndex" : 0 }, "schema" : "https://github.com/citation-style-language/schema/raw/master/csl-citation.json" }</w:instrText>
      </w:r>
      <w:r w:rsidR="00A94EF3" w:rsidRPr="00DA4CEC">
        <w:fldChar w:fldCharType="separate"/>
      </w:r>
      <w:r w:rsidR="00D34B4F" w:rsidRPr="00DA4CEC">
        <w:rPr>
          <w:noProof/>
          <w:vertAlign w:val="superscript"/>
        </w:rPr>
        <w:t>20</w:t>
      </w:r>
      <w:r w:rsidR="00A94EF3" w:rsidRPr="00DA4CEC">
        <w:fldChar w:fldCharType="end"/>
      </w:r>
      <w:r w:rsidR="00A94EF3" w:rsidRPr="00DA4CEC">
        <w:t xml:space="preserve"> They reported that &gt;50% of the mass of the material in these structures is not hydrocarbon at all, but oxygenated hydrocarbon-derived chemical features produced through a combination of weathering processes.  We questioned the environmental fate and impact of these residual oil structures, and considering their deposition in the beach swash zone, explored the susceptibility of sand patties to the most likely forms of advanced decomposition – photoxidation and biodegradation.</w:t>
      </w:r>
    </w:p>
    <w:p w14:paraId="3DD645A3" w14:textId="77777777" w:rsidR="00A94EF3" w:rsidRPr="00DA4CEC" w:rsidRDefault="00A94EF3" w:rsidP="00A94EF3">
      <w:pPr>
        <w:rPr>
          <w:rFonts w:eastAsia="ＭＳ 明朝"/>
        </w:rPr>
      </w:pPr>
      <w:r w:rsidRPr="00DA4CEC">
        <w:rPr>
          <w:rFonts w:eastAsia="ＭＳ 明朝"/>
        </w:rPr>
        <w:tab/>
        <w:t>Ev</w:t>
      </w:r>
      <w:r w:rsidR="00E81023" w:rsidRPr="00DA4CEC">
        <w:rPr>
          <w:rFonts w:eastAsia="ＭＳ 明朝"/>
        </w:rPr>
        <w:t>en though we retrieved sand patt</w:t>
      </w:r>
      <w:r w:rsidRPr="00DA4CEC">
        <w:rPr>
          <w:rFonts w:eastAsia="ＭＳ 明朝"/>
        </w:rPr>
        <w:t>y samples from beaches, previous work demonstrated that such residual oil components could be buried in sediments where anaerobic conditions might prevail.</w:t>
      </w:r>
      <w:r w:rsidRPr="00DA4CEC">
        <w:rPr>
          <w:rFonts w:eastAsia="ＭＳ 明朝"/>
        </w:rPr>
        <w:fldChar w:fldCharType="begin" w:fldLock="1"/>
      </w:r>
      <w:r w:rsidR="001317C1" w:rsidRPr="00DA4CEC">
        <w:rPr>
          <w:rFonts w:eastAsia="ＭＳ 明朝"/>
        </w:rPr>
        <w:instrText>ADDIN CSL_CITATION { "citationItems" : [ { "id" : "ITEM-1", "itemData" : { "author" : [ { "dropping-particle" : "", "family" : "JE", "given" : "Kostka", "non-dropping-particle" : "", "parse-names" : false, "suffix" : "" }, { "dropping-particle" : "", "family" : "Prakash", "given" : "O", "non-dropping-particle" : "", "parse-names" : false, "suffix" : "" }, { "dropping-particle" : "", "family" : "WA", "given" : "Overholt", "non-dropping-particle" : "", "parse-names" : false, "suffix" : "" }, { "dropping-particle" : "", "family" : "SJ", "given" : "Green", "non-dropping-particle" : "", "parse-names" : false, "suffix" : "" }, { "dropping-particle" : "", "family" : "Freyer", "given" : "G", "non-dropping-particle" : "", "parse-names" : false, "suffix" : "" }, { "dropping-particle" : "", "family" : "Canion", "given" : "A", "non-dropping-particle" : "", "parse-names" : false, "suffix" : "" } ], "container-title" : "Appl Environ Microbiol", "id" : "ITEM-1", "issued" : { "date-parts" : [ [ "2011" ] ] }, "note" : "10.1128/AEM.05402-11", "page" : "7962-7974", "title" : "Hydrocarbon-degrading bacteria and the bacterial community response in Gulf of Mexico beach sands impacted by the Deepwater Horizon oil spill", "type" : "article-journal", "volume" : "77" }, "uris" : [ "http://www.mendeley.com/documents/?uuid=f7c9da7d-a92d-4a46-8030-0f21a117ece7" ] }, { "id" : "ITEM-2", "itemData" : { "author" : [ { "dropping-particle" : "", "family" : "Wang", "given" : "P", "non-dropping-particle" : "", "parse-names" : false, "suffix" : "" }, { "dropping-particle" : "", "family" : "TM", "given" : "Roberts", "non-dropping-particle" : "", "parse-names" : false, "suffix" : "" } ], "container-title" : "J Coast Res", "id" : "ITEM-2", "issued" : { "date-parts" : [ [ "2013" ] ] }, "note" : "10.2112/JCOASTRES-D-12-00198.1", "page" : "144-155", "title" : "Distribution of surficial and buried oil contaminants across sandy beaches along NW Florida and Alabama coasts following the Deepwater Horizon oil spill in 2010", "type" : "article-journal", "volume" : "291" }, "uris" : [ "http://www.mendeley.com/documents/?uuid=e812b7a4-bc84-4ce0-b8cf-55095ec8ae3a" ] }, { "id" : "ITEM-3", "itemData" : { "DOI" : "10.1021/acs.est.5b00413", "author" : [ { "dropping-particle" : "", "family" : "Atlas", "given" : "Ronald M", "non-dropping-particle" : "", "parse-names" : false, "suffix" : "" }, { "dropping-particle" : "", "family" : "Stoeckel", "given" : "Donald M", "non-dropping-particle" : "", "parse-names" : false, "suffix" : "" }, { "dropping-particle" : "", "family" : "Faith", "given" : "Seth A", "non-dropping-particle" : "", "parse-names" : false, "suffix" : "" }, { "dropping-particle" : "", "family" : "Minard-Smith", "given" : "Angela", "non-dropping-particle" : "", "parse-names" : false, "suffix" : "" }, { "dropping-particle" : "", "family" : "Thorn", "given" : "Jonathan R", "non-dropping-particle" : "", "parse-names" : false, "suffix" : "" }, { "dropping-particle" : "", "family" : "Benotti", "given" : "Mark J", "non-dropping-particle" : "", "parse-names" : false, "suffix" : "" } ], "container-title" : "Environmental Science and Technology", "id" : "ITEM-3", "issued" : { "date-parts" : [ [ "2015" ] ] }, "page" : "8356-8366", "title" : "Oil Biodegradation and Oil-Degrading Microbial Populations in Marsh Sediments Impacted by Oil from the Deepwater Horizon Well Blowout", "type" : "article-journal", "volume" : "49" }, "uris" : [ "http://www.mendeley.com/documents/?uuid=b1aee6bf-b583-4657-8543-3f0a1917f811" ] } ], "mendeley" : { "formattedCitation" : "&lt;sup&gt;50\u201352&lt;/sup&gt;", "plainTextFormattedCitation" : "50\u201352", "previouslyFormattedCitation" : "&lt;sup&gt;50\u201352&lt;/sup&gt;" }, "properties" : { "noteIndex" : 0 }, "schema" : "https://github.com/citation-style-language/schema/raw/master/csl-citation.json" }</w:instrText>
      </w:r>
      <w:r w:rsidRPr="00DA4CEC">
        <w:rPr>
          <w:rFonts w:eastAsia="ＭＳ 明朝"/>
        </w:rPr>
        <w:fldChar w:fldCharType="separate"/>
      </w:r>
      <w:r w:rsidR="000076A8" w:rsidRPr="00DA4CEC">
        <w:rPr>
          <w:rFonts w:eastAsia="ＭＳ 明朝"/>
          <w:noProof/>
          <w:vertAlign w:val="superscript"/>
        </w:rPr>
        <w:t>50–52</w:t>
      </w:r>
      <w:r w:rsidRPr="00DA4CEC">
        <w:rPr>
          <w:rFonts w:eastAsia="ＭＳ 明朝"/>
        </w:rPr>
        <w:fldChar w:fldCharType="end"/>
      </w:r>
      <w:r w:rsidRPr="00DA4CEC">
        <w:rPr>
          <w:rFonts w:eastAsia="ＭＳ 明朝"/>
        </w:rPr>
        <w:t xml:space="preserve">  Therefore, the potential toxicological impact of sand patties to the resident microflora was assessed under the predominant electron accepting conditions in such marine coastal areas.  Whole sand patty amendments were found to have no substantive negative impact on the endogenous rate of either aerobic or anaerobic metabolism as evidenced by the rates of oxygen consumption or sulfide formation, respectively (Table 1).  In fact, with increasing amendment, whole sand patties stimulated respiratory processes, confirming that at least some of the chemical constituents represented suitable electron donors for the indigenous microflora.  Such findings have two important implications.  First, the subsequent biodegradation experiments were unlikely to be predisposed to failure due to the inherent inhibitory nature of the constituent chemicals in sand patties.  Secondly, given the lack of </w:t>
      </w:r>
      <w:r w:rsidRPr="00DA4CEC">
        <w:rPr>
          <w:rFonts w:eastAsia="ＭＳ 明朝"/>
        </w:rPr>
        <w:lastRenderedPageBreak/>
        <w:t>substantive impact on the overall rate of microbial community respiration, toxicological concerns associated with residual oil deposition should probably be targeted at other trophic levels.</w:t>
      </w:r>
    </w:p>
    <w:p w14:paraId="603A586D" w14:textId="77777777" w:rsidR="00A94EF3" w:rsidRPr="00DA4CEC" w:rsidRDefault="00A94EF3" w:rsidP="00A94EF3">
      <w:pPr>
        <w:rPr>
          <w:rFonts w:eastAsia="ＭＳ 明朝"/>
        </w:rPr>
      </w:pPr>
      <w:r w:rsidRPr="00DA4CEC">
        <w:rPr>
          <w:rFonts w:eastAsia="ＭＳ 明朝"/>
        </w:rPr>
        <w:tab/>
        <w:t xml:space="preserve">The presumed hydrophobic nature of sand patties was also evaluated with a seawater-soluble radiotracer.  We found that </w:t>
      </w:r>
      <w:r w:rsidRPr="00DA4CEC">
        <w:rPr>
          <w:rFonts w:eastAsia="ＭＳ 明朝"/>
          <w:vertAlign w:val="superscript"/>
        </w:rPr>
        <w:t>35</w:t>
      </w:r>
      <w:r w:rsidRPr="00DA4CEC">
        <w:rPr>
          <w:rFonts w:eastAsia="ＭＳ 明朝"/>
        </w:rPr>
        <w:t>SO</w:t>
      </w:r>
      <w:r w:rsidRPr="00DA4CEC">
        <w:rPr>
          <w:rFonts w:eastAsia="ＭＳ 明朝"/>
          <w:vertAlign w:val="subscript"/>
        </w:rPr>
        <w:t>4</w:t>
      </w:r>
      <w:r w:rsidRPr="00DA4CEC">
        <w:rPr>
          <w:rFonts w:eastAsia="ＭＳ 明朝"/>
          <w:vertAlign w:val="superscript"/>
        </w:rPr>
        <w:t>-2</w:t>
      </w:r>
      <w:r w:rsidRPr="00DA4CEC">
        <w:rPr>
          <w:rFonts w:eastAsia="ＭＳ 明朝"/>
        </w:rPr>
        <w:t xml:space="preserve"> readily penetrated into the interior of the sand patties. The </w:t>
      </w:r>
      <w:r w:rsidR="00E81023" w:rsidRPr="00DA4CEC">
        <w:rPr>
          <w:rFonts w:eastAsia="ＭＳ 明朝"/>
        </w:rPr>
        <w:t>transport</w:t>
      </w:r>
      <w:r w:rsidRPr="00DA4CEC">
        <w:rPr>
          <w:rFonts w:eastAsia="ＭＳ 明朝"/>
        </w:rPr>
        <w:t xml:space="preserve"> of seawater through sand patties has important inferences for the potential transformation of the constituent chemicals.  Seawater is rich with nutrients, microbes and a variety of potential electron acceptors and donors that may be carried to the interior of sand patties.</w:t>
      </w:r>
      <w:r w:rsidRPr="00DA4CEC">
        <w:rPr>
          <w:rFonts w:eastAsia="ＭＳ 明朝"/>
        </w:rPr>
        <w:fldChar w:fldCharType="begin" w:fldLock="1"/>
      </w:r>
      <w:r w:rsidR="000076A8" w:rsidRPr="00DA4CEC">
        <w:rPr>
          <w:rFonts w:eastAsia="ＭＳ 明朝"/>
        </w:rPr>
        <w:instrText>ADDIN CSL_CITATION { "citationItems" : [ { "id" : "ITEM-1", "itemData" : { "DOI" : "10.3389/fmicb.2013.00189", "ISBN" : "1664-302X", "ISSN" : "1664302X", "PMID" : "23874326", "abstract" : "The vast marine deep biosphere consists of microbial habitats within sediment, pore waters, upper basaltic crust and the fluids that circulate throughout it. A wide range of temperature, pressure, pH, and electron donor and acceptor conditions exists-all of which can combine to affect carbon and nutrient cycling and result in gradients on spatial scales ranging from millimeters to kilometers. Diverse and mostly uncharacterized microorganisms live in these habitats, and potentially play a role in mediating global scale biogeochemical processes. Quantifying the rates at which microbial activity in the subsurface occurs is a challenging endeavor, yet developing an understanding of these rates is essential to determine the impact of subsurface life on Earth's global biogeochemical cycles, and for understanding how microorganisms in these \"extreme\" environments survive (or even thrive). Here, we synthesize recent advances and discoveries pertaining to microbial activity in the marine deep subsurface, and we highlight topics about which there is still little understanding and suggest potential paths forward to address them. This publication is the result of a workshop held in August 2012 by the NSF-funded Center for Dark Energy Biosphere Investigations (C-DEBI) \"theme team\" on microbial activity (www.darkenergybiosphere.org).", "author" : [ { "dropping-particle" : "", "family" : "Orcutt", "given" : "Beth N.", "non-dropping-particle" : "", "parse-names" : false, "suffix" : "" }, { "dropping-particle" : "", "family" : "LaRowe", "given" : "Douglas E.", "non-dropping-particle" : "", "parse-names" : false, "suffix" : "" }, { "dropping-particle" : "", "family" : "Biddle", "given" : "Jennifer F.", "non-dropping-particle" : "", "parse-names" : false, "suffix" : "" }, { "dropping-particle" : "", "family" : "Colwell", "given" : "Frederick S.", "non-dropping-particle" : "", "parse-names" : false, "suffix" : "" }, { "dropping-particle" : "", "family" : "Glazer", "given" : "Brian T.", "non-dropping-particle" : "", "parse-names" : false, "suffix" : "" }, { "dropping-particle" : "", "family" : "Reese", "given" : "Brandi Kiel", "non-dropping-particle" : "", "parse-names" : false, "suffix" : "" }, { "dropping-particle" : "", "family" : "Kirkpatrick", "given" : "John B.", "non-dropping-particle" : "", "parse-names" : false, "suffix" : "" }, { "dropping-particle" : "", "family" : "Lapham", "given" : "Laura L.", "non-dropping-particle" : "", "parse-names" : false, "suffix" : "" }, { "dropping-particle" : "", "family" : "Mills", "given" : "Heath J.", "non-dropping-particle" : "", "parse-names" : false, "suffix" : "" }, { "dropping-particle" : "", "family" : "Sylvan", "given" : "Jason B.", "non-dropping-particle" : "", "parse-names" : false, "suffix" : "" }, { "dropping-particle" : "", "family" : "Wankel", "given" : "Scott D.", "non-dropping-particle" : "", "parse-names" : false, "suffix" : "" }, { "dropping-particle" : "", "family" : "Wheat", "given" : "C. Geoff", "non-dropping-particle" : "", "parse-names" : false, "suffix" : "" } ], "container-title" : "Frontiers in Microbiology", "id" : "ITEM-1", "issue" : "JUL", "issued" : { "date-parts" : [ [ "2013" ] ] }, "page" : "1-15", "title" : "Microbial activity in the marine deep biosphere: Progress and prospects", "type" : "article-journal", "volume" : "4" }, "uris" : [ "http://www.mendeley.com/documents/?uuid=e10fc70b-b85d-4fdb-9870-0c40a216d02c" ] } ], "mendeley" : { "formattedCitation" : "&lt;sup&gt;42&lt;/sup&gt;", "plainTextFormattedCitation" : "42", "previouslyFormattedCitation" : "&lt;sup&gt;42&lt;/sup&gt;" }, "properties" : { "noteIndex" : 0 }, "schema" : "https://github.com/citation-style-language/schema/raw/master/csl-citation.json" }</w:instrText>
      </w:r>
      <w:r w:rsidRPr="00DA4CEC">
        <w:rPr>
          <w:rFonts w:eastAsia="ＭＳ 明朝"/>
        </w:rPr>
        <w:fldChar w:fldCharType="separate"/>
      </w:r>
      <w:r w:rsidR="000076A8" w:rsidRPr="00DA4CEC">
        <w:rPr>
          <w:rFonts w:eastAsia="ＭＳ 明朝"/>
          <w:noProof/>
          <w:vertAlign w:val="superscript"/>
        </w:rPr>
        <w:t>42</w:t>
      </w:r>
      <w:r w:rsidRPr="00DA4CEC">
        <w:rPr>
          <w:rFonts w:eastAsia="ＭＳ 明朝"/>
        </w:rPr>
        <w:fldChar w:fldCharType="end"/>
      </w:r>
      <w:r w:rsidRPr="00DA4CEC">
        <w:rPr>
          <w:rFonts w:eastAsia="ＭＳ 明朝"/>
        </w:rPr>
        <w:t xml:space="preserve">    Conversely, metabolic end products and partially transformed organic molecules can readily be leached from the sand patty interiors.  Thus, sand patties likely represent a suitable habitat for the enrichment and proliferation of microorganisms with the ability to metabolize the oil-derived organic matter.  Moreover, the </w:t>
      </w:r>
      <w:r w:rsidR="004D4432" w:rsidRPr="00DA4CEC">
        <w:rPr>
          <w:rFonts w:eastAsia="ＭＳ 明朝"/>
        </w:rPr>
        <w:t>relocation of potentially photo</w:t>
      </w:r>
      <w:r w:rsidRPr="00DA4CEC">
        <w:rPr>
          <w:rFonts w:eastAsia="ＭＳ 明朝"/>
        </w:rPr>
        <w:t>solubilized organic material</w:t>
      </w:r>
      <w:r w:rsidR="004D4432" w:rsidRPr="00DA4CEC">
        <w:rPr>
          <w:rFonts w:eastAsia="ＭＳ 明朝"/>
        </w:rPr>
        <w:t xml:space="preserve"> or microbial transformation products</w:t>
      </w:r>
      <w:r w:rsidRPr="00DA4CEC">
        <w:rPr>
          <w:rFonts w:eastAsia="ＭＳ 明朝"/>
        </w:rPr>
        <w:t xml:space="preserve"> from the interior of sand patties to the surrounding environment would likely be greatly facilitated by the penetration of seawater through these structures.</w:t>
      </w:r>
    </w:p>
    <w:p w14:paraId="395F421D" w14:textId="77777777" w:rsidR="00A94EF3" w:rsidRPr="00DA4CEC" w:rsidRDefault="00A94EF3" w:rsidP="00A94EF3">
      <w:pPr>
        <w:widowControl w:val="0"/>
        <w:autoSpaceDE w:val="0"/>
        <w:autoSpaceDN w:val="0"/>
        <w:adjustRightInd w:val="0"/>
        <w:rPr>
          <w:rFonts w:eastAsia="ＭＳ 明朝"/>
        </w:rPr>
      </w:pPr>
      <w:r w:rsidRPr="00DA4CEC">
        <w:rPr>
          <w:rFonts w:eastAsia="ＭＳ 明朝"/>
        </w:rPr>
        <w:tab/>
        <w:t xml:space="preserve">Indeed, the UV absorbance characteristics of irradiated and dark sand patty material that partitioned to seawater showed increases in absorbance between 250-280 nm (Supplemental Figure S2) relative to the endogenous organic matter.  This </w:t>
      </w:r>
      <w:r w:rsidR="004D4432" w:rsidRPr="00DA4CEC">
        <w:rPr>
          <w:rFonts w:eastAsia="ＭＳ 明朝"/>
        </w:rPr>
        <w:t xml:space="preserve">spectral </w:t>
      </w:r>
      <w:r w:rsidRPr="00DA4CEC">
        <w:rPr>
          <w:rFonts w:eastAsia="ＭＳ 明朝"/>
        </w:rPr>
        <w:t>region</w:t>
      </w:r>
      <w:r w:rsidR="004D4432" w:rsidRPr="00DA4CEC">
        <w:rPr>
          <w:rFonts w:eastAsia="ＭＳ 明朝"/>
        </w:rPr>
        <w:t xml:space="preserve"> is</w:t>
      </w:r>
      <w:r w:rsidRPr="00DA4CEC">
        <w:rPr>
          <w:rFonts w:eastAsia="ＭＳ 明朝"/>
        </w:rPr>
        <w:t xml:space="preserve"> where aromatic ring structures absorb light and is consistent with the notion that the resulting DOM is likely oil-derived.  Similarly, the DOM in both the irradiated and dark samples were quantitatively far more important than the measured endogenous DOM levels (Fig 5A).  </w:t>
      </w:r>
      <w:r w:rsidR="004D4432" w:rsidRPr="00DA4CEC">
        <w:rPr>
          <w:rFonts w:eastAsia="ＭＳ 明朝"/>
        </w:rPr>
        <w:t>The general absorbance features</w:t>
      </w:r>
      <w:r w:rsidRPr="00DA4CEC">
        <w:rPr>
          <w:rFonts w:eastAsia="ＭＳ 明朝"/>
        </w:rPr>
        <w:t xml:space="preserve"> in this range of wavelengths of </w:t>
      </w:r>
      <w:r w:rsidRPr="00DA4CEC">
        <w:rPr>
          <w:rFonts w:eastAsia="ＭＳ 明朝"/>
        </w:rPr>
        <w:lastRenderedPageBreak/>
        <w:t xml:space="preserve">the sand patty-derived DOM were reminiscent of other reports of DOM emanating from the weathering of the </w:t>
      </w:r>
      <w:r w:rsidR="00E81023" w:rsidRPr="00DA4CEC">
        <w:rPr>
          <w:rFonts w:eastAsia="ＭＳ 明朝"/>
        </w:rPr>
        <w:t>Deepwater Horizon</w:t>
      </w:r>
      <w:r w:rsidRPr="00DA4CEC">
        <w:rPr>
          <w:rFonts w:eastAsia="ＭＳ 明朝"/>
        </w:rPr>
        <w:t xml:space="preserve"> oil.</w:t>
      </w:r>
      <w:r w:rsidRPr="00DA4CEC">
        <w:rPr>
          <w:rFonts w:eastAsia="ＭＳ 明朝"/>
        </w:rPr>
        <w:fldChar w:fldCharType="begin" w:fldLock="1"/>
      </w:r>
      <w:r w:rsidR="001317C1" w:rsidRPr="00DA4CEC">
        <w:rPr>
          <w:rFonts w:eastAsia="ＭＳ 明朝"/>
        </w:rPr>
        <w:instrText>ADDIN CSL_CITATION { "citationItems" : [ { "id" : "ITEM-1", "itemData" : { "DOI" : "10.1021/es501547b", "ISSN" : "0013-936X", "author" : [ { "dropping-particle" : "", "family" : "Bianchi", "given" : "Thomas S", "non-dropping-particle" : "", "parse-names" : false, "suffix" : "" }, { "dropping-particle" : "", "family" : "Osburn", "given" : "Christopher", "non-dropping-particle" : "", "parse-names" : false, "suffix" : "" }, { "dropping-particle" : "", "family" : "Shields", "given" : "Michael R", "non-dropping-particle" : "", "parse-names" : false, "suffix" : "" }, { "dropping-particle" : "", "family" : "Yvon-Lewis", "given" : "Shari", "non-dropping-particle" : "", "parse-names" : false, "suffix" : "" }, { "dropping-particle" : "", "family" : "Young", "given" : "Jordan", "non-dropping-particle" : "", "parse-names" : false, "suffix" : "" }, { "dropping-particle" : "", "family" : "Guo", "given" : "Laodong", "non-dropping-particle" : "", "parse-names" : false, "suffix" : "" }, { "dropping-particle" : "", "family" : "Zhou", "given" : "Zhengzhen", "non-dropping-particle" : "", "parse-names" : false, "suffix" : "" } ], "container-title" : "Environmental Science &amp; Technology", "id" : "ITEM-1", "issue" : "16", "issued" : { "date-parts" : [ [ "2014", "8", "19" ] ] }, "note" : "doi: 10.1021/es501547b", "page" : "9288-9297", "publisher" : "American Chemical Society", "title" : "Deepwater Horizon Oil in Gulf of Mexico Waters after 2 Years: Transformation into the Dissolved Organic Matter Pool", "type" : "article-journal", "volume" : "48" }, "uris" : [ "http://www.mendeley.com/documents/?uuid=8ce1291e-0955-4360-99ef-61ea405b3b1b" ] } ], "mendeley" : { "formattedCitation" : "&lt;sup&gt;53&lt;/sup&gt;", "plainTextFormattedCitation" : "53", "previouslyFormattedCitation" : "&lt;sup&gt;53&lt;/sup&gt;" }, "properties" : { "noteIndex" : 0 }, "schema" : "https://github.com/citation-style-language/schema/raw/master/csl-citation.json" }</w:instrText>
      </w:r>
      <w:r w:rsidRPr="00DA4CEC">
        <w:rPr>
          <w:rFonts w:eastAsia="ＭＳ 明朝"/>
        </w:rPr>
        <w:fldChar w:fldCharType="separate"/>
      </w:r>
      <w:r w:rsidR="000076A8" w:rsidRPr="00DA4CEC">
        <w:rPr>
          <w:rFonts w:eastAsia="ＭＳ 明朝"/>
          <w:noProof/>
          <w:vertAlign w:val="superscript"/>
        </w:rPr>
        <w:t>53</w:t>
      </w:r>
      <w:r w:rsidRPr="00DA4CEC">
        <w:rPr>
          <w:rFonts w:eastAsia="ＭＳ 明朝"/>
        </w:rPr>
        <w:fldChar w:fldCharType="end"/>
      </w:r>
      <w:r w:rsidRPr="00DA4CEC">
        <w:rPr>
          <w:rFonts w:eastAsia="ＭＳ 明朝"/>
        </w:rPr>
        <w:t xml:space="preserve">  Most notably, the quantitative increase in aromatic DOM constituents formed as a result of natural weathering processes seems to be a generalizing feature </w:t>
      </w:r>
      <w:r w:rsidR="00DF1B8A" w:rsidRPr="00DA4CEC">
        <w:rPr>
          <w:rFonts w:eastAsia="ＭＳ 明朝"/>
        </w:rPr>
        <w:t>of oil decomposition.</w:t>
      </w:r>
      <w:r w:rsidR="00D83A6F" w:rsidRPr="00DA4CEC">
        <w:rPr>
          <w:rFonts w:eastAsia="ＭＳ 明朝"/>
        </w:rPr>
        <w:fldChar w:fldCharType="begin" w:fldLock="1"/>
      </w:r>
      <w:r w:rsidR="00D34B4F" w:rsidRPr="00DA4CEC">
        <w:rPr>
          <w:rFonts w:eastAsia="ＭＳ 明朝"/>
        </w:rPr>
        <w:instrText>ADDIN CSL_CITATION { "citationItems" : [ { "id" : "ITEM-1", "itemData" : { "DOI" : "10.1016/j.jhazmat.2014.08.059", "ISSN" : "0304-3894", "author" : [ { "dropping-particle" : "", "family" : "Ray", "given" : "Phoebe Z", "non-dropping-particle" : "", "parse-names" : false, "suffix" : "" }, { "dropping-particle" : "", "family" : "Chen", "given" : "Huan", "non-dropping-particle" : "", "parse-names" : false, "suffix" : "" }, { "dropping-particle" : "", "family" : "Podgorski", "given" : "David C", "non-dropping-particle" : "", "parse-names" : false, "suffix" : "" }, { "dropping-particle" : "", "family" : "Mckenna", "given" : "Amy M", "non-dropping-particle" : "", "parse-names" : false, "suffix" : "" }, { "dropping-particle" : "", "family" : "Tarr", "given" : "Matthew A", "non-dropping-particle" : "", "parse-names" : false, "suffix" : "" } ], "container-title" : "Journal of Hazardous Materials", "id" : "ITEM-1", "issued" : { "date-parts" : [ [ "2014" ] ] }, "page" : "636-643", "publisher" : "Elsevier B.V.", "title" : "Sunlight creates oxygenated species in water-soluble fractions of Deepwater horizon oil", "type" : "article-journal", "volume" : "280" }, "uris" : [ "http://www.mendeley.com/documents/?uuid=56a02569-1afe-4a98-825e-db40f756882b" ] } ], "mendeley" : { "formattedCitation" : "&lt;sup&gt;24&lt;/sup&gt;", "plainTextFormattedCitation" : "24", "previouslyFormattedCitation" : "&lt;sup&gt;24&lt;/sup&gt;" }, "properties" : { "noteIndex" : 0 }, "schema" : "https://github.com/citation-style-language/schema/raw/master/csl-citation.json" }</w:instrText>
      </w:r>
      <w:r w:rsidR="00D83A6F" w:rsidRPr="00DA4CEC">
        <w:rPr>
          <w:rFonts w:eastAsia="ＭＳ 明朝"/>
        </w:rPr>
        <w:fldChar w:fldCharType="separate"/>
      </w:r>
      <w:r w:rsidR="00D34B4F" w:rsidRPr="00DA4CEC">
        <w:rPr>
          <w:rFonts w:eastAsia="ＭＳ 明朝"/>
          <w:noProof/>
          <w:vertAlign w:val="superscript"/>
        </w:rPr>
        <w:t>24</w:t>
      </w:r>
      <w:r w:rsidR="00D83A6F" w:rsidRPr="00DA4CEC">
        <w:rPr>
          <w:rFonts w:eastAsia="ＭＳ 明朝"/>
        </w:rPr>
        <w:fldChar w:fldCharType="end"/>
      </w:r>
      <w:r w:rsidRPr="00DA4CEC">
        <w:rPr>
          <w:rFonts w:eastAsia="ＭＳ 明朝"/>
        </w:rPr>
        <w:t xml:space="preserve">  </w:t>
      </w:r>
    </w:p>
    <w:p w14:paraId="16781752" w14:textId="77777777" w:rsidR="00A94EF3" w:rsidRPr="00DA4CEC" w:rsidRDefault="00A94EF3" w:rsidP="00A94EF3">
      <w:pPr>
        <w:widowControl w:val="0"/>
        <w:autoSpaceDE w:val="0"/>
        <w:autoSpaceDN w:val="0"/>
        <w:adjustRightInd w:val="0"/>
        <w:rPr>
          <w:rFonts w:eastAsia="ＭＳ 明朝"/>
        </w:rPr>
      </w:pPr>
      <w:r w:rsidRPr="00DA4CEC">
        <w:rPr>
          <w:rFonts w:eastAsia="ＭＳ 明朝"/>
        </w:rPr>
        <w:tab/>
        <w:t>An assessment of the aerobic biodegradability of sand patty-derived DOM was examined by comparing the rate of oxygen consumption in sediment samples amended with dark or irradiated DOM, whole sand patty material or only endogenous organic matter.  The rate of oxygen consumption and thus the amount of biodegradable organic matter was lowest in samples amended with endogenous organic matter (after 24 h), intermediate with dark DOM or whole sand patty material and highest with irradiated samples (Fig. 3).  Presumably the potential electron donors emanating from the whole sand patty and the dark DOM are somewhat comparable as they gave overlapping rates of oxygen consumption.  Of course, the significant i</w:t>
      </w:r>
      <w:r w:rsidR="0011150E" w:rsidRPr="00DA4CEC">
        <w:rPr>
          <w:rFonts w:eastAsia="ＭＳ 明朝"/>
        </w:rPr>
        <w:t>ncrease</w:t>
      </w:r>
      <w:r w:rsidRPr="00DA4CEC">
        <w:rPr>
          <w:rFonts w:eastAsia="ＭＳ 明朝"/>
        </w:rPr>
        <w:t xml:space="preserve"> in rate of oxygen consumption observed with the irradiated DOM suggests that this material is more susceptible to aerobic decay processes. However, there is also no doubt </w:t>
      </w:r>
      <w:r w:rsidR="00E81023" w:rsidRPr="00DA4CEC">
        <w:rPr>
          <w:rFonts w:eastAsia="ＭＳ 明朝"/>
        </w:rPr>
        <w:t>that</w:t>
      </w:r>
      <w:r w:rsidRPr="00DA4CEC">
        <w:rPr>
          <w:rFonts w:eastAsia="ＭＳ 明朝"/>
        </w:rPr>
        <w:t xml:space="preserve"> both the quality (Fig 2) and quantity (Fig 5) of the DOM in this sample </w:t>
      </w:r>
      <w:r w:rsidR="00184642" w:rsidRPr="00DA4CEC">
        <w:rPr>
          <w:rFonts w:eastAsia="ＭＳ 明朝"/>
        </w:rPr>
        <w:t>were</w:t>
      </w:r>
      <w:r w:rsidRPr="00DA4CEC">
        <w:rPr>
          <w:rFonts w:eastAsia="ＭＳ 明朝"/>
        </w:rPr>
        <w:t xml:space="preserve"> far di</w:t>
      </w:r>
      <w:r w:rsidR="004D4432" w:rsidRPr="00DA4CEC">
        <w:rPr>
          <w:rFonts w:eastAsia="ＭＳ 明朝"/>
        </w:rPr>
        <w:t>fferent from either the dark or</w:t>
      </w:r>
      <w:r w:rsidRPr="00DA4CEC">
        <w:rPr>
          <w:rFonts w:eastAsia="ＭＳ 明朝"/>
        </w:rPr>
        <w:t xml:space="preserve"> endogenous DOM.  Thus, a comparison of the changes in DOM both before and after the biodegradation experiment was conducted.</w:t>
      </w:r>
    </w:p>
    <w:p w14:paraId="182374E4" w14:textId="77777777" w:rsidR="00A94EF3" w:rsidRPr="00DA4CEC" w:rsidRDefault="00A94EF3" w:rsidP="00A94EF3">
      <w:pPr>
        <w:widowControl w:val="0"/>
        <w:autoSpaceDE w:val="0"/>
        <w:autoSpaceDN w:val="0"/>
        <w:adjustRightInd w:val="0"/>
        <w:rPr>
          <w:rFonts w:eastAsia="ＭＳ 明朝"/>
        </w:rPr>
      </w:pPr>
      <w:r w:rsidRPr="00DA4CEC">
        <w:rPr>
          <w:rFonts w:eastAsia="ＭＳ 明朝"/>
        </w:rPr>
        <w:tab/>
        <w:t xml:space="preserve">There were clear qualitative differences in DOM at the start of the biodegradation experiment between the sand patty-derived organic matter formed by the dark and irradiation procedures.   In both cases, the Van Krevelen difference plots (Fig.4) revealed that both sources of DOM represented complex molecular mixtures.  These plots confirm that there were a greater number of molecular features in the DOM </w:t>
      </w:r>
      <w:r w:rsidRPr="00DA4CEC">
        <w:rPr>
          <w:rFonts w:eastAsia="ＭＳ 明朝"/>
        </w:rPr>
        <w:lastRenderedPageBreak/>
        <w:t>produced through irradiation than the corresponding dark samples.  In addition, the DOM formed</w:t>
      </w:r>
      <w:r w:rsidR="00E261D1" w:rsidRPr="00DA4CEC">
        <w:rPr>
          <w:rFonts w:eastAsia="ＭＳ 明朝"/>
        </w:rPr>
        <w:t xml:space="preserve"> by irradiation tended to have</w:t>
      </w:r>
      <w:r w:rsidRPr="00DA4CEC">
        <w:rPr>
          <w:rFonts w:eastAsia="ＭＳ 明朝"/>
        </w:rPr>
        <w:t xml:space="preserve"> lower H/C and higher O/C ratios, confirming the more oxidized nature of the starting substrates for microbial attack.  </w:t>
      </w:r>
    </w:p>
    <w:p w14:paraId="234808F9" w14:textId="77777777" w:rsidR="00A94EF3" w:rsidRPr="00DA4CEC" w:rsidRDefault="00A94EF3" w:rsidP="00A94EF3">
      <w:pPr>
        <w:widowControl w:val="0"/>
        <w:autoSpaceDE w:val="0"/>
        <w:autoSpaceDN w:val="0"/>
        <w:adjustRightInd w:val="0"/>
        <w:rPr>
          <w:rFonts w:eastAsia="ＭＳ 明朝"/>
        </w:rPr>
      </w:pPr>
      <w:r w:rsidRPr="00DA4CEC">
        <w:rPr>
          <w:rFonts w:eastAsia="ＭＳ 明朝"/>
        </w:rPr>
        <w:tab/>
        <w:t>Following the biodegradation experiment, the major chemical difference in DOM produced in the presence of artificial sunlight is the removal of an abundant group of molecular features with an O/C value of ~0.4 and H/C of about ~1.25.  A plausible explanation is that photochemical processes result in the disaggregation of relatively small, but highly alkylated aromatic compounds (1-2 ring), that are then readily available to the indigenous microflora. This contention is supported by the relatively high slope ratio (small</w:t>
      </w:r>
      <w:r w:rsidR="00F05B31" w:rsidRPr="00DA4CEC">
        <w:rPr>
          <w:rFonts w:eastAsia="ＭＳ 明朝"/>
        </w:rPr>
        <w:t xml:space="preserve"> molecules</w:t>
      </w:r>
      <w:r w:rsidRPr="00DA4CEC">
        <w:rPr>
          <w:rFonts w:eastAsia="ＭＳ 明朝"/>
        </w:rPr>
        <w:t>), low humification index (unconjugated), and high freshness index (aliphatic) observed for the molecular features produced at the end of the biodegradation experiment.  In contrast, the lower spectral slope and freshness index as well as the higher humification index collectively argue that the dark DOM, at both T</w:t>
      </w:r>
      <w:r w:rsidRPr="00DA4CEC">
        <w:rPr>
          <w:rFonts w:eastAsia="ＭＳ 明朝"/>
          <w:vertAlign w:val="subscript"/>
        </w:rPr>
        <w:t>0</w:t>
      </w:r>
      <w:r w:rsidRPr="00DA4CEC">
        <w:rPr>
          <w:rFonts w:eastAsia="ＭＳ 明朝"/>
        </w:rPr>
        <w:t xml:space="preserve"> and T</w:t>
      </w:r>
      <w:r w:rsidRPr="00DA4CEC">
        <w:rPr>
          <w:rFonts w:eastAsia="ＭＳ 明朝"/>
          <w:vertAlign w:val="subscript"/>
        </w:rPr>
        <w:t>Final</w:t>
      </w:r>
      <w:r w:rsidRPr="00DA4CEC">
        <w:rPr>
          <w:rFonts w:eastAsia="ＭＳ 明朝"/>
        </w:rPr>
        <w:t xml:space="preserve">, had more </w:t>
      </w:r>
      <w:r w:rsidR="00B4439E" w:rsidRPr="00DA4CEC">
        <w:rPr>
          <w:rFonts w:eastAsia="ＭＳ 明朝"/>
        </w:rPr>
        <w:t xml:space="preserve">complex </w:t>
      </w:r>
      <w:r w:rsidRPr="00DA4CEC">
        <w:rPr>
          <w:rFonts w:eastAsia="ＭＳ 明朝"/>
        </w:rPr>
        <w:t xml:space="preserve">character than the comparable determinations on the organic matter formed in the presence of the sunlight.  The reduced </w:t>
      </w:r>
      <w:r w:rsidR="00B4439E" w:rsidRPr="00DA4CEC">
        <w:rPr>
          <w:rFonts w:eastAsia="ＭＳ 明朝"/>
        </w:rPr>
        <w:t>complex</w:t>
      </w:r>
      <w:r w:rsidRPr="00DA4CEC">
        <w:rPr>
          <w:rFonts w:eastAsia="ＭＳ 明朝"/>
        </w:rPr>
        <w:t xml:space="preserve"> character likely accounts for the greater susceptibility of the irradiated DOM to aerobic biodegradation.</w:t>
      </w:r>
    </w:p>
    <w:p w14:paraId="1D8D1080" w14:textId="77777777" w:rsidR="00A94EF3" w:rsidRPr="00DA4CEC" w:rsidRDefault="00A94EF3" w:rsidP="00A94EF3">
      <w:pPr>
        <w:widowControl w:val="0"/>
        <w:autoSpaceDE w:val="0"/>
        <w:autoSpaceDN w:val="0"/>
        <w:adjustRightInd w:val="0"/>
        <w:rPr>
          <w:rFonts w:eastAsia="ＭＳ 明朝"/>
        </w:rPr>
      </w:pPr>
      <w:r w:rsidRPr="00DA4CEC">
        <w:rPr>
          <w:rFonts w:eastAsia="ＭＳ 明朝"/>
        </w:rPr>
        <w:tab/>
        <w:t xml:space="preserve">In fact, the dark and irradiated DOM exhibited a classical biodegradation trend of the removal of predominately high H/C molecular features and production of molecular features with relatively low H/C (Fig 4).  The molecular features that were manifest at the end of the biodegradation experiment exhibited a higher O/C ratio suggesting that the more highly oxidized nature of the intermediates or end products that were formed.  These results corroborate and support the optical measurement trends </w:t>
      </w:r>
      <w:r w:rsidRPr="00DA4CEC">
        <w:rPr>
          <w:rFonts w:eastAsia="ＭＳ 明朝"/>
        </w:rPr>
        <w:lastRenderedPageBreak/>
        <w:t xml:space="preserve">that are indicative of biodegradation.  That is, there was an increase in the humification index, as well as a decrease in both the freshness index and the slope ratio associated with the biodegradation of the endogenous, dark and irradiated DOM. </w:t>
      </w:r>
    </w:p>
    <w:p w14:paraId="47BEC263" w14:textId="77777777" w:rsidR="0003440D" w:rsidRPr="00DA4CEC" w:rsidRDefault="00A94EF3" w:rsidP="00863D6C">
      <w:pPr>
        <w:pStyle w:val="Heading1"/>
      </w:pPr>
      <w:r w:rsidRPr="00DA4CEC">
        <w:tab/>
        <w:t>The long-term effects of the Deepwater Horizon oil spill are still under intense scientific scrutiny.  Numerous studies examined the fate of the spilled oil and its transformation by a variety of weathering processes.  This study found that both sunlight and aerobic microbial metabolism could further transform oil-derived sand patties and represent a major form of advance</w:t>
      </w:r>
      <w:r w:rsidR="00D83A6F" w:rsidRPr="00DA4CEC">
        <w:t xml:space="preserve">d oil weathering processes.  </w:t>
      </w:r>
      <w:r w:rsidR="00B4439E" w:rsidRPr="00DA4CEC">
        <w:t>Hayworth et al.</w:t>
      </w:r>
      <w:r w:rsidRPr="00DA4CEC">
        <w:t xml:space="preserve"> detailed a conceptual model wherein sand patties that washed onto beaches may be biochemically degraded and shrink in size until they become non-recoverable.</w:t>
      </w:r>
      <w:r w:rsidR="00D83A6F" w:rsidRPr="00DA4CEC">
        <w:fldChar w:fldCharType="begin" w:fldLock="1"/>
      </w:r>
      <w:r w:rsidR="00D34B4F" w:rsidRPr="00DA4CEC">
        <w:instrText>ADDIN CSL_CITATION { "citationItems" : [ { "id" : "ITEM-1", "itemData" : { "DOI" : "10.1016/j.marpolbul.2014.11.016", "ISSN" : "0025-326X", "author" : [ { "dropping-particle" : "", "family" : "Hayworth", "given" : "Joel S", "non-dropping-particle" : "", "parse-names" : false, "suffix" : "" }, { "dropping-particle" : "", "family" : "Clement", "given" : "T Prabakhar", "non-dropping-particle" : "", "parse-names" : false, "suffix" : "" }, { "dropping-particle" : "", "family" : "John", "given" : "Gerald F", "non-dropping-particle" : "", "parse-names" : false, "suffix" : "" }, { "dropping-particle" : "", "family" : "Yin", "given" : "Fang", "non-dropping-particle" : "", "parse-names" : false, "suffix" : "" } ], "container-title" : "Marine Pollution Bulletin", "id" : "ITEM-1", "issue" : "1-2", "issued" : { "date-parts" : [ [ "2015" ] ] }, "page" : "95-105", "publisher" : "Elsevier Ltd", "title" : "Fate of Deepwater Horizon oil in Alabama \u2019 s beach system : Understanding physical evolution processes based on observational data", "type" : "article-journal", "volume" : "90" }, "uris" : [ "http://www.mendeley.com/documents/?uuid=b7199ebc-2673-485f-a174-deadb0f207aa" ] } ], "mendeley" : { "formattedCitation" : "&lt;sup&gt;18&lt;/sup&gt;", "plainTextFormattedCitation" : "18", "previouslyFormattedCitation" : "&lt;sup&gt;18&lt;/sup&gt;" }, "properties" : { "noteIndex" : 0 }, "schema" : "https://github.com/citation-style-language/schema/raw/master/csl-citation.json" }</w:instrText>
      </w:r>
      <w:r w:rsidR="00D83A6F" w:rsidRPr="00DA4CEC">
        <w:fldChar w:fldCharType="separate"/>
      </w:r>
      <w:r w:rsidR="00D34B4F" w:rsidRPr="00DA4CEC">
        <w:rPr>
          <w:noProof/>
          <w:vertAlign w:val="superscript"/>
        </w:rPr>
        <w:t>18</w:t>
      </w:r>
      <w:r w:rsidR="00D83A6F" w:rsidRPr="00DA4CEC">
        <w:fldChar w:fldCharType="end"/>
      </w:r>
      <w:r w:rsidRPr="00DA4CEC">
        <w:t xml:space="preserve">  Our study helps provide a mechanistic basis for how sand patties might undergo this reduction in mass.  Thus, sand patties get deposited onto GoM beaches and are exposed to sunlight during daylight hours and wave action throughout the day.  The sand patties then represent a source of DOM to the surrounding environment as seawater readily penetrates these structures.  Upon exposure to sunlight and seawater, a complex suite of oxi</w:t>
      </w:r>
      <w:r w:rsidR="00B4439E" w:rsidRPr="00DA4CEC">
        <w:t>dized organic material is photo</w:t>
      </w:r>
      <w:r w:rsidRPr="00DA4CEC">
        <w:t xml:space="preserve">solubilized from the sand patties.  Under dark conditions, a different suite of complex molecular features is also leached from the sand patties.  In either the dark or the light, the water-soluble DOM is not inhibitory to the resident microflora and at least partially amenable to aerobic biodegradation processes.  However, the photooxidized DOM is quantitatively more important than the dark DOM and represents a better source of electron donors supporting aerobic microbial respiration. </w:t>
      </w:r>
      <w:r w:rsidR="00B4439E" w:rsidRPr="00DA4CEC">
        <w:t xml:space="preserve">These experiments clearly indicate the importance of sunlight in controlling the fate of highly weathered oil residue as well as the complex interplay between </w:t>
      </w:r>
      <w:r w:rsidR="00B4439E" w:rsidRPr="00DA4CEC">
        <w:lastRenderedPageBreak/>
        <w:t>photochemical and biological transformation processes.</w:t>
      </w:r>
      <w:r w:rsidRPr="00DA4CEC">
        <w:t xml:space="preserve"> Finally, a comparable set of experiments designed to evaluate the anaerobic biodegradation of the sand patty-derived DOM suggests that this organic material tends to be recalcitrant under sulfate reducing conditions (Appendix A).</w:t>
      </w:r>
    </w:p>
    <w:p w14:paraId="7C34192B" w14:textId="77777777" w:rsidR="00A94EF3" w:rsidRPr="00DA4CEC" w:rsidRDefault="0003440D" w:rsidP="0003440D">
      <w:pPr>
        <w:jc w:val="center"/>
        <w:rPr>
          <w:rFonts w:eastAsia="ＭＳ 明朝"/>
          <w:b/>
        </w:rPr>
      </w:pPr>
      <w:r w:rsidRPr="00DA4CEC">
        <w:rPr>
          <w:rFonts w:eastAsia="ＭＳ 明朝"/>
        </w:rPr>
        <w:br w:type="page"/>
      </w:r>
      <w:r w:rsidR="00A94EF3" w:rsidRPr="00DA4CEC">
        <w:rPr>
          <w:b/>
        </w:rPr>
        <w:lastRenderedPageBreak/>
        <w:t>References</w:t>
      </w:r>
    </w:p>
    <w:p w14:paraId="75B67237" w14:textId="77777777" w:rsidR="00642FEC" w:rsidRPr="00DA4CEC" w:rsidRDefault="00A94EF3" w:rsidP="0055733E">
      <w:pPr>
        <w:widowControl w:val="0"/>
        <w:autoSpaceDE w:val="0"/>
        <w:autoSpaceDN w:val="0"/>
        <w:adjustRightInd w:val="0"/>
        <w:spacing w:line="240" w:lineRule="auto"/>
        <w:ind w:left="640" w:hanging="640"/>
        <w:rPr>
          <w:noProof/>
        </w:rPr>
      </w:pPr>
      <w:r w:rsidRPr="00DA4CEC">
        <w:rPr>
          <w:noProof/>
        </w:rPr>
        <w:t xml:space="preserve">(1) </w:t>
      </w:r>
      <w:r w:rsidRPr="00DA4CEC">
        <w:rPr>
          <w:noProof/>
        </w:rPr>
        <w:tab/>
      </w:r>
      <w:r w:rsidR="00FB6691" w:rsidRPr="00DA4CEC">
        <w:rPr>
          <w:noProof/>
        </w:rPr>
        <w:fldChar w:fldCharType="begin" w:fldLock="1"/>
      </w:r>
      <w:r w:rsidR="00FB6691" w:rsidRPr="00DA4CEC">
        <w:rPr>
          <w:noProof/>
        </w:rPr>
        <w:instrText xml:space="preserve">ADDIN Mendeley Bibliography CSL_BIBLIOGRAPHY </w:instrText>
      </w:r>
      <w:r w:rsidR="00FB6691" w:rsidRPr="00DA4CEC">
        <w:rPr>
          <w:noProof/>
        </w:rPr>
        <w:fldChar w:fldCharType="separate"/>
      </w:r>
      <w:r w:rsidR="00642FEC" w:rsidRPr="00DA4CEC">
        <w:rPr>
          <w:noProof/>
        </w:rPr>
        <w:t xml:space="preserve">Mcnutt, M. K.; Camilli, R.; Crone, T. J.; Guthrie, G. D.; Hsieh, P. A.; Ryerson, T. B.; Savas, O.; Shaffer, F. Review of flow rate estimates of the </w:t>
      </w:r>
      <w:r w:rsidR="00642FEC" w:rsidRPr="009D6EBE">
        <w:rPr>
          <w:i/>
          <w:noProof/>
        </w:rPr>
        <w:t>Deepwater Horizon</w:t>
      </w:r>
      <w:r w:rsidR="00642FEC" w:rsidRPr="00DA4CEC">
        <w:rPr>
          <w:noProof/>
        </w:rPr>
        <w:t xml:space="preserve"> oil spill. </w:t>
      </w:r>
      <w:r w:rsidR="00642FEC" w:rsidRPr="00DA4CEC">
        <w:rPr>
          <w:i/>
          <w:iCs/>
          <w:noProof/>
        </w:rPr>
        <w:t>Proceeds Natl. Acad. Sci.</w:t>
      </w:r>
      <w:r w:rsidR="00642FEC" w:rsidRPr="00DA4CEC">
        <w:rPr>
          <w:noProof/>
        </w:rPr>
        <w:t xml:space="preserve"> </w:t>
      </w:r>
      <w:r w:rsidR="00642FEC" w:rsidRPr="00DA4CEC">
        <w:rPr>
          <w:b/>
          <w:bCs/>
          <w:noProof/>
        </w:rPr>
        <w:t>2012</w:t>
      </w:r>
      <w:r w:rsidR="00642FEC" w:rsidRPr="00DA4CEC">
        <w:rPr>
          <w:noProof/>
        </w:rPr>
        <w:t xml:space="preserve">, </w:t>
      </w:r>
      <w:r w:rsidR="00642FEC" w:rsidRPr="00DA4CEC">
        <w:rPr>
          <w:i/>
          <w:iCs/>
          <w:noProof/>
        </w:rPr>
        <w:t>109</w:t>
      </w:r>
      <w:r w:rsidR="00642FEC" w:rsidRPr="00DA4CEC">
        <w:rPr>
          <w:noProof/>
        </w:rPr>
        <w:t xml:space="preserve"> (50), 20260–20267.</w:t>
      </w:r>
    </w:p>
    <w:p w14:paraId="7348A1E3" w14:textId="77777777" w:rsidR="0055733E" w:rsidRPr="00DA4CEC" w:rsidRDefault="0055733E" w:rsidP="0055733E">
      <w:pPr>
        <w:widowControl w:val="0"/>
        <w:autoSpaceDE w:val="0"/>
        <w:autoSpaceDN w:val="0"/>
        <w:adjustRightInd w:val="0"/>
        <w:spacing w:line="240" w:lineRule="auto"/>
        <w:ind w:left="640" w:hanging="640"/>
        <w:rPr>
          <w:noProof/>
        </w:rPr>
      </w:pPr>
    </w:p>
    <w:p w14:paraId="44776FAF"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(2) </w:t>
      </w:r>
      <w:r w:rsidRPr="00DA4CEC">
        <w:rPr>
          <w:noProof/>
        </w:rPr>
        <w:tab/>
        <w:t xml:space="preserve">Joye, S. B.; Macdonald, I. R.; Leifer, I.; Asper, V. Magnitude and oxidation potential of hydrocarbon gases released from the BP oil well blowout. </w:t>
      </w:r>
      <w:r w:rsidRPr="00DA4CEC">
        <w:rPr>
          <w:i/>
          <w:iCs/>
          <w:noProof/>
        </w:rPr>
        <w:t>Nat. Geosci.</w:t>
      </w:r>
      <w:r w:rsidRPr="00DA4CEC">
        <w:rPr>
          <w:noProof/>
        </w:rPr>
        <w:t xml:space="preserve"> </w:t>
      </w:r>
      <w:r w:rsidRPr="00DA4CEC">
        <w:rPr>
          <w:b/>
          <w:bCs/>
          <w:noProof/>
        </w:rPr>
        <w:t>2011</w:t>
      </w:r>
      <w:r w:rsidRPr="00DA4CEC">
        <w:rPr>
          <w:noProof/>
        </w:rPr>
        <w:t xml:space="preserve">, </w:t>
      </w:r>
      <w:r w:rsidRPr="00DA4CEC">
        <w:rPr>
          <w:i/>
          <w:iCs/>
          <w:noProof/>
        </w:rPr>
        <w:t>4</w:t>
      </w:r>
      <w:r w:rsidRPr="00DA4CEC">
        <w:rPr>
          <w:noProof/>
        </w:rPr>
        <w:t xml:space="preserve"> (3), 160–164.</w:t>
      </w:r>
    </w:p>
    <w:p w14:paraId="35046DE8" w14:textId="77777777" w:rsidR="0055733E" w:rsidRPr="00DA4CEC" w:rsidRDefault="0055733E" w:rsidP="0055733E">
      <w:pPr>
        <w:widowControl w:val="0"/>
        <w:autoSpaceDE w:val="0"/>
        <w:autoSpaceDN w:val="0"/>
        <w:adjustRightInd w:val="0"/>
        <w:spacing w:line="240" w:lineRule="auto"/>
        <w:ind w:left="640" w:hanging="640"/>
        <w:rPr>
          <w:noProof/>
        </w:rPr>
      </w:pPr>
    </w:p>
    <w:p w14:paraId="05F93540"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(3) </w:t>
      </w:r>
      <w:r w:rsidRPr="00DA4CEC">
        <w:rPr>
          <w:noProof/>
        </w:rPr>
        <w:tab/>
        <w:t xml:space="preserve">Camilli, R.; Di, D.; Bowen, A.; Reddy, C. M.; Techet, A. H.; Yoerger, D. R.; Whitcomb, L. L.; Seewald, J. S.; Sylva, S. P.; Fenwick, J. Acoustic measurement of the </w:t>
      </w:r>
      <w:r w:rsidRPr="009D6EBE">
        <w:rPr>
          <w:i/>
          <w:noProof/>
        </w:rPr>
        <w:t>Deepwater Horizon</w:t>
      </w:r>
      <w:r w:rsidRPr="00DA4CEC">
        <w:rPr>
          <w:noProof/>
        </w:rPr>
        <w:t xml:space="preserve"> Macondo well flow rate. </w:t>
      </w:r>
      <w:r w:rsidRPr="00DA4CEC">
        <w:rPr>
          <w:i/>
          <w:iCs/>
          <w:noProof/>
        </w:rPr>
        <w:t>Proc Natl Acad Sci USA</w:t>
      </w:r>
      <w:r w:rsidRPr="00DA4CEC">
        <w:rPr>
          <w:noProof/>
        </w:rPr>
        <w:t xml:space="preserve"> </w:t>
      </w:r>
      <w:r w:rsidRPr="00DA4CEC">
        <w:rPr>
          <w:b/>
          <w:bCs/>
          <w:noProof/>
        </w:rPr>
        <w:t>2012</w:t>
      </w:r>
      <w:r w:rsidRPr="00DA4CEC">
        <w:rPr>
          <w:noProof/>
        </w:rPr>
        <w:t xml:space="preserve">, </w:t>
      </w:r>
      <w:r w:rsidRPr="00DA4CEC">
        <w:rPr>
          <w:i/>
          <w:iCs/>
          <w:noProof/>
        </w:rPr>
        <w:t>109</w:t>
      </w:r>
      <w:r w:rsidRPr="00DA4CEC">
        <w:rPr>
          <w:noProof/>
        </w:rPr>
        <w:t xml:space="preserve"> (50), 20235–20239.</w:t>
      </w:r>
    </w:p>
    <w:p w14:paraId="447C952B" w14:textId="77777777" w:rsidR="0055733E" w:rsidRPr="00DA4CEC" w:rsidRDefault="0055733E" w:rsidP="0055733E">
      <w:pPr>
        <w:widowControl w:val="0"/>
        <w:autoSpaceDE w:val="0"/>
        <w:autoSpaceDN w:val="0"/>
        <w:adjustRightInd w:val="0"/>
        <w:spacing w:line="240" w:lineRule="auto"/>
        <w:ind w:left="640" w:hanging="640"/>
        <w:rPr>
          <w:noProof/>
        </w:rPr>
      </w:pPr>
    </w:p>
    <w:p w14:paraId="7A735FF2"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(4) </w:t>
      </w:r>
      <w:r w:rsidRPr="00DA4CEC">
        <w:rPr>
          <w:noProof/>
        </w:rPr>
        <w:tab/>
        <w:t>Dubinsky, E. A.; Conrad, M. E.; Chakraborty, R.; Bill, M.; Borglin, S. E.; Hollibaugh, J. T.; Mason, O. U.; Piceno, Y. M.; Reid, F. C.; Stringfello</w:t>
      </w:r>
      <w:r w:rsidR="009D6EBE">
        <w:rPr>
          <w:noProof/>
        </w:rPr>
        <w:t>w, W. T.; et al. Succession of hydrocarbon-degrading bacteria in the a</w:t>
      </w:r>
      <w:r w:rsidRPr="00DA4CEC">
        <w:rPr>
          <w:noProof/>
        </w:rPr>
        <w:t>fte</w:t>
      </w:r>
      <w:r w:rsidR="009D6EBE">
        <w:rPr>
          <w:noProof/>
        </w:rPr>
        <w:t xml:space="preserve">rmath of the </w:t>
      </w:r>
      <w:r w:rsidR="009D6EBE" w:rsidRPr="009D6EBE">
        <w:rPr>
          <w:i/>
          <w:noProof/>
        </w:rPr>
        <w:t>Deepwater Horizon</w:t>
      </w:r>
      <w:r w:rsidR="009D6EBE">
        <w:rPr>
          <w:noProof/>
        </w:rPr>
        <w:t xml:space="preserve"> oil s</w:t>
      </w:r>
      <w:r w:rsidRPr="00DA4CEC">
        <w:rPr>
          <w:noProof/>
        </w:rPr>
        <w:t xml:space="preserve">pill in the Gulf of Mexico. </w:t>
      </w:r>
      <w:r w:rsidRPr="00DA4CEC">
        <w:rPr>
          <w:i/>
          <w:iCs/>
          <w:noProof/>
        </w:rPr>
        <w:t>Environ. Sci. Technol.</w:t>
      </w:r>
      <w:r w:rsidRPr="00DA4CEC">
        <w:rPr>
          <w:noProof/>
        </w:rPr>
        <w:t xml:space="preserve"> </w:t>
      </w:r>
      <w:r w:rsidRPr="00DA4CEC">
        <w:rPr>
          <w:b/>
          <w:bCs/>
          <w:noProof/>
        </w:rPr>
        <w:t>2013</w:t>
      </w:r>
      <w:r w:rsidRPr="00DA4CEC">
        <w:rPr>
          <w:noProof/>
        </w:rPr>
        <w:t xml:space="preserve">, </w:t>
      </w:r>
      <w:r w:rsidRPr="00DA4CEC">
        <w:rPr>
          <w:i/>
          <w:iCs/>
          <w:noProof/>
        </w:rPr>
        <w:t>47</w:t>
      </w:r>
      <w:r w:rsidRPr="00DA4CEC">
        <w:rPr>
          <w:noProof/>
        </w:rPr>
        <w:t>, 10860–10867.</w:t>
      </w:r>
    </w:p>
    <w:p w14:paraId="3734B223" w14:textId="77777777" w:rsidR="0055733E" w:rsidRPr="00DA4CEC" w:rsidRDefault="0055733E" w:rsidP="0055733E">
      <w:pPr>
        <w:widowControl w:val="0"/>
        <w:autoSpaceDE w:val="0"/>
        <w:autoSpaceDN w:val="0"/>
        <w:adjustRightInd w:val="0"/>
        <w:spacing w:line="240" w:lineRule="auto"/>
        <w:ind w:left="640" w:hanging="640"/>
        <w:rPr>
          <w:noProof/>
        </w:rPr>
      </w:pPr>
    </w:p>
    <w:p w14:paraId="7BA2BFDA"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(5) </w:t>
      </w:r>
      <w:r w:rsidRPr="00DA4CEC">
        <w:rPr>
          <w:noProof/>
        </w:rPr>
        <w:tab/>
        <w:t xml:space="preserve">Gutierrez, T.; Singleton, D. R.; Berry, D.; Yang, T.; Aitken, M. D.; Teske, A. Hydrocarbon-degrading bacteria enriched by the </w:t>
      </w:r>
      <w:r w:rsidRPr="009D6EBE">
        <w:rPr>
          <w:i/>
          <w:noProof/>
        </w:rPr>
        <w:t>Deepwater Horizon</w:t>
      </w:r>
      <w:r w:rsidRPr="00DA4CEC">
        <w:rPr>
          <w:noProof/>
        </w:rPr>
        <w:t xml:space="preserve"> oil spill identified by cultivation and DNA-SIP. </w:t>
      </w:r>
      <w:r w:rsidRPr="00DA4CEC">
        <w:rPr>
          <w:i/>
          <w:iCs/>
          <w:noProof/>
        </w:rPr>
        <w:t>ISME Journal.</w:t>
      </w:r>
      <w:r w:rsidRPr="00DA4CEC">
        <w:rPr>
          <w:noProof/>
        </w:rPr>
        <w:t xml:space="preserve"> </w:t>
      </w:r>
      <w:r w:rsidRPr="00DA4CEC">
        <w:rPr>
          <w:b/>
          <w:bCs/>
          <w:noProof/>
        </w:rPr>
        <w:t>2013</w:t>
      </w:r>
      <w:r w:rsidRPr="00DA4CEC">
        <w:rPr>
          <w:noProof/>
        </w:rPr>
        <w:t xml:space="preserve">, </w:t>
      </w:r>
      <w:r w:rsidRPr="00DA4CEC">
        <w:rPr>
          <w:i/>
          <w:iCs/>
          <w:noProof/>
        </w:rPr>
        <w:t>7</w:t>
      </w:r>
      <w:r w:rsidRPr="00DA4CEC">
        <w:rPr>
          <w:noProof/>
        </w:rPr>
        <w:t xml:space="preserve"> (11), 2091–2104.</w:t>
      </w:r>
    </w:p>
    <w:p w14:paraId="2DA717EA" w14:textId="77777777" w:rsidR="0055733E" w:rsidRPr="00DA4CEC" w:rsidRDefault="0055733E" w:rsidP="0055733E">
      <w:pPr>
        <w:widowControl w:val="0"/>
        <w:autoSpaceDE w:val="0"/>
        <w:autoSpaceDN w:val="0"/>
        <w:adjustRightInd w:val="0"/>
        <w:spacing w:line="240" w:lineRule="auto"/>
        <w:ind w:left="640" w:hanging="640"/>
        <w:rPr>
          <w:noProof/>
        </w:rPr>
      </w:pPr>
    </w:p>
    <w:p w14:paraId="7E4D4073"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(6) </w:t>
      </w:r>
      <w:r w:rsidRPr="00DA4CEC">
        <w:rPr>
          <w:noProof/>
        </w:rPr>
        <w:tab/>
        <w:t xml:space="preserve">Joye, S. B.; Teske, </w:t>
      </w:r>
      <w:r w:rsidR="009D6EBE">
        <w:rPr>
          <w:noProof/>
        </w:rPr>
        <w:t>A. P.; Kostka, J. E. Microbial dynamics following the Macondo oil well blowout across Gulf of Mexico e</w:t>
      </w:r>
      <w:r w:rsidRPr="00DA4CEC">
        <w:rPr>
          <w:noProof/>
        </w:rPr>
        <w:t xml:space="preserve">nvironments. </w:t>
      </w:r>
      <w:r w:rsidRPr="00DA4CEC">
        <w:rPr>
          <w:i/>
          <w:iCs/>
          <w:noProof/>
        </w:rPr>
        <w:t>Bioscience</w:t>
      </w:r>
      <w:r w:rsidRPr="00DA4CEC">
        <w:rPr>
          <w:noProof/>
        </w:rPr>
        <w:t xml:space="preserve"> </w:t>
      </w:r>
      <w:r w:rsidRPr="00DA4CEC">
        <w:rPr>
          <w:b/>
          <w:bCs/>
          <w:noProof/>
        </w:rPr>
        <w:t>2014</w:t>
      </w:r>
      <w:r w:rsidRPr="00DA4CEC">
        <w:rPr>
          <w:noProof/>
        </w:rPr>
        <w:t xml:space="preserve">, </w:t>
      </w:r>
      <w:r w:rsidRPr="00DA4CEC">
        <w:rPr>
          <w:i/>
          <w:iCs/>
          <w:noProof/>
        </w:rPr>
        <w:t>64</w:t>
      </w:r>
      <w:r w:rsidRPr="00DA4CEC">
        <w:rPr>
          <w:noProof/>
        </w:rPr>
        <w:t xml:space="preserve"> (9), 766–777.</w:t>
      </w:r>
    </w:p>
    <w:p w14:paraId="74AE70D0" w14:textId="77777777" w:rsidR="0055733E" w:rsidRPr="00DA4CEC" w:rsidRDefault="0055733E" w:rsidP="0055733E">
      <w:pPr>
        <w:widowControl w:val="0"/>
        <w:autoSpaceDE w:val="0"/>
        <w:autoSpaceDN w:val="0"/>
        <w:adjustRightInd w:val="0"/>
        <w:spacing w:line="240" w:lineRule="auto"/>
        <w:ind w:left="640" w:hanging="640"/>
        <w:rPr>
          <w:noProof/>
        </w:rPr>
      </w:pPr>
    </w:p>
    <w:p w14:paraId="632AD146"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(7) </w:t>
      </w:r>
      <w:r w:rsidRPr="00DA4CEC">
        <w:rPr>
          <w:noProof/>
        </w:rPr>
        <w:tab/>
        <w:t>Kleindienst, S.; Grim, S.; Sogin, M.; Bracco, A.; Crespo-</w:t>
      </w:r>
      <w:r w:rsidR="009D6EBE">
        <w:rPr>
          <w:noProof/>
        </w:rPr>
        <w:t>medina, M.; Joye, S. B. Diverse</w:t>
      </w:r>
      <w:r w:rsidRPr="00DA4CEC">
        <w:rPr>
          <w:noProof/>
        </w:rPr>
        <w:t xml:space="preserve">, rare microbial taxa responded to the </w:t>
      </w:r>
      <w:r w:rsidRPr="009D6EBE">
        <w:rPr>
          <w:i/>
          <w:noProof/>
        </w:rPr>
        <w:t>Deepwater Horizon</w:t>
      </w:r>
      <w:r w:rsidRPr="00DA4CEC">
        <w:rPr>
          <w:noProof/>
        </w:rPr>
        <w:t xml:space="preserve"> deep-sea hydrocarbon plume. </w:t>
      </w:r>
      <w:r w:rsidRPr="00DA4CEC">
        <w:rPr>
          <w:i/>
          <w:iCs/>
          <w:noProof/>
        </w:rPr>
        <w:t>ISME J.</w:t>
      </w:r>
      <w:r w:rsidRPr="00DA4CEC">
        <w:rPr>
          <w:noProof/>
        </w:rPr>
        <w:t xml:space="preserve"> </w:t>
      </w:r>
      <w:r w:rsidRPr="00DA4CEC">
        <w:rPr>
          <w:b/>
          <w:bCs/>
          <w:noProof/>
        </w:rPr>
        <w:t>2015</w:t>
      </w:r>
      <w:r w:rsidRPr="00DA4CEC">
        <w:rPr>
          <w:noProof/>
        </w:rPr>
        <w:t xml:space="preserve">, </w:t>
      </w:r>
      <w:r w:rsidRPr="00DA4CEC">
        <w:rPr>
          <w:i/>
          <w:iCs/>
          <w:noProof/>
        </w:rPr>
        <w:t>10</w:t>
      </w:r>
      <w:r w:rsidRPr="00DA4CEC">
        <w:rPr>
          <w:noProof/>
        </w:rPr>
        <w:t xml:space="preserve"> (2), 400–415.</w:t>
      </w:r>
    </w:p>
    <w:p w14:paraId="7CAB520D" w14:textId="77777777" w:rsidR="0055733E" w:rsidRPr="00DA4CEC" w:rsidRDefault="0055733E" w:rsidP="0055733E">
      <w:pPr>
        <w:widowControl w:val="0"/>
        <w:autoSpaceDE w:val="0"/>
        <w:autoSpaceDN w:val="0"/>
        <w:adjustRightInd w:val="0"/>
        <w:spacing w:line="240" w:lineRule="auto"/>
        <w:ind w:left="640" w:hanging="640"/>
        <w:rPr>
          <w:noProof/>
        </w:rPr>
      </w:pPr>
    </w:p>
    <w:p w14:paraId="5377C4F1"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(8) </w:t>
      </w:r>
      <w:r w:rsidRPr="00DA4CEC">
        <w:rPr>
          <w:noProof/>
        </w:rPr>
        <w:tab/>
        <w:t xml:space="preserve">Yang, T.; Nigro, L. M.; Gutierrez, T.; Ambrosio, L. D.; Joye, S. B.; Highsmith, R.; Teske, A. Pulsed blooms and persistent oil-degrading bacterial populations in the water column during and after the </w:t>
      </w:r>
      <w:r w:rsidRPr="009D6EBE">
        <w:rPr>
          <w:i/>
          <w:noProof/>
        </w:rPr>
        <w:t>Deepwater Horizon</w:t>
      </w:r>
      <w:r w:rsidRPr="00DA4CEC">
        <w:rPr>
          <w:noProof/>
        </w:rPr>
        <w:t xml:space="preserve"> blowout. </w:t>
      </w:r>
      <w:r w:rsidRPr="00DA4CEC">
        <w:rPr>
          <w:i/>
          <w:iCs/>
          <w:noProof/>
        </w:rPr>
        <w:t>Deep. Res. Part II</w:t>
      </w:r>
      <w:r w:rsidRPr="00DA4CEC">
        <w:rPr>
          <w:noProof/>
        </w:rPr>
        <w:t xml:space="preserve"> </w:t>
      </w:r>
      <w:r w:rsidRPr="00DA4CEC">
        <w:rPr>
          <w:b/>
          <w:bCs/>
          <w:noProof/>
        </w:rPr>
        <w:t>2014</w:t>
      </w:r>
      <w:r w:rsidRPr="00DA4CEC">
        <w:rPr>
          <w:noProof/>
        </w:rPr>
        <w:t>, 1–10.</w:t>
      </w:r>
    </w:p>
    <w:p w14:paraId="34CB3415" w14:textId="77777777" w:rsidR="0055733E" w:rsidRPr="00DA4CEC" w:rsidRDefault="0055733E" w:rsidP="0055733E">
      <w:pPr>
        <w:widowControl w:val="0"/>
        <w:autoSpaceDE w:val="0"/>
        <w:autoSpaceDN w:val="0"/>
        <w:adjustRightInd w:val="0"/>
        <w:spacing w:line="240" w:lineRule="auto"/>
        <w:ind w:left="640" w:hanging="640"/>
        <w:rPr>
          <w:noProof/>
        </w:rPr>
      </w:pPr>
    </w:p>
    <w:p w14:paraId="7299DDFF" w14:textId="77777777" w:rsidR="0055733E"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(9) </w:t>
      </w:r>
      <w:r w:rsidRPr="00DA4CEC">
        <w:rPr>
          <w:noProof/>
        </w:rPr>
        <w:tab/>
        <w:t>Ziervogel, K.; Mckay, L.; Rhodes, B.; Osburn, C. L.; Dickson-brown, J.; Ar</w:t>
      </w:r>
      <w:r w:rsidR="009D6EBE">
        <w:rPr>
          <w:noProof/>
        </w:rPr>
        <w:t>nosti, C.; Teske, A. Microbial activities and dissolved organic matter dynamics in oil-contaminated surface s</w:t>
      </w:r>
      <w:r w:rsidRPr="00DA4CEC">
        <w:rPr>
          <w:noProof/>
        </w:rPr>
        <w:t xml:space="preserve">eawater from the </w:t>
      </w:r>
      <w:r w:rsidRPr="009D6EBE">
        <w:rPr>
          <w:i/>
          <w:noProof/>
        </w:rPr>
        <w:t>Deepwater Horizon</w:t>
      </w:r>
      <w:r w:rsidR="009D6EBE">
        <w:rPr>
          <w:noProof/>
        </w:rPr>
        <w:t xml:space="preserve"> oil spill s</w:t>
      </w:r>
      <w:r w:rsidRPr="00DA4CEC">
        <w:rPr>
          <w:noProof/>
        </w:rPr>
        <w:t xml:space="preserve">ite. </w:t>
      </w:r>
      <w:r w:rsidRPr="00DA4CEC">
        <w:rPr>
          <w:i/>
          <w:iCs/>
          <w:noProof/>
        </w:rPr>
        <w:t>PLoS One</w:t>
      </w:r>
      <w:r w:rsidRPr="00DA4CEC">
        <w:rPr>
          <w:noProof/>
        </w:rPr>
        <w:t xml:space="preserve"> </w:t>
      </w:r>
      <w:r w:rsidRPr="00DA4CEC">
        <w:rPr>
          <w:b/>
          <w:bCs/>
          <w:noProof/>
        </w:rPr>
        <w:t>2012</w:t>
      </w:r>
      <w:r w:rsidRPr="00DA4CEC">
        <w:rPr>
          <w:noProof/>
        </w:rPr>
        <w:t xml:space="preserve">, </w:t>
      </w:r>
      <w:r w:rsidRPr="00DA4CEC">
        <w:rPr>
          <w:i/>
          <w:iCs/>
          <w:noProof/>
        </w:rPr>
        <w:t>7</w:t>
      </w:r>
      <w:r w:rsidRPr="00DA4CEC">
        <w:rPr>
          <w:noProof/>
        </w:rPr>
        <w:t xml:space="preserve"> (4), e34816.</w:t>
      </w:r>
    </w:p>
    <w:p w14:paraId="13E66DB6" w14:textId="77777777" w:rsidR="0055733E" w:rsidRPr="00DA4CEC" w:rsidRDefault="0055733E" w:rsidP="0055733E">
      <w:pPr>
        <w:widowControl w:val="0"/>
        <w:autoSpaceDE w:val="0"/>
        <w:autoSpaceDN w:val="0"/>
        <w:adjustRightInd w:val="0"/>
        <w:spacing w:line="240" w:lineRule="auto"/>
        <w:ind w:left="640" w:hanging="640"/>
        <w:rPr>
          <w:noProof/>
        </w:rPr>
      </w:pPr>
    </w:p>
    <w:p w14:paraId="0A0B8C27"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(10) </w:t>
      </w:r>
      <w:r w:rsidRPr="00DA4CEC">
        <w:rPr>
          <w:noProof/>
        </w:rPr>
        <w:tab/>
        <w:t xml:space="preserve">Kimes, N. E.; Callaghan, A. V; Suflita, J. M.; Morris, P. E. Microbial transformation of the </w:t>
      </w:r>
      <w:r w:rsidRPr="009D6EBE">
        <w:rPr>
          <w:i/>
          <w:noProof/>
        </w:rPr>
        <w:t>Deepwater Horizon</w:t>
      </w:r>
      <w:r w:rsidR="009D6EBE">
        <w:rPr>
          <w:noProof/>
        </w:rPr>
        <w:t xml:space="preserve"> oil spill — past, present</w:t>
      </w:r>
      <w:r w:rsidRPr="00DA4CEC">
        <w:rPr>
          <w:noProof/>
        </w:rPr>
        <w:t xml:space="preserve">, and future perspectives. </w:t>
      </w:r>
      <w:r w:rsidRPr="00DA4CEC">
        <w:rPr>
          <w:i/>
          <w:iCs/>
          <w:noProof/>
        </w:rPr>
        <w:t>Front. Microbiol.</w:t>
      </w:r>
      <w:r w:rsidRPr="00DA4CEC">
        <w:rPr>
          <w:noProof/>
        </w:rPr>
        <w:t xml:space="preserve"> </w:t>
      </w:r>
      <w:r w:rsidRPr="00DA4CEC">
        <w:rPr>
          <w:b/>
          <w:bCs/>
          <w:noProof/>
        </w:rPr>
        <w:t>2014</w:t>
      </w:r>
      <w:r w:rsidRPr="00DA4CEC">
        <w:rPr>
          <w:noProof/>
        </w:rPr>
        <w:t xml:space="preserve">, </w:t>
      </w:r>
      <w:r w:rsidRPr="00DA4CEC">
        <w:rPr>
          <w:i/>
          <w:iCs/>
          <w:noProof/>
        </w:rPr>
        <w:t>5</w:t>
      </w:r>
      <w:r w:rsidRPr="00DA4CEC">
        <w:rPr>
          <w:noProof/>
        </w:rPr>
        <w:t>, 1–11.</w:t>
      </w:r>
    </w:p>
    <w:p w14:paraId="780C6E02" w14:textId="77777777" w:rsidR="0055733E" w:rsidRPr="00DA4CEC" w:rsidRDefault="0055733E" w:rsidP="0055733E">
      <w:pPr>
        <w:widowControl w:val="0"/>
        <w:autoSpaceDE w:val="0"/>
        <w:autoSpaceDN w:val="0"/>
        <w:adjustRightInd w:val="0"/>
        <w:spacing w:line="240" w:lineRule="auto"/>
        <w:ind w:left="640" w:hanging="640"/>
        <w:rPr>
          <w:noProof/>
        </w:rPr>
      </w:pPr>
    </w:p>
    <w:p w14:paraId="0FE54BA0"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(11) </w:t>
      </w:r>
      <w:r w:rsidRPr="00DA4CEC">
        <w:rPr>
          <w:noProof/>
        </w:rPr>
        <w:tab/>
      </w:r>
      <w:r w:rsidR="009D6EBE">
        <w:rPr>
          <w:noProof/>
        </w:rPr>
        <w:t>Atlas, R. M.; Hazen, T. C. Oil biodegradation and bioremediation</w:t>
      </w:r>
      <w:r w:rsidRPr="00DA4CEC">
        <w:rPr>
          <w:noProof/>
        </w:rPr>
        <w:t xml:space="preserve">: </w:t>
      </w:r>
      <w:r w:rsidR="009D6EBE">
        <w:rPr>
          <w:noProof/>
        </w:rPr>
        <w:t>A tale of the two worst spills in U. S. h</w:t>
      </w:r>
      <w:r w:rsidRPr="00DA4CEC">
        <w:rPr>
          <w:noProof/>
        </w:rPr>
        <w:t xml:space="preserve">istory. </w:t>
      </w:r>
      <w:r w:rsidRPr="00DA4CEC">
        <w:rPr>
          <w:i/>
          <w:iCs/>
          <w:noProof/>
        </w:rPr>
        <w:t>Environ. Sci. Technol.</w:t>
      </w:r>
      <w:r w:rsidRPr="00DA4CEC">
        <w:rPr>
          <w:noProof/>
        </w:rPr>
        <w:t xml:space="preserve"> </w:t>
      </w:r>
      <w:r w:rsidRPr="00DA4CEC">
        <w:rPr>
          <w:b/>
          <w:bCs/>
          <w:noProof/>
        </w:rPr>
        <w:t>2011</w:t>
      </w:r>
      <w:r w:rsidRPr="00DA4CEC">
        <w:rPr>
          <w:noProof/>
        </w:rPr>
        <w:t>, No. 45, 6709–6715.</w:t>
      </w:r>
    </w:p>
    <w:p w14:paraId="6A92E734" w14:textId="77777777" w:rsidR="0055733E" w:rsidRPr="00DA4CEC" w:rsidRDefault="0055733E" w:rsidP="0055733E">
      <w:pPr>
        <w:widowControl w:val="0"/>
        <w:autoSpaceDE w:val="0"/>
        <w:autoSpaceDN w:val="0"/>
        <w:adjustRightInd w:val="0"/>
        <w:spacing w:line="240" w:lineRule="auto"/>
        <w:ind w:left="640" w:hanging="640"/>
        <w:rPr>
          <w:noProof/>
        </w:rPr>
      </w:pPr>
    </w:p>
    <w:p w14:paraId="20BCAAEE"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(12) </w:t>
      </w:r>
      <w:r w:rsidRPr="00DA4CEC">
        <w:rPr>
          <w:noProof/>
        </w:rPr>
        <w:tab/>
        <w:t>Horel, A.; Mortazav</w:t>
      </w:r>
      <w:r w:rsidR="009D6EBE">
        <w:rPr>
          <w:noProof/>
        </w:rPr>
        <w:t>i, B.; Sobecky, P. A. Seasonal monitoring of hydrocarbon degraders in Alabama marine ecosystems f</w:t>
      </w:r>
      <w:r w:rsidRPr="00DA4CEC">
        <w:rPr>
          <w:noProof/>
        </w:rPr>
        <w:t xml:space="preserve">ollowing the </w:t>
      </w:r>
      <w:r w:rsidRPr="009D6EBE">
        <w:rPr>
          <w:i/>
          <w:noProof/>
        </w:rPr>
        <w:t>Deepwater Horizon</w:t>
      </w:r>
      <w:r w:rsidR="009D6EBE">
        <w:rPr>
          <w:noProof/>
        </w:rPr>
        <w:t xml:space="preserve"> o</w:t>
      </w:r>
      <w:r w:rsidRPr="00DA4CEC">
        <w:rPr>
          <w:noProof/>
        </w:rPr>
        <w:t>il</w:t>
      </w:r>
      <w:r w:rsidR="009D6EBE">
        <w:rPr>
          <w:noProof/>
        </w:rPr>
        <w:t xml:space="preserve"> s</w:t>
      </w:r>
      <w:r w:rsidRPr="00DA4CEC">
        <w:rPr>
          <w:noProof/>
        </w:rPr>
        <w:t xml:space="preserve">pill. </w:t>
      </w:r>
      <w:r w:rsidRPr="00DA4CEC">
        <w:rPr>
          <w:i/>
          <w:iCs/>
          <w:noProof/>
        </w:rPr>
        <w:t>Water, Air Soil Pollut.</w:t>
      </w:r>
      <w:r w:rsidRPr="00DA4CEC">
        <w:rPr>
          <w:noProof/>
        </w:rPr>
        <w:t xml:space="preserve"> </w:t>
      </w:r>
      <w:r w:rsidRPr="00DA4CEC">
        <w:rPr>
          <w:b/>
          <w:bCs/>
          <w:noProof/>
        </w:rPr>
        <w:t>2012</w:t>
      </w:r>
      <w:r w:rsidRPr="00DA4CEC">
        <w:rPr>
          <w:noProof/>
        </w:rPr>
        <w:t xml:space="preserve">, </w:t>
      </w:r>
      <w:r w:rsidRPr="00DA4CEC">
        <w:rPr>
          <w:i/>
          <w:iCs/>
          <w:noProof/>
        </w:rPr>
        <w:t>223</w:t>
      </w:r>
      <w:r w:rsidRPr="00DA4CEC">
        <w:rPr>
          <w:noProof/>
        </w:rPr>
        <w:t>, 3145–3154.</w:t>
      </w:r>
    </w:p>
    <w:p w14:paraId="00F63BAA" w14:textId="77777777" w:rsidR="0055733E" w:rsidRPr="00DA4CEC" w:rsidRDefault="0055733E" w:rsidP="0055733E">
      <w:pPr>
        <w:widowControl w:val="0"/>
        <w:autoSpaceDE w:val="0"/>
        <w:autoSpaceDN w:val="0"/>
        <w:adjustRightInd w:val="0"/>
        <w:spacing w:line="240" w:lineRule="auto"/>
        <w:ind w:left="640" w:hanging="640"/>
        <w:rPr>
          <w:noProof/>
        </w:rPr>
      </w:pPr>
    </w:p>
    <w:p w14:paraId="015B9C03"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(13) </w:t>
      </w:r>
      <w:r w:rsidRPr="00DA4CEC">
        <w:rPr>
          <w:noProof/>
        </w:rPr>
        <w:tab/>
        <w:t>Mahmoudi, N.; Porter, T. M.; Zimmerman, A. R.; Fulthorpe, R. R.; Kasozi, G. N.; Sillim</w:t>
      </w:r>
      <w:r w:rsidR="009D6EBE">
        <w:rPr>
          <w:noProof/>
        </w:rPr>
        <w:t>an, B. R.; Slater, G. F. Rapid d</w:t>
      </w:r>
      <w:r w:rsidRPr="00DA4CEC">
        <w:rPr>
          <w:noProof/>
        </w:rPr>
        <w:t xml:space="preserve">egradation of </w:t>
      </w:r>
      <w:r w:rsidRPr="009D6EBE">
        <w:rPr>
          <w:i/>
          <w:noProof/>
        </w:rPr>
        <w:t>Deepwater Horizon</w:t>
      </w:r>
      <w:r w:rsidR="009D6EBE">
        <w:rPr>
          <w:noProof/>
        </w:rPr>
        <w:t xml:space="preserve"> spilled oil by indigenous microbial c</w:t>
      </w:r>
      <w:r w:rsidRPr="00DA4CEC">
        <w:rPr>
          <w:noProof/>
        </w:rPr>
        <w:t>ommuniti</w:t>
      </w:r>
      <w:r w:rsidR="009D6EBE">
        <w:rPr>
          <w:noProof/>
        </w:rPr>
        <w:t>es in Louisiana saltmarsh s</w:t>
      </w:r>
      <w:r w:rsidRPr="00DA4CEC">
        <w:rPr>
          <w:noProof/>
        </w:rPr>
        <w:t xml:space="preserve">ediments. </w:t>
      </w:r>
      <w:r w:rsidRPr="00DA4CEC">
        <w:rPr>
          <w:i/>
          <w:iCs/>
          <w:noProof/>
        </w:rPr>
        <w:t>Environ. Sci. Technol.</w:t>
      </w:r>
      <w:r w:rsidRPr="00DA4CEC">
        <w:rPr>
          <w:noProof/>
        </w:rPr>
        <w:t xml:space="preserve"> </w:t>
      </w:r>
      <w:r w:rsidRPr="00DA4CEC">
        <w:rPr>
          <w:b/>
          <w:bCs/>
          <w:noProof/>
        </w:rPr>
        <w:t>2013</w:t>
      </w:r>
      <w:r w:rsidRPr="00DA4CEC">
        <w:rPr>
          <w:noProof/>
        </w:rPr>
        <w:t xml:space="preserve">, </w:t>
      </w:r>
      <w:r w:rsidRPr="00DA4CEC">
        <w:rPr>
          <w:i/>
          <w:iCs/>
          <w:noProof/>
        </w:rPr>
        <w:t>47</w:t>
      </w:r>
      <w:r w:rsidRPr="00DA4CEC">
        <w:rPr>
          <w:noProof/>
        </w:rPr>
        <w:t>, 13303–13312.</w:t>
      </w:r>
    </w:p>
    <w:p w14:paraId="327CDBDC" w14:textId="77777777" w:rsidR="0055733E" w:rsidRPr="00DA4CEC" w:rsidRDefault="0055733E" w:rsidP="0055733E">
      <w:pPr>
        <w:widowControl w:val="0"/>
        <w:autoSpaceDE w:val="0"/>
        <w:autoSpaceDN w:val="0"/>
        <w:adjustRightInd w:val="0"/>
        <w:spacing w:line="240" w:lineRule="auto"/>
        <w:ind w:left="640" w:hanging="640"/>
        <w:rPr>
          <w:noProof/>
        </w:rPr>
      </w:pPr>
    </w:p>
    <w:p w14:paraId="7B0B51CF"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(14) </w:t>
      </w:r>
      <w:r w:rsidRPr="00DA4CEC">
        <w:rPr>
          <w:noProof/>
        </w:rPr>
        <w:tab/>
        <w:t xml:space="preserve">Mendelssohn, I. A.; Andersen, G. L.; Baltz, D. M.; Caffey, R. H.; Carman, K. R.; Fleeger, J. W.; Joye, S. B.; Lin, Q.; </w:t>
      </w:r>
      <w:r w:rsidR="009D6EBE">
        <w:rPr>
          <w:noProof/>
        </w:rPr>
        <w:t>Maltby, E.; Overton, E. B. Oil impacts on c</w:t>
      </w:r>
      <w:r w:rsidRPr="00DA4CEC">
        <w:rPr>
          <w:noProof/>
        </w:rPr>
        <w:t>oast</w:t>
      </w:r>
      <w:r w:rsidR="009D6EBE">
        <w:rPr>
          <w:noProof/>
        </w:rPr>
        <w:t>al wetlands</w:t>
      </w:r>
      <w:r w:rsidRPr="00DA4CEC">
        <w:rPr>
          <w:noProof/>
        </w:rPr>
        <w:t>: Im</w:t>
      </w:r>
      <w:r w:rsidR="009D6EBE">
        <w:rPr>
          <w:noProof/>
        </w:rPr>
        <w:t>plications for the Mississippi river delta e</w:t>
      </w:r>
      <w:r w:rsidRPr="00DA4CEC">
        <w:rPr>
          <w:noProof/>
        </w:rPr>
        <w:t xml:space="preserve">cosystem after the </w:t>
      </w:r>
      <w:r w:rsidRPr="009D6EBE">
        <w:rPr>
          <w:i/>
          <w:noProof/>
        </w:rPr>
        <w:t>Deepwater Horizon</w:t>
      </w:r>
      <w:r w:rsidR="009D6EBE">
        <w:rPr>
          <w:noProof/>
        </w:rPr>
        <w:t xml:space="preserve"> oil s</w:t>
      </w:r>
      <w:r w:rsidRPr="00DA4CEC">
        <w:rPr>
          <w:noProof/>
        </w:rPr>
        <w:t xml:space="preserve">pill. </w:t>
      </w:r>
      <w:r w:rsidRPr="00DA4CEC">
        <w:rPr>
          <w:i/>
          <w:iCs/>
          <w:noProof/>
        </w:rPr>
        <w:t>Bioscience</w:t>
      </w:r>
      <w:r w:rsidRPr="00DA4CEC">
        <w:rPr>
          <w:noProof/>
        </w:rPr>
        <w:t xml:space="preserve"> </w:t>
      </w:r>
      <w:r w:rsidRPr="00DA4CEC">
        <w:rPr>
          <w:b/>
          <w:bCs/>
          <w:noProof/>
        </w:rPr>
        <w:t>2012</w:t>
      </w:r>
      <w:r w:rsidRPr="00DA4CEC">
        <w:rPr>
          <w:noProof/>
        </w:rPr>
        <w:t xml:space="preserve">, </w:t>
      </w:r>
      <w:r w:rsidRPr="00DA4CEC">
        <w:rPr>
          <w:i/>
          <w:iCs/>
          <w:noProof/>
        </w:rPr>
        <w:t>62</w:t>
      </w:r>
      <w:r w:rsidRPr="00DA4CEC">
        <w:rPr>
          <w:noProof/>
        </w:rPr>
        <w:t xml:space="preserve"> (6), 562–574.</w:t>
      </w:r>
    </w:p>
    <w:p w14:paraId="7C4E5D4E" w14:textId="77777777" w:rsidR="0055733E" w:rsidRPr="00DA4CEC" w:rsidRDefault="0055733E" w:rsidP="0055733E">
      <w:pPr>
        <w:widowControl w:val="0"/>
        <w:autoSpaceDE w:val="0"/>
        <w:autoSpaceDN w:val="0"/>
        <w:adjustRightInd w:val="0"/>
        <w:spacing w:line="240" w:lineRule="auto"/>
        <w:ind w:left="640" w:hanging="640"/>
        <w:rPr>
          <w:noProof/>
        </w:rPr>
      </w:pPr>
    </w:p>
    <w:p w14:paraId="655E7F88"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(15) </w:t>
      </w:r>
      <w:r w:rsidRPr="00DA4CEC">
        <w:rPr>
          <w:noProof/>
        </w:rPr>
        <w:tab/>
        <w:t xml:space="preserve">Hayworth, J. S.; Clement, T. P.; Valentine, J. F. </w:t>
      </w:r>
      <w:r w:rsidRPr="00CE3311">
        <w:rPr>
          <w:i/>
          <w:noProof/>
        </w:rPr>
        <w:t>Deepwater Horizon</w:t>
      </w:r>
      <w:r w:rsidRPr="00DA4CEC">
        <w:rPr>
          <w:noProof/>
        </w:rPr>
        <w:t xml:space="preserve"> oil spill impacts on Alabama beaches. </w:t>
      </w:r>
      <w:r w:rsidRPr="00DA4CEC">
        <w:rPr>
          <w:i/>
          <w:iCs/>
          <w:noProof/>
        </w:rPr>
        <w:t>Hydrol. Earth Syst. Sci.</w:t>
      </w:r>
      <w:r w:rsidRPr="00DA4CEC">
        <w:rPr>
          <w:noProof/>
        </w:rPr>
        <w:t xml:space="preserve"> </w:t>
      </w:r>
      <w:r w:rsidRPr="00DA4CEC">
        <w:rPr>
          <w:b/>
          <w:bCs/>
          <w:noProof/>
        </w:rPr>
        <w:t>2011</w:t>
      </w:r>
      <w:r w:rsidRPr="00DA4CEC">
        <w:rPr>
          <w:noProof/>
        </w:rPr>
        <w:t xml:space="preserve">, </w:t>
      </w:r>
      <w:r w:rsidRPr="00DA4CEC">
        <w:rPr>
          <w:i/>
          <w:iCs/>
          <w:noProof/>
        </w:rPr>
        <w:t>15</w:t>
      </w:r>
      <w:r w:rsidRPr="00DA4CEC">
        <w:rPr>
          <w:noProof/>
        </w:rPr>
        <w:t>, 3639–3649.</w:t>
      </w:r>
    </w:p>
    <w:p w14:paraId="754F6A88" w14:textId="77777777" w:rsidR="0055733E" w:rsidRPr="00DA4CEC" w:rsidRDefault="0055733E" w:rsidP="0055733E">
      <w:pPr>
        <w:widowControl w:val="0"/>
        <w:autoSpaceDE w:val="0"/>
        <w:autoSpaceDN w:val="0"/>
        <w:adjustRightInd w:val="0"/>
        <w:spacing w:line="240" w:lineRule="auto"/>
        <w:ind w:left="640" w:hanging="640"/>
        <w:rPr>
          <w:noProof/>
        </w:rPr>
      </w:pPr>
    </w:p>
    <w:p w14:paraId="02B6D35A"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(16) </w:t>
      </w:r>
      <w:r w:rsidRPr="00DA4CEC">
        <w:rPr>
          <w:noProof/>
        </w:rPr>
        <w:tab/>
        <w:t xml:space="preserve">Kostka, J. E.; Prakash, O.; Overholt, W. A.; Green, S. J.; Freyer, G.; Canion, A.; Delgardio, J.; Norton, N.; Hazen, </w:t>
      </w:r>
      <w:r w:rsidR="00CE3311">
        <w:rPr>
          <w:noProof/>
        </w:rPr>
        <w:t>T. C.; Huettel, M. Hydrocarbon-degrading b</w:t>
      </w:r>
      <w:r w:rsidRPr="00DA4CEC">
        <w:rPr>
          <w:noProof/>
        </w:rPr>
        <w:t>acteria</w:t>
      </w:r>
      <w:r w:rsidR="00CE3311">
        <w:rPr>
          <w:noProof/>
        </w:rPr>
        <w:t xml:space="preserve"> and the bacterial community response in Gulf of Mexico beach sands i</w:t>
      </w:r>
      <w:r w:rsidRPr="00DA4CEC">
        <w:rPr>
          <w:noProof/>
        </w:rPr>
        <w:t xml:space="preserve">mpacted by the </w:t>
      </w:r>
      <w:r w:rsidRPr="00CE3311">
        <w:rPr>
          <w:i/>
          <w:noProof/>
        </w:rPr>
        <w:t>Deepwater Horizon</w:t>
      </w:r>
      <w:r w:rsidR="00CE3311">
        <w:rPr>
          <w:noProof/>
        </w:rPr>
        <w:t xml:space="preserve"> oil s</w:t>
      </w:r>
      <w:r w:rsidRPr="00DA4CEC">
        <w:rPr>
          <w:noProof/>
        </w:rPr>
        <w:t xml:space="preserve">pill. </w:t>
      </w:r>
      <w:r w:rsidRPr="00DA4CEC">
        <w:rPr>
          <w:i/>
          <w:iCs/>
          <w:noProof/>
        </w:rPr>
        <w:t>Appl. Environ. Microbiol.</w:t>
      </w:r>
      <w:r w:rsidRPr="00DA4CEC">
        <w:rPr>
          <w:noProof/>
        </w:rPr>
        <w:t xml:space="preserve"> </w:t>
      </w:r>
      <w:r w:rsidRPr="00DA4CEC">
        <w:rPr>
          <w:b/>
          <w:bCs/>
          <w:noProof/>
        </w:rPr>
        <w:t>2011</w:t>
      </w:r>
      <w:r w:rsidRPr="00DA4CEC">
        <w:rPr>
          <w:noProof/>
        </w:rPr>
        <w:t xml:space="preserve">, </w:t>
      </w:r>
      <w:r w:rsidRPr="00DA4CEC">
        <w:rPr>
          <w:i/>
          <w:iCs/>
          <w:noProof/>
        </w:rPr>
        <w:t>77</w:t>
      </w:r>
      <w:r w:rsidRPr="00DA4CEC">
        <w:rPr>
          <w:noProof/>
        </w:rPr>
        <w:t xml:space="preserve"> (22), 7962–7974.</w:t>
      </w:r>
    </w:p>
    <w:p w14:paraId="3AD6E58F" w14:textId="77777777" w:rsidR="0055733E" w:rsidRPr="00DA4CEC" w:rsidRDefault="0055733E" w:rsidP="0055733E">
      <w:pPr>
        <w:widowControl w:val="0"/>
        <w:autoSpaceDE w:val="0"/>
        <w:autoSpaceDN w:val="0"/>
        <w:adjustRightInd w:val="0"/>
        <w:spacing w:line="240" w:lineRule="auto"/>
        <w:ind w:left="640" w:hanging="640"/>
        <w:rPr>
          <w:noProof/>
        </w:rPr>
      </w:pPr>
    </w:p>
    <w:p w14:paraId="61316BD4"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(17) </w:t>
      </w:r>
      <w:r w:rsidRPr="00DA4CEC">
        <w:rPr>
          <w:noProof/>
        </w:rPr>
        <w:tab/>
        <w:t xml:space="preserve">Mason, O. U.; Scott, N. M.; Gonzalez, A.; Robbins-pianka, A.; Bælum, J.; Kimbrel, J.; Bouskill, N. J.; Prestat, E.; Borglin, S.; Joyner, D. C.; et al. Metagenomics reveals sediment microbial community response to </w:t>
      </w:r>
      <w:r w:rsidRPr="009F246C">
        <w:rPr>
          <w:i/>
          <w:noProof/>
        </w:rPr>
        <w:t>Deepwater Horizon</w:t>
      </w:r>
      <w:r w:rsidRPr="00DA4CEC">
        <w:rPr>
          <w:noProof/>
        </w:rPr>
        <w:t xml:space="preserve"> oil spill. </w:t>
      </w:r>
      <w:r w:rsidRPr="00DA4CEC">
        <w:rPr>
          <w:i/>
          <w:iCs/>
          <w:noProof/>
        </w:rPr>
        <w:t>ISME J.</w:t>
      </w:r>
      <w:r w:rsidRPr="00DA4CEC">
        <w:rPr>
          <w:noProof/>
        </w:rPr>
        <w:t xml:space="preserve"> </w:t>
      </w:r>
      <w:r w:rsidRPr="00DA4CEC">
        <w:rPr>
          <w:b/>
          <w:bCs/>
          <w:noProof/>
        </w:rPr>
        <w:t>2014</w:t>
      </w:r>
      <w:r w:rsidRPr="00DA4CEC">
        <w:rPr>
          <w:noProof/>
        </w:rPr>
        <w:t xml:space="preserve">, </w:t>
      </w:r>
      <w:r w:rsidRPr="00DA4CEC">
        <w:rPr>
          <w:i/>
          <w:iCs/>
          <w:noProof/>
        </w:rPr>
        <w:t>8</w:t>
      </w:r>
      <w:r w:rsidRPr="00DA4CEC">
        <w:rPr>
          <w:noProof/>
        </w:rPr>
        <w:t>, 1464–1475.</w:t>
      </w:r>
    </w:p>
    <w:p w14:paraId="40027C6E" w14:textId="77777777" w:rsidR="0055733E" w:rsidRPr="00DA4CEC" w:rsidRDefault="0055733E" w:rsidP="0055733E">
      <w:pPr>
        <w:widowControl w:val="0"/>
        <w:autoSpaceDE w:val="0"/>
        <w:autoSpaceDN w:val="0"/>
        <w:adjustRightInd w:val="0"/>
        <w:spacing w:line="240" w:lineRule="auto"/>
        <w:ind w:left="640" w:hanging="640"/>
        <w:rPr>
          <w:noProof/>
        </w:rPr>
      </w:pPr>
    </w:p>
    <w:p w14:paraId="3A6C6EB0"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(18) </w:t>
      </w:r>
      <w:r w:rsidRPr="00DA4CEC">
        <w:rPr>
          <w:noProof/>
        </w:rPr>
        <w:tab/>
        <w:t xml:space="preserve">Hayworth, J. S.; Clement, T. P.; John, G. F.; Yin, F. Fate of </w:t>
      </w:r>
      <w:r w:rsidRPr="009F246C">
        <w:rPr>
          <w:i/>
          <w:noProof/>
        </w:rPr>
        <w:t>Deepwater Horizon</w:t>
      </w:r>
      <w:r w:rsidR="009F246C">
        <w:rPr>
          <w:noProof/>
        </w:rPr>
        <w:t xml:space="preserve"> oil in Alabama’s beach system</w:t>
      </w:r>
      <w:r w:rsidRPr="00DA4CEC">
        <w:rPr>
          <w:noProof/>
        </w:rPr>
        <w:t xml:space="preserve">: Understanding physical evolution processes based on observational data. </w:t>
      </w:r>
      <w:r w:rsidRPr="00DA4CEC">
        <w:rPr>
          <w:i/>
          <w:iCs/>
          <w:noProof/>
        </w:rPr>
        <w:t>Mar. Pollut. Bull.</w:t>
      </w:r>
      <w:r w:rsidRPr="00DA4CEC">
        <w:rPr>
          <w:noProof/>
        </w:rPr>
        <w:t xml:space="preserve"> </w:t>
      </w:r>
      <w:r w:rsidRPr="00DA4CEC">
        <w:rPr>
          <w:b/>
          <w:bCs/>
          <w:noProof/>
        </w:rPr>
        <w:t>2015</w:t>
      </w:r>
      <w:r w:rsidRPr="00DA4CEC">
        <w:rPr>
          <w:noProof/>
        </w:rPr>
        <w:t xml:space="preserve">, </w:t>
      </w:r>
      <w:r w:rsidRPr="00DA4CEC">
        <w:rPr>
          <w:i/>
          <w:iCs/>
          <w:noProof/>
        </w:rPr>
        <w:t>90</w:t>
      </w:r>
      <w:r w:rsidRPr="00DA4CEC">
        <w:rPr>
          <w:noProof/>
        </w:rPr>
        <w:t xml:space="preserve"> (1–2), 95–105.</w:t>
      </w:r>
    </w:p>
    <w:p w14:paraId="6CDF30E6" w14:textId="77777777" w:rsidR="0055733E" w:rsidRPr="00DA4CEC" w:rsidRDefault="0055733E" w:rsidP="0055733E">
      <w:pPr>
        <w:widowControl w:val="0"/>
        <w:autoSpaceDE w:val="0"/>
        <w:autoSpaceDN w:val="0"/>
        <w:adjustRightInd w:val="0"/>
        <w:spacing w:line="240" w:lineRule="auto"/>
        <w:ind w:left="640" w:hanging="640"/>
        <w:rPr>
          <w:noProof/>
        </w:rPr>
      </w:pPr>
    </w:p>
    <w:p w14:paraId="4963D506"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(19) </w:t>
      </w:r>
      <w:r w:rsidRPr="00DA4CEC">
        <w:rPr>
          <w:noProof/>
        </w:rPr>
        <w:tab/>
        <w:t xml:space="preserve">Rodriguez, L. M.; Overholt, W. A.; Hagan, C.; Huettel, M.; Kostka, J. E.; Konstantinidis, K. T. Microbial community successional patterns in beach sands impacted by the </w:t>
      </w:r>
      <w:r w:rsidRPr="009F246C">
        <w:rPr>
          <w:i/>
          <w:noProof/>
        </w:rPr>
        <w:t>Deepwater Horizon</w:t>
      </w:r>
      <w:r w:rsidRPr="00DA4CEC">
        <w:rPr>
          <w:noProof/>
        </w:rPr>
        <w:t xml:space="preserve"> oil spill. </w:t>
      </w:r>
      <w:r w:rsidRPr="00DA4CEC">
        <w:rPr>
          <w:i/>
          <w:iCs/>
          <w:noProof/>
        </w:rPr>
        <w:t>ISME J.</w:t>
      </w:r>
      <w:r w:rsidRPr="00DA4CEC">
        <w:rPr>
          <w:noProof/>
        </w:rPr>
        <w:t xml:space="preserve"> </w:t>
      </w:r>
      <w:r w:rsidRPr="00DA4CEC">
        <w:rPr>
          <w:b/>
          <w:bCs/>
          <w:noProof/>
        </w:rPr>
        <w:t>2015</w:t>
      </w:r>
      <w:r w:rsidRPr="00DA4CEC">
        <w:rPr>
          <w:noProof/>
        </w:rPr>
        <w:t>, 1–13.</w:t>
      </w:r>
    </w:p>
    <w:p w14:paraId="15F02F8F" w14:textId="77777777" w:rsidR="0055733E" w:rsidRPr="00DA4CEC" w:rsidRDefault="0055733E" w:rsidP="0055733E">
      <w:pPr>
        <w:widowControl w:val="0"/>
        <w:autoSpaceDE w:val="0"/>
        <w:autoSpaceDN w:val="0"/>
        <w:adjustRightInd w:val="0"/>
        <w:spacing w:line="240" w:lineRule="auto"/>
        <w:ind w:left="640" w:hanging="640"/>
        <w:rPr>
          <w:noProof/>
        </w:rPr>
      </w:pPr>
    </w:p>
    <w:p w14:paraId="3A5D3566"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(20) </w:t>
      </w:r>
      <w:r w:rsidRPr="00DA4CEC">
        <w:rPr>
          <w:noProof/>
        </w:rPr>
        <w:tab/>
        <w:t>Aeppli, C.; Carmichael, C. A.; Nelson, R. K.; Lemkau, K. L.; Graham, W. M.; Redmond, M. C.; Valentine, D. L.; Reddy, C. M.; Gr</w:t>
      </w:r>
      <w:r w:rsidR="009F246C">
        <w:rPr>
          <w:noProof/>
        </w:rPr>
        <w:t>aham, M.; Redmond, M. C.</w:t>
      </w:r>
      <w:r w:rsidRPr="00DA4CEC">
        <w:rPr>
          <w:noProof/>
        </w:rPr>
        <w:t xml:space="preserve"> Oil weathering after the </w:t>
      </w:r>
      <w:r w:rsidRPr="009F246C">
        <w:rPr>
          <w:i/>
          <w:noProof/>
        </w:rPr>
        <w:t>Deepwater Horizon</w:t>
      </w:r>
      <w:r w:rsidRPr="00DA4CEC">
        <w:rPr>
          <w:noProof/>
        </w:rPr>
        <w:t xml:space="preserve"> disaster led to the formation of oxygenated residues. </w:t>
      </w:r>
      <w:r w:rsidRPr="00DA4CEC">
        <w:rPr>
          <w:i/>
          <w:iCs/>
          <w:noProof/>
        </w:rPr>
        <w:t>Environ. Sci. Technol.</w:t>
      </w:r>
      <w:r w:rsidRPr="00DA4CEC">
        <w:rPr>
          <w:noProof/>
        </w:rPr>
        <w:t xml:space="preserve"> </w:t>
      </w:r>
      <w:r w:rsidRPr="00DA4CEC">
        <w:rPr>
          <w:b/>
          <w:bCs/>
          <w:noProof/>
        </w:rPr>
        <w:t>2012</w:t>
      </w:r>
      <w:r w:rsidRPr="00DA4CEC">
        <w:rPr>
          <w:noProof/>
        </w:rPr>
        <w:t xml:space="preserve">, </w:t>
      </w:r>
      <w:r w:rsidRPr="00DA4CEC">
        <w:rPr>
          <w:i/>
          <w:iCs/>
          <w:noProof/>
        </w:rPr>
        <w:t>46</w:t>
      </w:r>
      <w:r w:rsidRPr="00DA4CEC">
        <w:rPr>
          <w:noProof/>
        </w:rPr>
        <w:t xml:space="preserve"> (16), 8799–8807.</w:t>
      </w:r>
    </w:p>
    <w:p w14:paraId="24D66997" w14:textId="77777777" w:rsidR="0055733E" w:rsidRPr="00DA4CEC" w:rsidRDefault="0055733E" w:rsidP="0055733E">
      <w:pPr>
        <w:widowControl w:val="0"/>
        <w:autoSpaceDE w:val="0"/>
        <w:autoSpaceDN w:val="0"/>
        <w:adjustRightInd w:val="0"/>
        <w:spacing w:line="240" w:lineRule="auto"/>
        <w:ind w:left="640" w:hanging="640"/>
        <w:rPr>
          <w:noProof/>
        </w:rPr>
      </w:pPr>
    </w:p>
    <w:p w14:paraId="509D9009"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lastRenderedPageBreak/>
        <w:t xml:space="preserve">(21) </w:t>
      </w:r>
      <w:r w:rsidRPr="00DA4CEC">
        <w:rPr>
          <w:noProof/>
        </w:rPr>
        <w:tab/>
        <w:t xml:space="preserve">Aeppli, C.; Nelson, R. K.; Radovic, J. R.; Carmichael, C. A.; Valentine, D. L.; </w:t>
      </w:r>
      <w:r w:rsidR="009F246C">
        <w:rPr>
          <w:noProof/>
        </w:rPr>
        <w:t>Reddy, C. M. Recalcitrance and degradation of petroleum biomarkers upon abiotic and biotic natural w</w:t>
      </w:r>
      <w:r w:rsidRPr="00DA4CEC">
        <w:rPr>
          <w:noProof/>
        </w:rPr>
        <w:t xml:space="preserve">eathering of </w:t>
      </w:r>
      <w:r w:rsidRPr="009F246C">
        <w:rPr>
          <w:i/>
          <w:noProof/>
        </w:rPr>
        <w:t>Deepwater Horizon</w:t>
      </w:r>
      <w:r w:rsidR="009F246C">
        <w:rPr>
          <w:noProof/>
        </w:rPr>
        <w:t xml:space="preserve"> o</w:t>
      </w:r>
      <w:r w:rsidRPr="00DA4CEC">
        <w:rPr>
          <w:noProof/>
        </w:rPr>
        <w:t xml:space="preserve">il. </w:t>
      </w:r>
      <w:r w:rsidRPr="00DA4CEC">
        <w:rPr>
          <w:i/>
          <w:iCs/>
          <w:noProof/>
        </w:rPr>
        <w:t>Env. Sci Technol</w:t>
      </w:r>
      <w:r w:rsidRPr="00DA4CEC">
        <w:rPr>
          <w:noProof/>
        </w:rPr>
        <w:t xml:space="preserve"> </w:t>
      </w:r>
      <w:r w:rsidRPr="00DA4CEC">
        <w:rPr>
          <w:b/>
          <w:bCs/>
          <w:noProof/>
        </w:rPr>
        <w:t>2014</w:t>
      </w:r>
      <w:r w:rsidRPr="00DA4CEC">
        <w:rPr>
          <w:noProof/>
        </w:rPr>
        <w:t xml:space="preserve">, </w:t>
      </w:r>
      <w:r w:rsidRPr="00DA4CEC">
        <w:rPr>
          <w:i/>
          <w:iCs/>
          <w:noProof/>
        </w:rPr>
        <w:t>48</w:t>
      </w:r>
      <w:r w:rsidRPr="00DA4CEC">
        <w:rPr>
          <w:noProof/>
        </w:rPr>
        <w:t>, 6727–6734.</w:t>
      </w:r>
    </w:p>
    <w:p w14:paraId="47AB7C5D" w14:textId="77777777" w:rsidR="0055733E" w:rsidRPr="00DA4CEC" w:rsidRDefault="0055733E" w:rsidP="0055733E">
      <w:pPr>
        <w:widowControl w:val="0"/>
        <w:autoSpaceDE w:val="0"/>
        <w:autoSpaceDN w:val="0"/>
        <w:adjustRightInd w:val="0"/>
        <w:spacing w:line="240" w:lineRule="auto"/>
        <w:ind w:left="640" w:hanging="640"/>
        <w:rPr>
          <w:noProof/>
        </w:rPr>
      </w:pPr>
    </w:p>
    <w:p w14:paraId="18CEE67C"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(22) </w:t>
      </w:r>
      <w:r w:rsidRPr="00DA4CEC">
        <w:rPr>
          <w:noProof/>
        </w:rPr>
        <w:tab/>
        <w:t>Bacosa, H. P.; Erdner, D. L.; Liu, Z. Differentiating the roles of photooxidation and biode</w:t>
      </w:r>
      <w:r w:rsidR="009F246C">
        <w:rPr>
          <w:noProof/>
        </w:rPr>
        <w:t>gradation in the weathering of light Louisiana s</w:t>
      </w:r>
      <w:r w:rsidRPr="00DA4CEC">
        <w:rPr>
          <w:noProof/>
        </w:rPr>
        <w:t xml:space="preserve">weet crude oil in surface water from the </w:t>
      </w:r>
      <w:r w:rsidRPr="009F246C">
        <w:rPr>
          <w:i/>
          <w:noProof/>
        </w:rPr>
        <w:t>Deepwater Horizon</w:t>
      </w:r>
      <w:r w:rsidRPr="00DA4CEC">
        <w:rPr>
          <w:noProof/>
        </w:rPr>
        <w:t xml:space="preserve"> site. </w:t>
      </w:r>
      <w:r w:rsidRPr="00DA4CEC">
        <w:rPr>
          <w:i/>
          <w:iCs/>
          <w:noProof/>
        </w:rPr>
        <w:t>Mar. Pollut. Bull.</w:t>
      </w:r>
      <w:r w:rsidRPr="00DA4CEC">
        <w:rPr>
          <w:noProof/>
        </w:rPr>
        <w:t xml:space="preserve"> </w:t>
      </w:r>
      <w:r w:rsidRPr="00DA4CEC">
        <w:rPr>
          <w:b/>
          <w:bCs/>
          <w:noProof/>
        </w:rPr>
        <w:t>2015</w:t>
      </w:r>
      <w:r w:rsidRPr="00DA4CEC">
        <w:rPr>
          <w:noProof/>
        </w:rPr>
        <w:t xml:space="preserve">, </w:t>
      </w:r>
      <w:r w:rsidRPr="00DA4CEC">
        <w:rPr>
          <w:i/>
          <w:iCs/>
          <w:noProof/>
        </w:rPr>
        <w:t>95</w:t>
      </w:r>
      <w:r w:rsidRPr="00DA4CEC">
        <w:rPr>
          <w:noProof/>
        </w:rPr>
        <w:t xml:space="preserve"> (1), 265–272.</w:t>
      </w:r>
    </w:p>
    <w:p w14:paraId="546CEFB3" w14:textId="77777777" w:rsidR="0055733E" w:rsidRPr="00DA4CEC" w:rsidRDefault="0055733E" w:rsidP="0055733E">
      <w:pPr>
        <w:widowControl w:val="0"/>
        <w:autoSpaceDE w:val="0"/>
        <w:autoSpaceDN w:val="0"/>
        <w:adjustRightInd w:val="0"/>
        <w:spacing w:line="240" w:lineRule="auto"/>
        <w:ind w:left="640" w:hanging="640"/>
        <w:rPr>
          <w:noProof/>
        </w:rPr>
      </w:pPr>
    </w:p>
    <w:p w14:paraId="723478E5"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(23) </w:t>
      </w:r>
      <w:r w:rsidRPr="00DA4CEC">
        <w:rPr>
          <w:noProof/>
        </w:rPr>
        <w:tab/>
        <w:t>Gros, J.; Reddy, C. M.; Aeppli, C.; Nelson, R. K.; Ca</w:t>
      </w:r>
      <w:r w:rsidR="009F246C">
        <w:rPr>
          <w:noProof/>
        </w:rPr>
        <w:t>rmichael, C. A</w:t>
      </w:r>
      <w:r w:rsidRPr="00DA4CEC">
        <w:rPr>
          <w:noProof/>
        </w:rPr>
        <w:t xml:space="preserve">.; Arey, J. S. Resolving biodegradation patterns of persistent saturated hydrocarbons in weathered oil samples from the </w:t>
      </w:r>
      <w:r w:rsidRPr="009F246C">
        <w:rPr>
          <w:i/>
          <w:noProof/>
        </w:rPr>
        <w:t>Deepwater Horizon</w:t>
      </w:r>
      <w:r w:rsidRPr="00DA4CEC">
        <w:rPr>
          <w:noProof/>
        </w:rPr>
        <w:t xml:space="preserve"> disaster. </w:t>
      </w:r>
      <w:r w:rsidRPr="00DA4CEC">
        <w:rPr>
          <w:i/>
          <w:iCs/>
          <w:noProof/>
        </w:rPr>
        <w:t>Environ. Sci. Technol.</w:t>
      </w:r>
      <w:r w:rsidRPr="00DA4CEC">
        <w:rPr>
          <w:noProof/>
        </w:rPr>
        <w:t xml:space="preserve"> </w:t>
      </w:r>
      <w:r w:rsidRPr="00DA4CEC">
        <w:rPr>
          <w:b/>
          <w:bCs/>
          <w:noProof/>
        </w:rPr>
        <w:t>2014</w:t>
      </w:r>
      <w:r w:rsidRPr="00DA4CEC">
        <w:rPr>
          <w:noProof/>
        </w:rPr>
        <w:t xml:space="preserve">, </w:t>
      </w:r>
      <w:r w:rsidRPr="00DA4CEC">
        <w:rPr>
          <w:i/>
          <w:iCs/>
          <w:noProof/>
        </w:rPr>
        <w:t>48</w:t>
      </w:r>
      <w:r w:rsidRPr="00DA4CEC">
        <w:rPr>
          <w:noProof/>
        </w:rPr>
        <w:t>, 1628–1637.</w:t>
      </w:r>
    </w:p>
    <w:p w14:paraId="620EE559" w14:textId="77777777" w:rsidR="0055733E" w:rsidRPr="00DA4CEC" w:rsidRDefault="0055733E" w:rsidP="0055733E">
      <w:pPr>
        <w:widowControl w:val="0"/>
        <w:autoSpaceDE w:val="0"/>
        <w:autoSpaceDN w:val="0"/>
        <w:adjustRightInd w:val="0"/>
        <w:spacing w:line="240" w:lineRule="auto"/>
        <w:ind w:left="640" w:hanging="640"/>
        <w:rPr>
          <w:noProof/>
        </w:rPr>
      </w:pPr>
    </w:p>
    <w:p w14:paraId="7081606B"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(24) </w:t>
      </w:r>
      <w:r w:rsidRPr="00DA4CEC">
        <w:rPr>
          <w:noProof/>
        </w:rPr>
        <w:tab/>
        <w:t xml:space="preserve">Ray, P. Z.; Chen, H.; Podgorski, D. C.; Mckenna, A. M.; Tarr, M. A. Sunlight creates oxygenated species in water-soluble fractions of </w:t>
      </w:r>
      <w:r w:rsidR="009F246C">
        <w:rPr>
          <w:i/>
          <w:noProof/>
        </w:rPr>
        <w:t>Deepwater H</w:t>
      </w:r>
      <w:r w:rsidRPr="009F246C">
        <w:rPr>
          <w:i/>
          <w:noProof/>
        </w:rPr>
        <w:t>orizon</w:t>
      </w:r>
      <w:r w:rsidRPr="00DA4CEC">
        <w:rPr>
          <w:noProof/>
        </w:rPr>
        <w:t xml:space="preserve"> oil. </w:t>
      </w:r>
      <w:r w:rsidRPr="00DA4CEC">
        <w:rPr>
          <w:i/>
          <w:iCs/>
          <w:noProof/>
        </w:rPr>
        <w:t>J. Hazard. Mater.</w:t>
      </w:r>
      <w:r w:rsidRPr="00DA4CEC">
        <w:rPr>
          <w:noProof/>
        </w:rPr>
        <w:t xml:space="preserve"> </w:t>
      </w:r>
      <w:r w:rsidRPr="00DA4CEC">
        <w:rPr>
          <w:b/>
          <w:bCs/>
          <w:noProof/>
        </w:rPr>
        <w:t>2014</w:t>
      </w:r>
      <w:r w:rsidRPr="00DA4CEC">
        <w:rPr>
          <w:noProof/>
        </w:rPr>
        <w:t xml:space="preserve">, </w:t>
      </w:r>
      <w:r w:rsidRPr="00DA4CEC">
        <w:rPr>
          <w:i/>
          <w:iCs/>
          <w:noProof/>
        </w:rPr>
        <w:t>280</w:t>
      </w:r>
      <w:r w:rsidRPr="00DA4CEC">
        <w:rPr>
          <w:noProof/>
        </w:rPr>
        <w:t>, 636–643.</w:t>
      </w:r>
    </w:p>
    <w:p w14:paraId="2E5CE7F3" w14:textId="77777777" w:rsidR="0055733E" w:rsidRPr="00DA4CEC" w:rsidRDefault="0055733E" w:rsidP="0055733E">
      <w:pPr>
        <w:widowControl w:val="0"/>
        <w:autoSpaceDE w:val="0"/>
        <w:autoSpaceDN w:val="0"/>
        <w:adjustRightInd w:val="0"/>
        <w:spacing w:line="240" w:lineRule="auto"/>
        <w:ind w:left="640" w:hanging="640"/>
        <w:rPr>
          <w:noProof/>
        </w:rPr>
      </w:pPr>
    </w:p>
    <w:p w14:paraId="3D3B3184"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(25) </w:t>
      </w:r>
      <w:r w:rsidRPr="00DA4CEC">
        <w:rPr>
          <w:noProof/>
        </w:rPr>
        <w:tab/>
        <w:t>Ruddy, B. M.; Huettel, M.; Kostka, J. E.; Lobodin, V. V; Bythell, B. J.; Mckenna, A. M.; Aeppli, C.; Reddy, C. M.; Nelson</w:t>
      </w:r>
      <w:r w:rsidR="009F246C">
        <w:rPr>
          <w:noProof/>
        </w:rPr>
        <w:t>, R. K.; Marshall, A. G. Targeted petroleomics: Analytical investigation of Macondo well oil oxidation products from Pensacola b</w:t>
      </w:r>
      <w:r w:rsidRPr="00DA4CEC">
        <w:rPr>
          <w:noProof/>
        </w:rPr>
        <w:t xml:space="preserve">each. </w:t>
      </w:r>
      <w:r w:rsidRPr="00DA4CEC">
        <w:rPr>
          <w:i/>
          <w:iCs/>
          <w:noProof/>
        </w:rPr>
        <w:t>Energy &amp; Fuels</w:t>
      </w:r>
      <w:r w:rsidRPr="00DA4CEC">
        <w:rPr>
          <w:noProof/>
        </w:rPr>
        <w:t xml:space="preserve"> </w:t>
      </w:r>
      <w:r w:rsidRPr="00DA4CEC">
        <w:rPr>
          <w:b/>
          <w:bCs/>
          <w:noProof/>
        </w:rPr>
        <w:t>2014</w:t>
      </w:r>
      <w:r w:rsidRPr="00DA4CEC">
        <w:rPr>
          <w:noProof/>
        </w:rPr>
        <w:t xml:space="preserve">, </w:t>
      </w:r>
      <w:r w:rsidRPr="00DA4CEC">
        <w:rPr>
          <w:i/>
          <w:iCs/>
          <w:noProof/>
        </w:rPr>
        <w:t>28</w:t>
      </w:r>
      <w:r w:rsidRPr="00DA4CEC">
        <w:rPr>
          <w:noProof/>
        </w:rPr>
        <w:t>, 4043–4050.</w:t>
      </w:r>
    </w:p>
    <w:p w14:paraId="22E75F6F" w14:textId="77777777" w:rsidR="0055733E" w:rsidRPr="00DA4CEC" w:rsidRDefault="0055733E" w:rsidP="0055733E">
      <w:pPr>
        <w:widowControl w:val="0"/>
        <w:autoSpaceDE w:val="0"/>
        <w:autoSpaceDN w:val="0"/>
        <w:adjustRightInd w:val="0"/>
        <w:spacing w:line="240" w:lineRule="auto"/>
        <w:ind w:left="640" w:hanging="640"/>
        <w:rPr>
          <w:noProof/>
        </w:rPr>
      </w:pPr>
    </w:p>
    <w:p w14:paraId="2144EDEF"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(26) </w:t>
      </w:r>
      <w:r w:rsidRPr="00DA4CEC">
        <w:rPr>
          <w:noProof/>
        </w:rPr>
        <w:tab/>
        <w:t>Prince</w:t>
      </w:r>
      <w:r w:rsidR="009F246C">
        <w:rPr>
          <w:noProof/>
        </w:rPr>
        <w:t>, R. C. Anaerobic Oxidation of crude o</w:t>
      </w:r>
      <w:r w:rsidRPr="00DA4CEC">
        <w:rPr>
          <w:noProof/>
        </w:rPr>
        <w:t xml:space="preserve">il </w:t>
      </w:r>
      <w:r w:rsidR="009F246C">
        <w:rPr>
          <w:noProof/>
        </w:rPr>
        <w:t>hydrocarbons by the resident microorganisms of a contaminated anoxic a</w:t>
      </w:r>
      <w:r w:rsidRPr="00DA4CEC">
        <w:rPr>
          <w:noProof/>
        </w:rPr>
        <w:t xml:space="preserve">quifer. </w:t>
      </w:r>
      <w:r w:rsidRPr="00DA4CEC">
        <w:rPr>
          <w:i/>
          <w:iCs/>
          <w:noProof/>
        </w:rPr>
        <w:t>Environ. Sci. Technol.</w:t>
      </w:r>
      <w:r w:rsidRPr="00DA4CEC">
        <w:rPr>
          <w:noProof/>
        </w:rPr>
        <w:t xml:space="preserve"> </w:t>
      </w:r>
      <w:r w:rsidRPr="00DA4CEC">
        <w:rPr>
          <w:b/>
          <w:bCs/>
          <w:noProof/>
        </w:rPr>
        <w:t>2003</w:t>
      </w:r>
      <w:r w:rsidRPr="00DA4CEC">
        <w:rPr>
          <w:noProof/>
        </w:rPr>
        <w:t xml:space="preserve">, </w:t>
      </w:r>
      <w:r w:rsidRPr="00DA4CEC">
        <w:rPr>
          <w:i/>
          <w:iCs/>
          <w:noProof/>
        </w:rPr>
        <w:t>37</w:t>
      </w:r>
      <w:r w:rsidRPr="00DA4CEC">
        <w:rPr>
          <w:noProof/>
        </w:rPr>
        <w:t xml:space="preserve"> (22), 5213–5218.</w:t>
      </w:r>
    </w:p>
    <w:p w14:paraId="6C689DAC" w14:textId="77777777" w:rsidR="0055733E" w:rsidRPr="00DA4CEC" w:rsidRDefault="0055733E" w:rsidP="0055733E">
      <w:pPr>
        <w:widowControl w:val="0"/>
        <w:autoSpaceDE w:val="0"/>
        <w:autoSpaceDN w:val="0"/>
        <w:adjustRightInd w:val="0"/>
        <w:spacing w:line="240" w:lineRule="auto"/>
        <w:ind w:left="640" w:hanging="640"/>
        <w:rPr>
          <w:noProof/>
        </w:rPr>
      </w:pPr>
    </w:p>
    <w:p w14:paraId="0475C400"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(27) </w:t>
      </w:r>
      <w:r w:rsidRPr="00DA4CEC">
        <w:rPr>
          <w:noProof/>
        </w:rPr>
        <w:tab/>
        <w:t>Walker, J. D.; Seesman, P</w:t>
      </w:r>
      <w:r w:rsidR="009F246C">
        <w:rPr>
          <w:noProof/>
        </w:rPr>
        <w:t>. A.; Colwell, R. R. Effect of s</w:t>
      </w:r>
      <w:r w:rsidRPr="00DA4CEC">
        <w:rPr>
          <w:noProof/>
        </w:rPr>
        <w:t xml:space="preserve">outh Louisiana crude oil and No. 2 fuel oil on growth of heterotrophic microorganisms, including proteolytic, lipolytic, chitinolytic and cellulolytic bacteria. </w:t>
      </w:r>
      <w:r w:rsidRPr="00DA4CEC">
        <w:rPr>
          <w:i/>
          <w:iCs/>
          <w:noProof/>
        </w:rPr>
        <w:t>Environ. Pollut.</w:t>
      </w:r>
      <w:r w:rsidRPr="00DA4CEC">
        <w:rPr>
          <w:noProof/>
        </w:rPr>
        <w:t xml:space="preserve"> </w:t>
      </w:r>
      <w:r w:rsidRPr="00DA4CEC">
        <w:rPr>
          <w:b/>
          <w:bCs/>
          <w:noProof/>
        </w:rPr>
        <w:t>1970</w:t>
      </w:r>
      <w:r w:rsidRPr="00DA4CEC">
        <w:rPr>
          <w:noProof/>
        </w:rPr>
        <w:t xml:space="preserve">, </w:t>
      </w:r>
      <w:r w:rsidRPr="00DA4CEC">
        <w:rPr>
          <w:i/>
          <w:iCs/>
          <w:noProof/>
        </w:rPr>
        <w:t>9</w:t>
      </w:r>
      <w:r w:rsidRPr="00DA4CEC">
        <w:rPr>
          <w:noProof/>
        </w:rPr>
        <w:t xml:space="preserve"> (1), 13–33.</w:t>
      </w:r>
    </w:p>
    <w:p w14:paraId="34ECF8DC" w14:textId="77777777" w:rsidR="0055733E" w:rsidRPr="00DA4CEC" w:rsidRDefault="0055733E" w:rsidP="0055733E">
      <w:pPr>
        <w:widowControl w:val="0"/>
        <w:autoSpaceDE w:val="0"/>
        <w:autoSpaceDN w:val="0"/>
        <w:adjustRightInd w:val="0"/>
        <w:spacing w:line="240" w:lineRule="auto"/>
        <w:ind w:left="640" w:hanging="640"/>
        <w:rPr>
          <w:noProof/>
        </w:rPr>
      </w:pPr>
    </w:p>
    <w:p w14:paraId="0213E6FE"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(28) </w:t>
      </w:r>
      <w:r w:rsidRPr="00DA4CEC">
        <w:rPr>
          <w:noProof/>
        </w:rPr>
        <w:tab/>
        <w:t xml:space="preserve">Lyles, C. N.; Aktas, D. F.; Duncan, K. E.; Callaghan, A. V.; Stevenson, B. S.; Suflita, J. M. Impact of organsulfur content on diesel fuel stability and implications for carbon steel corrosion. </w:t>
      </w:r>
      <w:r w:rsidRPr="00DA4CEC">
        <w:rPr>
          <w:i/>
          <w:iCs/>
          <w:noProof/>
        </w:rPr>
        <w:t>Environ. Sci. Technol.</w:t>
      </w:r>
      <w:r w:rsidRPr="00DA4CEC">
        <w:rPr>
          <w:noProof/>
        </w:rPr>
        <w:t xml:space="preserve"> </w:t>
      </w:r>
      <w:r w:rsidRPr="00DA4CEC">
        <w:rPr>
          <w:b/>
          <w:bCs/>
          <w:noProof/>
        </w:rPr>
        <w:t>2013</w:t>
      </w:r>
      <w:r w:rsidRPr="00DA4CEC">
        <w:rPr>
          <w:noProof/>
        </w:rPr>
        <w:t xml:space="preserve">, </w:t>
      </w:r>
      <w:r w:rsidRPr="00DA4CEC">
        <w:rPr>
          <w:i/>
          <w:iCs/>
          <w:noProof/>
        </w:rPr>
        <w:t>47</w:t>
      </w:r>
      <w:r w:rsidRPr="00DA4CEC">
        <w:rPr>
          <w:noProof/>
        </w:rPr>
        <w:t>, 6052–6062.</w:t>
      </w:r>
    </w:p>
    <w:p w14:paraId="5091544C" w14:textId="77777777" w:rsidR="0055733E" w:rsidRPr="00DA4CEC" w:rsidRDefault="0055733E" w:rsidP="0055733E">
      <w:pPr>
        <w:widowControl w:val="0"/>
        <w:autoSpaceDE w:val="0"/>
        <w:autoSpaceDN w:val="0"/>
        <w:adjustRightInd w:val="0"/>
        <w:spacing w:line="240" w:lineRule="auto"/>
        <w:ind w:left="640" w:hanging="640"/>
        <w:rPr>
          <w:noProof/>
        </w:rPr>
      </w:pPr>
    </w:p>
    <w:p w14:paraId="725BC006"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(29) </w:t>
      </w:r>
      <w:r w:rsidRPr="00DA4CEC">
        <w:rPr>
          <w:noProof/>
        </w:rPr>
        <w:tab/>
        <w:t>Ulrich, G. A.; Krumholz, L. E. E. R.; Suflita, J. M. A rapid and simple method for estimating sulfate reduction activity and qu</w:t>
      </w:r>
      <w:r w:rsidR="009F246C">
        <w:rPr>
          <w:noProof/>
        </w:rPr>
        <w:t>antifying inorganic sulfides</w:t>
      </w:r>
      <w:r w:rsidRPr="00DA4CEC">
        <w:rPr>
          <w:noProof/>
        </w:rPr>
        <w:t xml:space="preserve">. </w:t>
      </w:r>
      <w:r w:rsidRPr="00DA4CEC">
        <w:rPr>
          <w:i/>
          <w:iCs/>
          <w:noProof/>
        </w:rPr>
        <w:t>Environ. Sci. Technol.</w:t>
      </w:r>
      <w:r w:rsidRPr="00DA4CEC">
        <w:rPr>
          <w:noProof/>
        </w:rPr>
        <w:t xml:space="preserve"> </w:t>
      </w:r>
      <w:r w:rsidRPr="00DA4CEC">
        <w:rPr>
          <w:b/>
          <w:bCs/>
          <w:noProof/>
        </w:rPr>
        <w:t>1997</w:t>
      </w:r>
      <w:r w:rsidRPr="00DA4CEC">
        <w:rPr>
          <w:noProof/>
        </w:rPr>
        <w:t xml:space="preserve">, </w:t>
      </w:r>
      <w:r w:rsidRPr="00DA4CEC">
        <w:rPr>
          <w:i/>
          <w:iCs/>
          <w:noProof/>
        </w:rPr>
        <w:t>63</w:t>
      </w:r>
      <w:r w:rsidRPr="00DA4CEC">
        <w:rPr>
          <w:noProof/>
        </w:rPr>
        <w:t xml:space="preserve"> (4), 1627–1630.</w:t>
      </w:r>
    </w:p>
    <w:p w14:paraId="44E2A3E9" w14:textId="77777777" w:rsidR="00DA4CEC" w:rsidRPr="00DA4CEC" w:rsidRDefault="00DA4CEC" w:rsidP="0055733E">
      <w:pPr>
        <w:widowControl w:val="0"/>
        <w:autoSpaceDE w:val="0"/>
        <w:autoSpaceDN w:val="0"/>
        <w:adjustRightInd w:val="0"/>
        <w:spacing w:line="240" w:lineRule="auto"/>
        <w:ind w:left="640" w:hanging="640"/>
        <w:rPr>
          <w:noProof/>
        </w:rPr>
      </w:pPr>
    </w:p>
    <w:p w14:paraId="45B6F3B1"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(30) </w:t>
      </w:r>
      <w:r w:rsidRPr="00DA4CEC">
        <w:rPr>
          <w:noProof/>
        </w:rPr>
        <w:tab/>
        <w:t xml:space="preserve">Sugimura, Y.; Suzuki, Y. A high-temperature catalytic oxidation method for the determination of non-volatile dissolved organic carbon in seawater by direct injection of a liquid sample. </w:t>
      </w:r>
      <w:r w:rsidRPr="00DA4CEC">
        <w:rPr>
          <w:i/>
          <w:iCs/>
          <w:noProof/>
        </w:rPr>
        <w:t>Mar. Chem.</w:t>
      </w:r>
      <w:r w:rsidRPr="00DA4CEC">
        <w:rPr>
          <w:noProof/>
        </w:rPr>
        <w:t xml:space="preserve"> </w:t>
      </w:r>
      <w:r w:rsidRPr="00DA4CEC">
        <w:rPr>
          <w:b/>
          <w:bCs/>
          <w:noProof/>
        </w:rPr>
        <w:t>1988</w:t>
      </w:r>
      <w:r w:rsidRPr="00DA4CEC">
        <w:rPr>
          <w:noProof/>
        </w:rPr>
        <w:t xml:space="preserve">, </w:t>
      </w:r>
      <w:r w:rsidRPr="00DA4CEC">
        <w:rPr>
          <w:i/>
          <w:iCs/>
          <w:noProof/>
        </w:rPr>
        <w:t>24</w:t>
      </w:r>
      <w:r w:rsidRPr="00DA4CEC">
        <w:rPr>
          <w:noProof/>
        </w:rPr>
        <w:t xml:space="preserve"> (2), 105–131.</w:t>
      </w:r>
    </w:p>
    <w:p w14:paraId="16AFA32C" w14:textId="77777777" w:rsidR="0055733E" w:rsidRDefault="0055733E" w:rsidP="0055733E">
      <w:pPr>
        <w:widowControl w:val="0"/>
        <w:autoSpaceDE w:val="0"/>
        <w:autoSpaceDN w:val="0"/>
        <w:adjustRightInd w:val="0"/>
        <w:spacing w:line="240" w:lineRule="auto"/>
        <w:ind w:left="640" w:hanging="640"/>
        <w:rPr>
          <w:noProof/>
        </w:rPr>
      </w:pPr>
    </w:p>
    <w:p w14:paraId="6B13889A" w14:textId="77777777" w:rsidR="009F246C" w:rsidRPr="00DA4CEC" w:rsidRDefault="009F246C" w:rsidP="0055733E">
      <w:pPr>
        <w:widowControl w:val="0"/>
        <w:autoSpaceDE w:val="0"/>
        <w:autoSpaceDN w:val="0"/>
        <w:adjustRightInd w:val="0"/>
        <w:spacing w:line="240" w:lineRule="auto"/>
        <w:ind w:left="640" w:hanging="640"/>
        <w:rPr>
          <w:noProof/>
        </w:rPr>
      </w:pPr>
    </w:p>
    <w:p w14:paraId="676C6FEF"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lastRenderedPageBreak/>
        <w:t xml:space="preserve">(31) </w:t>
      </w:r>
      <w:r w:rsidRPr="00DA4CEC">
        <w:rPr>
          <w:noProof/>
        </w:rPr>
        <w:tab/>
        <w:t xml:space="preserve">Spencer, R. G. M.; Bolton, L.; Baker, A. Freeze/thaw and pH effects on freshwater dissolved organic matter fluorescence and absorbance properties from a number of UK locations. </w:t>
      </w:r>
      <w:r w:rsidRPr="00DA4CEC">
        <w:rPr>
          <w:i/>
          <w:iCs/>
          <w:noProof/>
        </w:rPr>
        <w:t>Water Res.</w:t>
      </w:r>
      <w:r w:rsidRPr="00DA4CEC">
        <w:rPr>
          <w:noProof/>
        </w:rPr>
        <w:t xml:space="preserve"> </w:t>
      </w:r>
      <w:r w:rsidRPr="00DA4CEC">
        <w:rPr>
          <w:b/>
          <w:bCs/>
          <w:noProof/>
        </w:rPr>
        <w:t>2007</w:t>
      </w:r>
      <w:r w:rsidRPr="00DA4CEC">
        <w:rPr>
          <w:noProof/>
        </w:rPr>
        <w:t xml:space="preserve">, </w:t>
      </w:r>
      <w:r w:rsidRPr="00DA4CEC">
        <w:rPr>
          <w:i/>
          <w:iCs/>
          <w:noProof/>
        </w:rPr>
        <w:t>41</w:t>
      </w:r>
      <w:r w:rsidRPr="00DA4CEC">
        <w:rPr>
          <w:noProof/>
        </w:rPr>
        <w:t xml:space="preserve"> (13), 2941–2950.</w:t>
      </w:r>
    </w:p>
    <w:p w14:paraId="460F048E" w14:textId="77777777" w:rsidR="0055733E" w:rsidRPr="00DA4CEC" w:rsidRDefault="0055733E" w:rsidP="0055733E">
      <w:pPr>
        <w:widowControl w:val="0"/>
        <w:autoSpaceDE w:val="0"/>
        <w:autoSpaceDN w:val="0"/>
        <w:adjustRightInd w:val="0"/>
        <w:spacing w:line="240" w:lineRule="auto"/>
        <w:ind w:left="640" w:hanging="640"/>
        <w:rPr>
          <w:noProof/>
        </w:rPr>
      </w:pPr>
    </w:p>
    <w:p w14:paraId="492EA888"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(32) </w:t>
      </w:r>
      <w:r w:rsidRPr="00DA4CEC">
        <w:rPr>
          <w:noProof/>
        </w:rPr>
        <w:tab/>
        <w:t xml:space="preserve">Tfaily, M. M.; Podgorski, D. C.; Corbett, J. E.; Chanton, J. P.; Cooper, W. T. Influence of acidification on the optical properties and molecular composition of dissolved organic matter. </w:t>
      </w:r>
      <w:r w:rsidRPr="00DA4CEC">
        <w:rPr>
          <w:i/>
          <w:iCs/>
          <w:noProof/>
        </w:rPr>
        <w:t>Anal. Chim. Acta</w:t>
      </w:r>
      <w:r w:rsidRPr="00DA4CEC">
        <w:rPr>
          <w:noProof/>
        </w:rPr>
        <w:t xml:space="preserve"> </w:t>
      </w:r>
      <w:r w:rsidRPr="00DA4CEC">
        <w:rPr>
          <w:b/>
          <w:bCs/>
          <w:noProof/>
        </w:rPr>
        <w:t>2011</w:t>
      </w:r>
      <w:r w:rsidRPr="00DA4CEC">
        <w:rPr>
          <w:noProof/>
        </w:rPr>
        <w:t xml:space="preserve">, </w:t>
      </w:r>
      <w:r w:rsidRPr="00DA4CEC">
        <w:rPr>
          <w:i/>
          <w:iCs/>
          <w:noProof/>
        </w:rPr>
        <w:t>706</w:t>
      </w:r>
      <w:r w:rsidRPr="00DA4CEC">
        <w:rPr>
          <w:noProof/>
        </w:rPr>
        <w:t xml:space="preserve"> (2), 261–267.</w:t>
      </w:r>
    </w:p>
    <w:p w14:paraId="1E04474B" w14:textId="77777777" w:rsidR="0055733E" w:rsidRPr="00DA4CEC" w:rsidRDefault="0055733E" w:rsidP="0055733E">
      <w:pPr>
        <w:widowControl w:val="0"/>
        <w:autoSpaceDE w:val="0"/>
        <w:autoSpaceDN w:val="0"/>
        <w:adjustRightInd w:val="0"/>
        <w:spacing w:line="240" w:lineRule="auto"/>
        <w:ind w:left="640" w:hanging="640"/>
        <w:rPr>
          <w:noProof/>
        </w:rPr>
      </w:pPr>
    </w:p>
    <w:p w14:paraId="252FD294"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(33) </w:t>
      </w:r>
      <w:r w:rsidRPr="00DA4CEC">
        <w:rPr>
          <w:noProof/>
        </w:rPr>
        <w:tab/>
        <w:t xml:space="preserve">Yan, M.; Fu, Q.; Li, D.; Gao, G.; Wang, D. Study of the pH influence on the optical properties of dissolved organic matter using fluorescence excitation–emission matrix and parallel factor analysis. </w:t>
      </w:r>
      <w:r w:rsidRPr="00DA4CEC">
        <w:rPr>
          <w:i/>
          <w:iCs/>
          <w:noProof/>
        </w:rPr>
        <w:t>J. Lumin.</w:t>
      </w:r>
      <w:r w:rsidRPr="00DA4CEC">
        <w:rPr>
          <w:noProof/>
        </w:rPr>
        <w:t xml:space="preserve"> </w:t>
      </w:r>
      <w:r w:rsidRPr="00DA4CEC">
        <w:rPr>
          <w:b/>
          <w:bCs/>
          <w:noProof/>
        </w:rPr>
        <w:t>2013</w:t>
      </w:r>
      <w:r w:rsidRPr="00DA4CEC">
        <w:rPr>
          <w:noProof/>
        </w:rPr>
        <w:t xml:space="preserve">, </w:t>
      </w:r>
      <w:r w:rsidRPr="00DA4CEC">
        <w:rPr>
          <w:i/>
          <w:iCs/>
          <w:noProof/>
        </w:rPr>
        <w:t>142</w:t>
      </w:r>
      <w:r w:rsidRPr="00DA4CEC">
        <w:rPr>
          <w:noProof/>
        </w:rPr>
        <w:t>, 103–109.</w:t>
      </w:r>
    </w:p>
    <w:p w14:paraId="36AE326F" w14:textId="77777777" w:rsidR="0055733E" w:rsidRPr="00DA4CEC" w:rsidRDefault="0055733E" w:rsidP="0055733E">
      <w:pPr>
        <w:widowControl w:val="0"/>
        <w:autoSpaceDE w:val="0"/>
        <w:autoSpaceDN w:val="0"/>
        <w:adjustRightInd w:val="0"/>
        <w:spacing w:line="240" w:lineRule="auto"/>
        <w:ind w:left="640" w:hanging="640"/>
        <w:rPr>
          <w:noProof/>
        </w:rPr>
      </w:pPr>
    </w:p>
    <w:p w14:paraId="53D1AEC7" w14:textId="77777777" w:rsidR="00642FEC" w:rsidRPr="009F246C" w:rsidRDefault="009F246C" w:rsidP="0055733E">
      <w:pPr>
        <w:widowControl w:val="0"/>
        <w:autoSpaceDE w:val="0"/>
        <w:autoSpaceDN w:val="0"/>
        <w:adjustRightInd w:val="0"/>
        <w:spacing w:line="240" w:lineRule="auto"/>
        <w:ind w:left="640" w:hanging="640"/>
        <w:rPr>
          <w:noProof/>
        </w:rPr>
      </w:pPr>
      <w:r>
        <w:rPr>
          <w:noProof/>
        </w:rPr>
        <w:t xml:space="preserve">(34) </w:t>
      </w:r>
      <w:r>
        <w:rPr>
          <w:noProof/>
        </w:rPr>
        <w:tab/>
        <w:t>Ohno, T. Fluorescence inner-filtering correction for determining the humification index of dissolved organic m</w:t>
      </w:r>
      <w:r w:rsidR="00642FEC" w:rsidRPr="00DA4CEC">
        <w:rPr>
          <w:noProof/>
        </w:rPr>
        <w:t xml:space="preserve">atter. </w:t>
      </w:r>
      <w:r>
        <w:rPr>
          <w:i/>
          <w:noProof/>
        </w:rPr>
        <w:t>Environ. Sci. Technol.</w:t>
      </w:r>
      <w:r>
        <w:rPr>
          <w:noProof/>
        </w:rPr>
        <w:t xml:space="preserve"> </w:t>
      </w:r>
      <w:r w:rsidR="00642FEC" w:rsidRPr="00DA4CEC">
        <w:rPr>
          <w:b/>
          <w:bCs/>
          <w:noProof/>
        </w:rPr>
        <w:t>2002</w:t>
      </w:r>
      <w:r>
        <w:rPr>
          <w:noProof/>
        </w:rPr>
        <w:t xml:space="preserve">, </w:t>
      </w:r>
      <w:r>
        <w:rPr>
          <w:i/>
          <w:noProof/>
        </w:rPr>
        <w:t>36</w:t>
      </w:r>
      <w:r>
        <w:rPr>
          <w:noProof/>
        </w:rPr>
        <w:t xml:space="preserve"> (4), 742-746.</w:t>
      </w:r>
    </w:p>
    <w:p w14:paraId="2E2AFC0F" w14:textId="77777777" w:rsidR="0055733E" w:rsidRPr="00DA4CEC" w:rsidRDefault="0055733E" w:rsidP="0055733E">
      <w:pPr>
        <w:widowControl w:val="0"/>
        <w:autoSpaceDE w:val="0"/>
        <w:autoSpaceDN w:val="0"/>
        <w:adjustRightInd w:val="0"/>
        <w:spacing w:line="240" w:lineRule="auto"/>
        <w:ind w:left="640" w:hanging="640"/>
        <w:rPr>
          <w:noProof/>
        </w:rPr>
      </w:pPr>
    </w:p>
    <w:p w14:paraId="42149747"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(35) </w:t>
      </w:r>
      <w:r w:rsidRPr="00DA4CEC">
        <w:rPr>
          <w:noProof/>
        </w:rPr>
        <w:tab/>
        <w:t xml:space="preserve">Stedmon, C. A.; Bro, R. Characterizing dissolved organic matter fluorescence with parallel factor analysis: a tutorial. </w:t>
      </w:r>
      <w:r w:rsidRPr="00DA4CEC">
        <w:rPr>
          <w:i/>
          <w:iCs/>
          <w:noProof/>
        </w:rPr>
        <w:t>Limnol. Oceanogr. Methods</w:t>
      </w:r>
      <w:r w:rsidRPr="00DA4CEC">
        <w:rPr>
          <w:noProof/>
        </w:rPr>
        <w:t xml:space="preserve"> </w:t>
      </w:r>
      <w:r w:rsidRPr="00DA4CEC">
        <w:rPr>
          <w:b/>
          <w:bCs/>
          <w:noProof/>
        </w:rPr>
        <w:t>2008</w:t>
      </w:r>
      <w:r w:rsidRPr="00DA4CEC">
        <w:rPr>
          <w:noProof/>
        </w:rPr>
        <w:t xml:space="preserve">, </w:t>
      </w:r>
      <w:r w:rsidRPr="00DA4CEC">
        <w:rPr>
          <w:i/>
          <w:iCs/>
          <w:noProof/>
        </w:rPr>
        <w:t>6</w:t>
      </w:r>
      <w:r w:rsidRPr="00DA4CEC">
        <w:rPr>
          <w:noProof/>
        </w:rPr>
        <w:t xml:space="preserve"> (11), 572–579.</w:t>
      </w:r>
    </w:p>
    <w:p w14:paraId="2AFC51BD" w14:textId="77777777" w:rsidR="0055733E" w:rsidRPr="00DA4CEC" w:rsidRDefault="0055733E" w:rsidP="0055733E">
      <w:pPr>
        <w:widowControl w:val="0"/>
        <w:autoSpaceDE w:val="0"/>
        <w:autoSpaceDN w:val="0"/>
        <w:adjustRightInd w:val="0"/>
        <w:spacing w:line="240" w:lineRule="auto"/>
        <w:ind w:left="640" w:hanging="640"/>
        <w:rPr>
          <w:noProof/>
        </w:rPr>
      </w:pPr>
    </w:p>
    <w:p w14:paraId="2CD89C6C"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(36) </w:t>
      </w:r>
      <w:r w:rsidRPr="00DA4CEC">
        <w:rPr>
          <w:noProof/>
        </w:rPr>
        <w:tab/>
        <w:t>Tucker, S. A.; Amszi, V. L.; Acree, W. E. Primary and secondary inner filtering. Effect of K</w:t>
      </w:r>
      <w:r w:rsidRPr="009F246C">
        <w:rPr>
          <w:noProof/>
          <w:vertAlign w:val="subscript"/>
        </w:rPr>
        <w:t>2</w:t>
      </w:r>
      <w:r w:rsidRPr="00DA4CEC">
        <w:rPr>
          <w:noProof/>
        </w:rPr>
        <w:t>Cr</w:t>
      </w:r>
      <w:r w:rsidRPr="009F246C">
        <w:rPr>
          <w:noProof/>
          <w:vertAlign w:val="subscript"/>
        </w:rPr>
        <w:t>2</w:t>
      </w:r>
      <w:r w:rsidRPr="00DA4CEC">
        <w:rPr>
          <w:noProof/>
        </w:rPr>
        <w:t>O</w:t>
      </w:r>
      <w:r w:rsidRPr="009F246C">
        <w:rPr>
          <w:noProof/>
          <w:vertAlign w:val="subscript"/>
        </w:rPr>
        <w:t>7</w:t>
      </w:r>
      <w:r w:rsidRPr="00DA4CEC">
        <w:rPr>
          <w:noProof/>
        </w:rPr>
        <w:t xml:space="preserve"> on fluorescence emission intensities of quinine sulfate. </w:t>
      </w:r>
      <w:r w:rsidRPr="00DA4CEC">
        <w:rPr>
          <w:i/>
          <w:iCs/>
          <w:noProof/>
        </w:rPr>
        <w:t>J. Chem. Educ.</w:t>
      </w:r>
      <w:r w:rsidRPr="00DA4CEC">
        <w:rPr>
          <w:noProof/>
        </w:rPr>
        <w:t xml:space="preserve"> </w:t>
      </w:r>
      <w:r w:rsidRPr="00DA4CEC">
        <w:rPr>
          <w:b/>
          <w:bCs/>
          <w:noProof/>
        </w:rPr>
        <w:t>1992</w:t>
      </w:r>
      <w:r w:rsidRPr="00DA4CEC">
        <w:rPr>
          <w:noProof/>
        </w:rPr>
        <w:t xml:space="preserve">, </w:t>
      </w:r>
      <w:r w:rsidRPr="00DA4CEC">
        <w:rPr>
          <w:i/>
          <w:iCs/>
          <w:noProof/>
        </w:rPr>
        <w:t>69</w:t>
      </w:r>
      <w:r w:rsidRPr="00DA4CEC">
        <w:rPr>
          <w:noProof/>
        </w:rPr>
        <w:t xml:space="preserve"> (1), A8.</w:t>
      </w:r>
    </w:p>
    <w:p w14:paraId="0CF5B022" w14:textId="77777777" w:rsidR="0055733E" w:rsidRPr="00DA4CEC" w:rsidRDefault="0055733E" w:rsidP="0055733E">
      <w:pPr>
        <w:widowControl w:val="0"/>
        <w:autoSpaceDE w:val="0"/>
        <w:autoSpaceDN w:val="0"/>
        <w:adjustRightInd w:val="0"/>
        <w:spacing w:line="240" w:lineRule="auto"/>
        <w:ind w:left="640" w:hanging="640"/>
        <w:rPr>
          <w:noProof/>
        </w:rPr>
      </w:pPr>
    </w:p>
    <w:p w14:paraId="4872B41C"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(37) </w:t>
      </w:r>
      <w:r w:rsidRPr="00DA4CEC">
        <w:rPr>
          <w:noProof/>
        </w:rPr>
        <w:tab/>
        <w:t xml:space="preserve">Dittmar, T.; Koch, B.; Hertkorn, N.; Kattner, G. A simple and efficient method for the solid-phase extraction of dissolved organic matter (SPE-DOM) from seawater. </w:t>
      </w:r>
      <w:r w:rsidRPr="00DA4CEC">
        <w:rPr>
          <w:i/>
          <w:iCs/>
          <w:noProof/>
        </w:rPr>
        <w:t>Limnol. Ocean. Methods</w:t>
      </w:r>
      <w:r w:rsidRPr="00DA4CEC">
        <w:rPr>
          <w:noProof/>
        </w:rPr>
        <w:t xml:space="preserve"> </w:t>
      </w:r>
      <w:r w:rsidRPr="00DA4CEC">
        <w:rPr>
          <w:b/>
          <w:bCs/>
          <w:noProof/>
        </w:rPr>
        <w:t>2008</w:t>
      </w:r>
      <w:r w:rsidRPr="00DA4CEC">
        <w:rPr>
          <w:noProof/>
        </w:rPr>
        <w:t xml:space="preserve">, </w:t>
      </w:r>
      <w:r w:rsidRPr="00DA4CEC">
        <w:rPr>
          <w:i/>
          <w:iCs/>
          <w:noProof/>
        </w:rPr>
        <w:t>6</w:t>
      </w:r>
      <w:r w:rsidRPr="00DA4CEC">
        <w:rPr>
          <w:noProof/>
        </w:rPr>
        <w:t>, 230–235.</w:t>
      </w:r>
    </w:p>
    <w:p w14:paraId="73747301" w14:textId="77777777" w:rsidR="00AB42BE" w:rsidRPr="00DA4CEC" w:rsidRDefault="00AB42BE" w:rsidP="0055733E">
      <w:pPr>
        <w:widowControl w:val="0"/>
        <w:autoSpaceDE w:val="0"/>
        <w:autoSpaceDN w:val="0"/>
        <w:adjustRightInd w:val="0"/>
        <w:spacing w:line="240" w:lineRule="auto"/>
        <w:ind w:left="640" w:hanging="640"/>
        <w:rPr>
          <w:noProof/>
        </w:rPr>
      </w:pPr>
    </w:p>
    <w:p w14:paraId="556CEF96" w14:textId="77777777" w:rsidR="00AB42BE"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(38) </w:t>
      </w:r>
      <w:r w:rsidRPr="00DA4CEC">
        <w:rPr>
          <w:noProof/>
        </w:rPr>
        <w:tab/>
        <w:t>Kaiser, N. K.; Quinn, J. P.; Blakney, G. T.; Hendrickson, C. L.; Marshall,</w:t>
      </w:r>
      <w:r w:rsidR="009F246C">
        <w:rPr>
          <w:noProof/>
        </w:rPr>
        <w:t xml:space="preserve"> A. G. A Novel 9.4 Tesla FTICR mass spectrometer with improved sensitivity, mass resolution, and mass r</w:t>
      </w:r>
      <w:r w:rsidRPr="00DA4CEC">
        <w:rPr>
          <w:noProof/>
        </w:rPr>
        <w:t xml:space="preserve">ange. </w:t>
      </w:r>
      <w:r w:rsidRPr="00DA4CEC">
        <w:rPr>
          <w:i/>
          <w:iCs/>
          <w:noProof/>
        </w:rPr>
        <w:t>J. Am. Soc. Mass Spectrom.</w:t>
      </w:r>
      <w:r w:rsidRPr="00DA4CEC">
        <w:rPr>
          <w:noProof/>
        </w:rPr>
        <w:t xml:space="preserve"> </w:t>
      </w:r>
      <w:r w:rsidRPr="00DA4CEC">
        <w:rPr>
          <w:b/>
          <w:bCs/>
          <w:noProof/>
        </w:rPr>
        <w:t>2011</w:t>
      </w:r>
      <w:r w:rsidRPr="00DA4CEC">
        <w:rPr>
          <w:noProof/>
        </w:rPr>
        <w:t xml:space="preserve">, </w:t>
      </w:r>
      <w:r w:rsidRPr="00DA4CEC">
        <w:rPr>
          <w:i/>
          <w:iCs/>
          <w:noProof/>
        </w:rPr>
        <w:t>22</w:t>
      </w:r>
      <w:r w:rsidRPr="00DA4CEC">
        <w:rPr>
          <w:noProof/>
        </w:rPr>
        <w:t xml:space="preserve"> (8), 1343–1351.</w:t>
      </w:r>
    </w:p>
    <w:p w14:paraId="4F304201" w14:textId="77777777" w:rsidR="00AB42BE" w:rsidRPr="00DA4CEC" w:rsidRDefault="00AB42BE" w:rsidP="0055733E">
      <w:pPr>
        <w:widowControl w:val="0"/>
        <w:autoSpaceDE w:val="0"/>
        <w:autoSpaceDN w:val="0"/>
        <w:adjustRightInd w:val="0"/>
        <w:spacing w:line="240" w:lineRule="auto"/>
        <w:ind w:left="640" w:hanging="640"/>
        <w:rPr>
          <w:noProof/>
        </w:rPr>
      </w:pPr>
    </w:p>
    <w:p w14:paraId="09610B84"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(39) </w:t>
      </w:r>
      <w:r w:rsidRPr="00DA4CEC">
        <w:rPr>
          <w:noProof/>
        </w:rPr>
        <w:tab/>
        <w:t xml:space="preserve">Blakney, G. T.; Hendrickson, C. L.; Marshall, A. G. Predator data station: A fast data acquisition system for advanced FT-ICR MS experiments. </w:t>
      </w:r>
      <w:r w:rsidRPr="00DA4CEC">
        <w:rPr>
          <w:i/>
          <w:iCs/>
          <w:noProof/>
        </w:rPr>
        <w:t>Int. J. Mass Spectrom.</w:t>
      </w:r>
      <w:r w:rsidRPr="00DA4CEC">
        <w:rPr>
          <w:noProof/>
        </w:rPr>
        <w:t xml:space="preserve"> </w:t>
      </w:r>
      <w:r w:rsidRPr="00DA4CEC">
        <w:rPr>
          <w:b/>
          <w:bCs/>
          <w:noProof/>
        </w:rPr>
        <w:t>2011</w:t>
      </w:r>
      <w:r w:rsidRPr="00DA4CEC">
        <w:rPr>
          <w:noProof/>
        </w:rPr>
        <w:t xml:space="preserve">, </w:t>
      </w:r>
      <w:r w:rsidRPr="00DA4CEC">
        <w:rPr>
          <w:i/>
          <w:iCs/>
          <w:noProof/>
        </w:rPr>
        <w:t>306</w:t>
      </w:r>
      <w:r w:rsidRPr="00DA4CEC">
        <w:rPr>
          <w:noProof/>
        </w:rPr>
        <w:t xml:space="preserve"> (2), 246–252.</w:t>
      </w:r>
    </w:p>
    <w:p w14:paraId="6B0370B0" w14:textId="77777777" w:rsidR="00AB42BE" w:rsidRPr="00DA4CEC" w:rsidRDefault="00AB42BE" w:rsidP="0055733E">
      <w:pPr>
        <w:widowControl w:val="0"/>
        <w:autoSpaceDE w:val="0"/>
        <w:autoSpaceDN w:val="0"/>
        <w:adjustRightInd w:val="0"/>
        <w:spacing w:line="240" w:lineRule="auto"/>
        <w:ind w:left="640" w:hanging="640"/>
        <w:rPr>
          <w:noProof/>
        </w:rPr>
      </w:pPr>
    </w:p>
    <w:p w14:paraId="7E06F071" w14:textId="77777777" w:rsidR="00AB42BE" w:rsidRDefault="00642FEC" w:rsidP="0055733E">
      <w:pPr>
        <w:widowControl w:val="0"/>
        <w:autoSpaceDE w:val="0"/>
        <w:autoSpaceDN w:val="0"/>
        <w:adjustRightInd w:val="0"/>
        <w:spacing w:line="240" w:lineRule="auto"/>
        <w:ind w:left="640" w:hanging="640"/>
        <w:rPr>
          <w:noProof/>
        </w:rPr>
      </w:pPr>
      <w:r w:rsidRPr="00DA4CEC">
        <w:rPr>
          <w:noProof/>
        </w:rPr>
        <w:t xml:space="preserve">(40) </w:t>
      </w:r>
      <w:r w:rsidRPr="00DA4CEC">
        <w:rPr>
          <w:noProof/>
        </w:rPr>
        <w:tab/>
        <w:t>Savory, J. J.; Kaiser, N. K.; McKenna, A. M.; Xian, F.; Blakney, G. T.; Rodgers, R. P.; Hendrickson, C. L.; Marshall, A</w:t>
      </w:r>
      <w:r w:rsidR="009F246C">
        <w:rPr>
          <w:noProof/>
        </w:rPr>
        <w:t>. G. Parts-Per-Billion Fourier transform ion cyclotron resonance mass measurement accuracy with a “walking” calibration eq</w:t>
      </w:r>
      <w:r w:rsidRPr="00DA4CEC">
        <w:rPr>
          <w:noProof/>
        </w:rPr>
        <w:t xml:space="preserve">uation. </w:t>
      </w:r>
      <w:r w:rsidRPr="00DA4CEC">
        <w:rPr>
          <w:i/>
          <w:iCs/>
          <w:noProof/>
        </w:rPr>
        <w:t>Anal. Chem.</w:t>
      </w:r>
      <w:r w:rsidRPr="00DA4CEC">
        <w:rPr>
          <w:noProof/>
        </w:rPr>
        <w:t xml:space="preserve"> </w:t>
      </w:r>
      <w:r w:rsidRPr="00DA4CEC">
        <w:rPr>
          <w:b/>
          <w:bCs/>
          <w:noProof/>
        </w:rPr>
        <w:t>2011</w:t>
      </w:r>
      <w:r w:rsidRPr="00DA4CEC">
        <w:rPr>
          <w:noProof/>
        </w:rPr>
        <w:t xml:space="preserve">, </w:t>
      </w:r>
      <w:r w:rsidRPr="00DA4CEC">
        <w:rPr>
          <w:i/>
          <w:iCs/>
          <w:noProof/>
        </w:rPr>
        <w:t>83</w:t>
      </w:r>
      <w:r w:rsidRPr="00DA4CEC">
        <w:rPr>
          <w:noProof/>
        </w:rPr>
        <w:t xml:space="preserve"> (5), 1732–1736.</w:t>
      </w:r>
    </w:p>
    <w:p w14:paraId="6B431D74" w14:textId="77777777" w:rsidR="00DA4CEC" w:rsidRPr="00DA4CEC" w:rsidRDefault="00DA4CEC" w:rsidP="0055733E">
      <w:pPr>
        <w:widowControl w:val="0"/>
        <w:autoSpaceDE w:val="0"/>
        <w:autoSpaceDN w:val="0"/>
        <w:adjustRightInd w:val="0"/>
        <w:spacing w:line="240" w:lineRule="auto"/>
        <w:ind w:left="640" w:hanging="640"/>
        <w:rPr>
          <w:noProof/>
        </w:rPr>
      </w:pPr>
    </w:p>
    <w:p w14:paraId="08CDD578"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(41) </w:t>
      </w:r>
      <w:r w:rsidRPr="00DA4CEC">
        <w:rPr>
          <w:noProof/>
        </w:rPr>
        <w:tab/>
        <w:t xml:space="preserve">Escher, B. I.; Allinson, M.; Altenburger, R.; Bain, P. A.; Balaguer, P.; Busch, W.; Crago, J.; Denslow, N. D.; Dopp, E.; Hilscherova, K.; et al. Benchmarking organic micropollutants in wastewater, recycled water and drinking water with </w:t>
      </w:r>
      <w:r w:rsidRPr="00DA4CEC">
        <w:rPr>
          <w:i/>
          <w:iCs/>
          <w:noProof/>
        </w:rPr>
        <w:t>in vitro</w:t>
      </w:r>
      <w:r w:rsidRPr="00DA4CEC">
        <w:rPr>
          <w:noProof/>
        </w:rPr>
        <w:t xml:space="preserve"> bioassays. </w:t>
      </w:r>
      <w:r w:rsidRPr="00DA4CEC">
        <w:rPr>
          <w:i/>
          <w:iCs/>
          <w:noProof/>
        </w:rPr>
        <w:t>Environ. Sci. Technol.</w:t>
      </w:r>
      <w:r w:rsidRPr="00DA4CEC">
        <w:rPr>
          <w:noProof/>
        </w:rPr>
        <w:t xml:space="preserve"> </w:t>
      </w:r>
      <w:r w:rsidRPr="00DA4CEC">
        <w:rPr>
          <w:b/>
          <w:bCs/>
          <w:noProof/>
        </w:rPr>
        <w:t>2014</w:t>
      </w:r>
      <w:r w:rsidRPr="00DA4CEC">
        <w:rPr>
          <w:noProof/>
        </w:rPr>
        <w:t xml:space="preserve">, </w:t>
      </w:r>
      <w:r w:rsidRPr="00DA4CEC">
        <w:rPr>
          <w:i/>
          <w:iCs/>
          <w:noProof/>
        </w:rPr>
        <w:t>48</w:t>
      </w:r>
      <w:r w:rsidRPr="00DA4CEC">
        <w:rPr>
          <w:noProof/>
        </w:rPr>
        <w:t xml:space="preserve"> (3), 1940–1956.</w:t>
      </w:r>
    </w:p>
    <w:p w14:paraId="5B83067A" w14:textId="77777777" w:rsidR="00AB42BE" w:rsidRDefault="00AB42BE" w:rsidP="0055733E">
      <w:pPr>
        <w:widowControl w:val="0"/>
        <w:autoSpaceDE w:val="0"/>
        <w:autoSpaceDN w:val="0"/>
        <w:adjustRightInd w:val="0"/>
        <w:spacing w:line="240" w:lineRule="auto"/>
        <w:ind w:left="640" w:hanging="640"/>
        <w:rPr>
          <w:noProof/>
        </w:rPr>
      </w:pPr>
    </w:p>
    <w:p w14:paraId="4C9C64C4" w14:textId="77777777" w:rsidR="009F246C" w:rsidRPr="00DA4CEC" w:rsidRDefault="009F246C" w:rsidP="0055733E">
      <w:pPr>
        <w:widowControl w:val="0"/>
        <w:autoSpaceDE w:val="0"/>
        <w:autoSpaceDN w:val="0"/>
        <w:adjustRightInd w:val="0"/>
        <w:spacing w:line="240" w:lineRule="auto"/>
        <w:ind w:left="640" w:hanging="640"/>
        <w:rPr>
          <w:noProof/>
        </w:rPr>
      </w:pPr>
    </w:p>
    <w:p w14:paraId="26D28301"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lastRenderedPageBreak/>
        <w:t xml:space="preserve">(42) </w:t>
      </w:r>
      <w:r w:rsidRPr="00DA4CEC">
        <w:rPr>
          <w:noProof/>
        </w:rPr>
        <w:tab/>
        <w:t xml:space="preserve">Orcutt, B. N.; LaRowe, D. E.; Biddle, J. F.; Colwell, F. S.; Glazer, B. T.; Reese, B. K.; Kirkpatrick, J. B.; Lapham, L. L.; Mills, H. J.; Sylvan, J. B.; et al. Microbial activity in the marine deep biosphere: Progress and prospects. </w:t>
      </w:r>
      <w:r w:rsidRPr="00DA4CEC">
        <w:rPr>
          <w:i/>
          <w:iCs/>
          <w:noProof/>
        </w:rPr>
        <w:t>Front. Microbiol.</w:t>
      </w:r>
      <w:r w:rsidRPr="00DA4CEC">
        <w:rPr>
          <w:noProof/>
        </w:rPr>
        <w:t xml:space="preserve"> </w:t>
      </w:r>
      <w:r w:rsidRPr="00DA4CEC">
        <w:rPr>
          <w:b/>
          <w:bCs/>
          <w:noProof/>
        </w:rPr>
        <w:t>2013</w:t>
      </w:r>
      <w:r w:rsidRPr="00DA4CEC">
        <w:rPr>
          <w:noProof/>
        </w:rPr>
        <w:t xml:space="preserve">, </w:t>
      </w:r>
      <w:r w:rsidRPr="00DA4CEC">
        <w:rPr>
          <w:i/>
          <w:iCs/>
          <w:noProof/>
        </w:rPr>
        <w:t>4</w:t>
      </w:r>
      <w:r w:rsidRPr="00DA4CEC">
        <w:rPr>
          <w:noProof/>
        </w:rPr>
        <w:t xml:space="preserve"> (JUL), 1–15.</w:t>
      </w:r>
    </w:p>
    <w:p w14:paraId="74F881FF" w14:textId="77777777" w:rsidR="00AB42BE" w:rsidRPr="00DA4CEC" w:rsidRDefault="00AB42BE" w:rsidP="0055733E">
      <w:pPr>
        <w:widowControl w:val="0"/>
        <w:autoSpaceDE w:val="0"/>
        <w:autoSpaceDN w:val="0"/>
        <w:adjustRightInd w:val="0"/>
        <w:spacing w:line="240" w:lineRule="auto"/>
        <w:ind w:left="640" w:hanging="640"/>
        <w:rPr>
          <w:noProof/>
        </w:rPr>
      </w:pPr>
    </w:p>
    <w:p w14:paraId="7C9FFC29"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(43) </w:t>
      </w:r>
      <w:r w:rsidRPr="00DA4CEC">
        <w:rPr>
          <w:noProof/>
        </w:rPr>
        <w:tab/>
        <w:t xml:space="preserve">Hansen, A. M.; Kraus, T. E. C.; Pellerin, B. A.; Fleck, J. A.; Downing, B. D.; Bergamaschi, B. A. Optical properties of dissolved organic matter - Effects of biological and photolytic degradation.pdf. </w:t>
      </w:r>
      <w:r w:rsidRPr="00DA4CEC">
        <w:rPr>
          <w:i/>
          <w:iCs/>
          <w:noProof/>
        </w:rPr>
        <w:t>Limnol. Oceanogr.</w:t>
      </w:r>
      <w:r w:rsidRPr="00DA4CEC">
        <w:rPr>
          <w:noProof/>
        </w:rPr>
        <w:t xml:space="preserve"> </w:t>
      </w:r>
      <w:r w:rsidRPr="00DA4CEC">
        <w:rPr>
          <w:b/>
          <w:bCs/>
          <w:noProof/>
        </w:rPr>
        <w:t>2016</w:t>
      </w:r>
      <w:r w:rsidRPr="00DA4CEC">
        <w:rPr>
          <w:noProof/>
        </w:rPr>
        <w:t xml:space="preserve">, </w:t>
      </w:r>
      <w:r w:rsidRPr="00DA4CEC">
        <w:rPr>
          <w:i/>
          <w:iCs/>
          <w:noProof/>
        </w:rPr>
        <w:t>61</w:t>
      </w:r>
      <w:r w:rsidRPr="00DA4CEC">
        <w:rPr>
          <w:noProof/>
        </w:rPr>
        <w:t>, 1015–1032.</w:t>
      </w:r>
    </w:p>
    <w:p w14:paraId="209999B9" w14:textId="77777777" w:rsidR="00AB42BE" w:rsidRPr="00DA4CEC" w:rsidRDefault="00AB42BE" w:rsidP="0055733E">
      <w:pPr>
        <w:widowControl w:val="0"/>
        <w:autoSpaceDE w:val="0"/>
        <w:autoSpaceDN w:val="0"/>
        <w:adjustRightInd w:val="0"/>
        <w:spacing w:line="240" w:lineRule="auto"/>
        <w:ind w:left="640" w:hanging="640"/>
        <w:rPr>
          <w:noProof/>
        </w:rPr>
      </w:pPr>
    </w:p>
    <w:p w14:paraId="3FAB062E"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(44) </w:t>
      </w:r>
      <w:r w:rsidRPr="00DA4CEC">
        <w:rPr>
          <w:noProof/>
        </w:rPr>
        <w:tab/>
        <w:t xml:space="preserve">Wellsbury, P.; Goodman, K.; Barth, T.; Cragg, B. A.; Barnes, S. P.; Parkes, R. J. Deep marine biosphere fuelled by increasing organic matter availability during burial and heating. </w:t>
      </w:r>
      <w:r w:rsidRPr="00DA4CEC">
        <w:rPr>
          <w:i/>
          <w:iCs/>
          <w:noProof/>
        </w:rPr>
        <w:t>Nature</w:t>
      </w:r>
      <w:r w:rsidRPr="00DA4CEC">
        <w:rPr>
          <w:noProof/>
        </w:rPr>
        <w:t xml:space="preserve"> </w:t>
      </w:r>
      <w:r w:rsidRPr="00DA4CEC">
        <w:rPr>
          <w:b/>
          <w:bCs/>
          <w:noProof/>
        </w:rPr>
        <w:t>1997</w:t>
      </w:r>
      <w:r w:rsidRPr="00DA4CEC">
        <w:rPr>
          <w:noProof/>
        </w:rPr>
        <w:t xml:space="preserve">, </w:t>
      </w:r>
      <w:r w:rsidRPr="00DA4CEC">
        <w:rPr>
          <w:i/>
          <w:iCs/>
          <w:noProof/>
        </w:rPr>
        <w:t>388</w:t>
      </w:r>
      <w:r w:rsidRPr="00DA4CEC">
        <w:rPr>
          <w:noProof/>
        </w:rPr>
        <w:t xml:space="preserve"> (August), 573–576.</w:t>
      </w:r>
    </w:p>
    <w:p w14:paraId="1F18E07D" w14:textId="77777777" w:rsidR="00AB42BE" w:rsidRPr="00DA4CEC" w:rsidRDefault="00AB42BE" w:rsidP="0055733E">
      <w:pPr>
        <w:widowControl w:val="0"/>
        <w:autoSpaceDE w:val="0"/>
        <w:autoSpaceDN w:val="0"/>
        <w:adjustRightInd w:val="0"/>
        <w:spacing w:line="240" w:lineRule="auto"/>
        <w:ind w:left="640" w:hanging="640"/>
        <w:rPr>
          <w:noProof/>
        </w:rPr>
      </w:pPr>
    </w:p>
    <w:p w14:paraId="1868E3B8"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(45) </w:t>
      </w:r>
      <w:r w:rsidRPr="00DA4CEC">
        <w:rPr>
          <w:noProof/>
        </w:rPr>
        <w:tab/>
        <w:t xml:space="preserve">Helms, J. R.; Stubbins, A.; Ritchie, J. D.; Minor, E. C.; Kieber, D. J.; Mopper, K. Absorption spectral slopes and slope ratios as indicators of molecular weight, source, and photobleaching of chromophoric dissolved organic matter. </w:t>
      </w:r>
      <w:r w:rsidRPr="00DA4CEC">
        <w:rPr>
          <w:i/>
          <w:iCs/>
          <w:noProof/>
        </w:rPr>
        <w:t>Limnol. Oceanogr.</w:t>
      </w:r>
      <w:r w:rsidRPr="00DA4CEC">
        <w:rPr>
          <w:noProof/>
        </w:rPr>
        <w:t xml:space="preserve"> </w:t>
      </w:r>
      <w:r w:rsidRPr="00DA4CEC">
        <w:rPr>
          <w:b/>
          <w:bCs/>
          <w:noProof/>
        </w:rPr>
        <w:t>2008</w:t>
      </w:r>
      <w:r w:rsidRPr="00DA4CEC">
        <w:rPr>
          <w:noProof/>
        </w:rPr>
        <w:t xml:space="preserve">, </w:t>
      </w:r>
      <w:r w:rsidRPr="00DA4CEC">
        <w:rPr>
          <w:i/>
          <w:iCs/>
          <w:noProof/>
        </w:rPr>
        <w:t>53</w:t>
      </w:r>
      <w:r w:rsidRPr="00DA4CEC">
        <w:rPr>
          <w:noProof/>
        </w:rPr>
        <w:t xml:space="preserve"> (3), 955–969.</w:t>
      </w:r>
    </w:p>
    <w:p w14:paraId="0AF4C830" w14:textId="77777777" w:rsidR="00AB42BE" w:rsidRPr="00DA4CEC" w:rsidRDefault="00AB42BE" w:rsidP="0055733E">
      <w:pPr>
        <w:widowControl w:val="0"/>
        <w:autoSpaceDE w:val="0"/>
        <w:autoSpaceDN w:val="0"/>
        <w:adjustRightInd w:val="0"/>
        <w:spacing w:line="240" w:lineRule="auto"/>
        <w:ind w:left="640" w:hanging="640"/>
        <w:rPr>
          <w:noProof/>
        </w:rPr>
      </w:pPr>
    </w:p>
    <w:p w14:paraId="6BB091B5"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(46) </w:t>
      </w:r>
      <w:r w:rsidRPr="00DA4CEC">
        <w:rPr>
          <w:noProof/>
        </w:rPr>
        <w:tab/>
        <w:t xml:space="preserve">Blough, N. V; Green, S. A. Spectroscopic characterization and remote sensing of non-living organic matter. </w:t>
      </w:r>
      <w:r w:rsidRPr="00DA4CEC">
        <w:rPr>
          <w:i/>
          <w:iCs/>
          <w:noProof/>
        </w:rPr>
        <w:t>Role Non-living Org. Matter Earth’s Carbon Cycle (RG Zepp C. Sonntag, eds.), John Wiley Sons Ltd</w:t>
      </w:r>
      <w:r w:rsidRPr="00DA4CEC">
        <w:rPr>
          <w:noProof/>
        </w:rPr>
        <w:t xml:space="preserve"> </w:t>
      </w:r>
      <w:r w:rsidRPr="00DA4CEC">
        <w:rPr>
          <w:b/>
          <w:bCs/>
          <w:noProof/>
        </w:rPr>
        <w:t>1995</w:t>
      </w:r>
      <w:r w:rsidRPr="00DA4CEC">
        <w:rPr>
          <w:noProof/>
        </w:rPr>
        <w:t>, 23–45.</w:t>
      </w:r>
    </w:p>
    <w:p w14:paraId="6FD2B666" w14:textId="77777777" w:rsidR="00AB42BE" w:rsidRPr="00DA4CEC" w:rsidRDefault="00AB42BE" w:rsidP="0055733E">
      <w:pPr>
        <w:widowControl w:val="0"/>
        <w:autoSpaceDE w:val="0"/>
        <w:autoSpaceDN w:val="0"/>
        <w:adjustRightInd w:val="0"/>
        <w:spacing w:line="240" w:lineRule="auto"/>
        <w:ind w:left="640" w:hanging="640"/>
        <w:rPr>
          <w:noProof/>
        </w:rPr>
      </w:pPr>
    </w:p>
    <w:p w14:paraId="01AC6BC2"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(47) </w:t>
      </w:r>
      <w:r w:rsidRPr="00DA4CEC">
        <w:rPr>
          <w:noProof/>
        </w:rPr>
        <w:tab/>
        <w:t xml:space="preserve">Spencer, R. G. M.; Hernes, P. J.; Ruf, R.; Baker, A.; Dyda, R. Y.; Stubbins, A.; Six, J. Temporal controls on dissolved organic matter and lignin biogeochemistry in a pristine tropical river, Democratic Republic of Congo. </w:t>
      </w:r>
      <w:r w:rsidRPr="00DA4CEC">
        <w:rPr>
          <w:i/>
          <w:iCs/>
          <w:noProof/>
        </w:rPr>
        <w:t>J. Geophys. Res.</w:t>
      </w:r>
      <w:r w:rsidRPr="00DA4CEC">
        <w:rPr>
          <w:noProof/>
        </w:rPr>
        <w:t xml:space="preserve"> </w:t>
      </w:r>
      <w:r w:rsidRPr="00DA4CEC">
        <w:rPr>
          <w:b/>
          <w:bCs/>
          <w:noProof/>
        </w:rPr>
        <w:t>2010</w:t>
      </w:r>
      <w:r w:rsidRPr="00DA4CEC">
        <w:rPr>
          <w:noProof/>
        </w:rPr>
        <w:t xml:space="preserve">, </w:t>
      </w:r>
      <w:r w:rsidRPr="00DA4CEC">
        <w:rPr>
          <w:i/>
          <w:iCs/>
          <w:noProof/>
        </w:rPr>
        <w:t>115</w:t>
      </w:r>
      <w:r w:rsidRPr="00DA4CEC">
        <w:rPr>
          <w:noProof/>
        </w:rPr>
        <w:t xml:space="preserve"> (G3), G03013.</w:t>
      </w:r>
    </w:p>
    <w:p w14:paraId="4EAE98F7" w14:textId="77777777" w:rsidR="00AB42BE" w:rsidRPr="00DA4CEC" w:rsidRDefault="00AB42BE" w:rsidP="0055733E">
      <w:pPr>
        <w:widowControl w:val="0"/>
        <w:autoSpaceDE w:val="0"/>
        <w:autoSpaceDN w:val="0"/>
        <w:adjustRightInd w:val="0"/>
        <w:spacing w:line="240" w:lineRule="auto"/>
        <w:ind w:left="640" w:hanging="640"/>
        <w:rPr>
          <w:noProof/>
        </w:rPr>
      </w:pPr>
    </w:p>
    <w:p w14:paraId="1B2F0B02"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(48) </w:t>
      </w:r>
      <w:r w:rsidRPr="00DA4CEC">
        <w:rPr>
          <w:noProof/>
        </w:rPr>
        <w:tab/>
        <w:t xml:space="preserve">Osburn, C. L.; Wigdahl, C. R.; Fritz, S. C.; Saros, J. E. Dissolved organic matter composition and photoreactivity in prairie lakes of the U.S. Great Plains. </w:t>
      </w:r>
      <w:r w:rsidRPr="00DA4CEC">
        <w:rPr>
          <w:i/>
          <w:iCs/>
          <w:noProof/>
        </w:rPr>
        <w:t>Limnol. Oceanogr.</w:t>
      </w:r>
      <w:r w:rsidRPr="00DA4CEC">
        <w:rPr>
          <w:noProof/>
        </w:rPr>
        <w:t xml:space="preserve"> </w:t>
      </w:r>
      <w:r w:rsidRPr="00DA4CEC">
        <w:rPr>
          <w:b/>
          <w:bCs/>
          <w:noProof/>
        </w:rPr>
        <w:t>2011</w:t>
      </w:r>
      <w:r w:rsidRPr="00DA4CEC">
        <w:rPr>
          <w:noProof/>
        </w:rPr>
        <w:t xml:space="preserve">, </w:t>
      </w:r>
      <w:r w:rsidRPr="00DA4CEC">
        <w:rPr>
          <w:i/>
          <w:iCs/>
          <w:noProof/>
        </w:rPr>
        <w:t>56</w:t>
      </w:r>
      <w:r w:rsidRPr="00DA4CEC">
        <w:rPr>
          <w:noProof/>
        </w:rPr>
        <w:t xml:space="preserve"> (6), 2371–2390.</w:t>
      </w:r>
    </w:p>
    <w:p w14:paraId="76C61CF2" w14:textId="77777777" w:rsidR="00AB42BE" w:rsidRPr="00DA4CEC" w:rsidRDefault="00AB42BE" w:rsidP="0055733E">
      <w:pPr>
        <w:widowControl w:val="0"/>
        <w:autoSpaceDE w:val="0"/>
        <w:autoSpaceDN w:val="0"/>
        <w:adjustRightInd w:val="0"/>
        <w:spacing w:line="240" w:lineRule="auto"/>
        <w:ind w:left="640" w:hanging="640"/>
        <w:rPr>
          <w:noProof/>
        </w:rPr>
      </w:pPr>
    </w:p>
    <w:p w14:paraId="29516C39"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(49) </w:t>
      </w:r>
      <w:r w:rsidRPr="00DA4CEC">
        <w:rPr>
          <w:noProof/>
        </w:rPr>
        <w:tab/>
        <w:t xml:space="preserve">Parlanti, E.; Wörz, K.; Geoffroy, L.; Lamotte, M. Dissolved organic matter fluorescence spectroscopy as a tool to estimate biological activity in a coastal zone submitted to anthropogenic inputs. </w:t>
      </w:r>
      <w:r w:rsidRPr="00DA4CEC">
        <w:rPr>
          <w:i/>
          <w:iCs/>
          <w:noProof/>
        </w:rPr>
        <w:t>Org. Geochem.</w:t>
      </w:r>
      <w:r w:rsidRPr="00DA4CEC">
        <w:rPr>
          <w:noProof/>
        </w:rPr>
        <w:t xml:space="preserve"> </w:t>
      </w:r>
      <w:r w:rsidRPr="00DA4CEC">
        <w:rPr>
          <w:b/>
          <w:bCs/>
          <w:noProof/>
        </w:rPr>
        <w:t>2000</w:t>
      </w:r>
      <w:r w:rsidRPr="00DA4CEC">
        <w:rPr>
          <w:noProof/>
        </w:rPr>
        <w:t xml:space="preserve">, </w:t>
      </w:r>
      <w:r w:rsidRPr="00DA4CEC">
        <w:rPr>
          <w:i/>
          <w:iCs/>
          <w:noProof/>
        </w:rPr>
        <w:t>31</w:t>
      </w:r>
      <w:r w:rsidRPr="00DA4CEC">
        <w:rPr>
          <w:noProof/>
        </w:rPr>
        <w:t xml:space="preserve"> (12), 1765–1781.</w:t>
      </w:r>
    </w:p>
    <w:p w14:paraId="33B1875F" w14:textId="77777777" w:rsidR="00AB42BE" w:rsidRPr="00DA4CEC" w:rsidRDefault="00AB42BE" w:rsidP="0055733E">
      <w:pPr>
        <w:widowControl w:val="0"/>
        <w:autoSpaceDE w:val="0"/>
        <w:autoSpaceDN w:val="0"/>
        <w:adjustRightInd w:val="0"/>
        <w:spacing w:line="240" w:lineRule="auto"/>
        <w:ind w:left="640" w:hanging="640"/>
        <w:rPr>
          <w:noProof/>
        </w:rPr>
      </w:pPr>
    </w:p>
    <w:p w14:paraId="3CA317FC" w14:textId="77777777" w:rsidR="00AB42BE" w:rsidRDefault="00642FEC" w:rsidP="0055733E">
      <w:pPr>
        <w:widowControl w:val="0"/>
        <w:autoSpaceDE w:val="0"/>
        <w:autoSpaceDN w:val="0"/>
        <w:adjustRightInd w:val="0"/>
        <w:spacing w:line="240" w:lineRule="auto"/>
        <w:ind w:left="640" w:hanging="640"/>
        <w:rPr>
          <w:noProof/>
        </w:rPr>
      </w:pPr>
      <w:r w:rsidRPr="00DA4CEC">
        <w:rPr>
          <w:noProof/>
        </w:rPr>
        <w:t xml:space="preserve">(50) </w:t>
      </w:r>
      <w:r w:rsidRPr="00DA4CEC">
        <w:rPr>
          <w:noProof/>
        </w:rPr>
        <w:tab/>
      </w:r>
      <w:r w:rsidR="009F246C">
        <w:rPr>
          <w:noProof/>
        </w:rPr>
        <w:t>Kostka, J.E</w:t>
      </w:r>
      <w:r w:rsidRPr="00DA4CEC">
        <w:rPr>
          <w:noProof/>
        </w:rPr>
        <w:t xml:space="preserve">.; Prakash, O.; WA, O.; SJ, G.; Freyer, G.; Canion, A. Hydrocarbon-degrading bacteria and the bacterial community response in Gulf of Mexico beach sands impacted by the </w:t>
      </w:r>
      <w:r w:rsidRPr="009F246C">
        <w:rPr>
          <w:i/>
          <w:noProof/>
        </w:rPr>
        <w:t>Deepwater Horizon</w:t>
      </w:r>
      <w:r w:rsidRPr="00DA4CEC">
        <w:rPr>
          <w:noProof/>
        </w:rPr>
        <w:t xml:space="preserve"> oil spill. </w:t>
      </w:r>
      <w:r w:rsidRPr="00DA4CEC">
        <w:rPr>
          <w:i/>
          <w:iCs/>
          <w:noProof/>
        </w:rPr>
        <w:t>Appl Env. Microbiol</w:t>
      </w:r>
      <w:r w:rsidRPr="00DA4CEC">
        <w:rPr>
          <w:noProof/>
        </w:rPr>
        <w:t xml:space="preserve"> </w:t>
      </w:r>
      <w:r w:rsidRPr="00DA4CEC">
        <w:rPr>
          <w:b/>
          <w:bCs/>
          <w:noProof/>
        </w:rPr>
        <w:t>2011</w:t>
      </w:r>
      <w:r w:rsidRPr="00DA4CEC">
        <w:rPr>
          <w:noProof/>
        </w:rPr>
        <w:t xml:space="preserve">, </w:t>
      </w:r>
      <w:r w:rsidRPr="00DA4CEC">
        <w:rPr>
          <w:i/>
          <w:iCs/>
          <w:noProof/>
        </w:rPr>
        <w:t>77</w:t>
      </w:r>
      <w:r w:rsidR="00DA4CEC">
        <w:rPr>
          <w:noProof/>
        </w:rPr>
        <w:t>, 7962–7974</w:t>
      </w:r>
    </w:p>
    <w:p w14:paraId="57DBFB88" w14:textId="77777777" w:rsidR="009F246C" w:rsidRPr="00DA4CEC" w:rsidRDefault="009F246C" w:rsidP="0055733E">
      <w:pPr>
        <w:widowControl w:val="0"/>
        <w:autoSpaceDE w:val="0"/>
        <w:autoSpaceDN w:val="0"/>
        <w:adjustRightInd w:val="0"/>
        <w:spacing w:line="240" w:lineRule="auto"/>
        <w:ind w:left="640" w:hanging="640"/>
        <w:rPr>
          <w:noProof/>
        </w:rPr>
      </w:pPr>
    </w:p>
    <w:p w14:paraId="2D4D7A35"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(51) </w:t>
      </w:r>
      <w:r w:rsidRPr="00DA4CEC">
        <w:rPr>
          <w:noProof/>
        </w:rPr>
        <w:tab/>
        <w:t xml:space="preserve">Wang, P.; TM, R. Distribution of surficial and buried oil contaminants across sandy beaches along NW Florida and Alabama coasts following the </w:t>
      </w:r>
      <w:r w:rsidRPr="009F246C">
        <w:rPr>
          <w:i/>
          <w:noProof/>
        </w:rPr>
        <w:t>Deepwater Horizon</w:t>
      </w:r>
      <w:r w:rsidRPr="00DA4CEC">
        <w:rPr>
          <w:noProof/>
        </w:rPr>
        <w:t xml:space="preserve"> oil spill in 2010. </w:t>
      </w:r>
      <w:r w:rsidRPr="00DA4CEC">
        <w:rPr>
          <w:i/>
          <w:iCs/>
          <w:noProof/>
        </w:rPr>
        <w:t>J Coast Res</w:t>
      </w:r>
      <w:r w:rsidRPr="00DA4CEC">
        <w:rPr>
          <w:noProof/>
        </w:rPr>
        <w:t xml:space="preserve"> </w:t>
      </w:r>
      <w:r w:rsidRPr="00DA4CEC">
        <w:rPr>
          <w:b/>
          <w:bCs/>
          <w:noProof/>
        </w:rPr>
        <w:t>2013</w:t>
      </w:r>
      <w:r w:rsidRPr="00DA4CEC">
        <w:rPr>
          <w:noProof/>
        </w:rPr>
        <w:t xml:space="preserve">, </w:t>
      </w:r>
      <w:r w:rsidRPr="00DA4CEC">
        <w:rPr>
          <w:i/>
          <w:iCs/>
          <w:noProof/>
        </w:rPr>
        <w:t>291</w:t>
      </w:r>
      <w:r w:rsidRPr="00DA4CEC">
        <w:rPr>
          <w:noProof/>
        </w:rPr>
        <w:t>, 144–155.</w:t>
      </w:r>
    </w:p>
    <w:p w14:paraId="10560904" w14:textId="77777777" w:rsidR="00AB42BE" w:rsidRPr="00DA4CEC" w:rsidRDefault="00AB42BE" w:rsidP="0055733E">
      <w:pPr>
        <w:widowControl w:val="0"/>
        <w:autoSpaceDE w:val="0"/>
        <w:autoSpaceDN w:val="0"/>
        <w:adjustRightInd w:val="0"/>
        <w:spacing w:line="240" w:lineRule="auto"/>
        <w:ind w:left="640" w:hanging="640"/>
        <w:rPr>
          <w:noProof/>
        </w:rPr>
      </w:pPr>
    </w:p>
    <w:p w14:paraId="4FA4960D"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lastRenderedPageBreak/>
        <w:t xml:space="preserve">(52) </w:t>
      </w:r>
      <w:r w:rsidRPr="00DA4CEC">
        <w:rPr>
          <w:noProof/>
        </w:rPr>
        <w:tab/>
        <w:t>Atlas, R. M.; Stoeckel, D. M.; Faith, S. A.; Minard-Smith, A.; Tho</w:t>
      </w:r>
      <w:r w:rsidR="009F246C">
        <w:rPr>
          <w:noProof/>
        </w:rPr>
        <w:t>rn, J. R.; Benotti, M. J. Oil biodegradation and oil-d</w:t>
      </w:r>
      <w:r w:rsidR="00646945">
        <w:rPr>
          <w:noProof/>
        </w:rPr>
        <w:t>egrading microbial populations in marsh sediments impacted by o</w:t>
      </w:r>
      <w:r w:rsidRPr="00DA4CEC">
        <w:rPr>
          <w:noProof/>
        </w:rPr>
        <w:t>il from the</w:t>
      </w:r>
      <w:r w:rsidRPr="00646945">
        <w:rPr>
          <w:i/>
          <w:noProof/>
        </w:rPr>
        <w:t xml:space="preserve"> Deepwater Horizon</w:t>
      </w:r>
      <w:r w:rsidR="00646945">
        <w:rPr>
          <w:noProof/>
        </w:rPr>
        <w:t xml:space="preserve"> well b</w:t>
      </w:r>
      <w:r w:rsidRPr="00DA4CEC">
        <w:rPr>
          <w:noProof/>
        </w:rPr>
        <w:t xml:space="preserve">lowout. </w:t>
      </w:r>
      <w:r w:rsidRPr="00DA4CEC">
        <w:rPr>
          <w:i/>
          <w:iCs/>
          <w:noProof/>
        </w:rPr>
        <w:t>Environ. Sci. Technol.</w:t>
      </w:r>
      <w:r w:rsidRPr="00DA4CEC">
        <w:rPr>
          <w:noProof/>
        </w:rPr>
        <w:t xml:space="preserve"> </w:t>
      </w:r>
      <w:r w:rsidRPr="00DA4CEC">
        <w:rPr>
          <w:b/>
          <w:bCs/>
          <w:noProof/>
        </w:rPr>
        <w:t>2015</w:t>
      </w:r>
      <w:r w:rsidRPr="00DA4CEC">
        <w:rPr>
          <w:noProof/>
        </w:rPr>
        <w:t xml:space="preserve">, </w:t>
      </w:r>
      <w:r w:rsidRPr="00DA4CEC">
        <w:rPr>
          <w:i/>
          <w:iCs/>
          <w:noProof/>
        </w:rPr>
        <w:t>49</w:t>
      </w:r>
      <w:r w:rsidRPr="00DA4CEC">
        <w:rPr>
          <w:noProof/>
        </w:rPr>
        <w:t>, 8356–8366.</w:t>
      </w:r>
    </w:p>
    <w:p w14:paraId="781D4204" w14:textId="77777777" w:rsidR="00AB42BE" w:rsidRPr="00DA4CEC" w:rsidRDefault="00AB42BE" w:rsidP="0055733E">
      <w:pPr>
        <w:widowControl w:val="0"/>
        <w:autoSpaceDE w:val="0"/>
        <w:autoSpaceDN w:val="0"/>
        <w:adjustRightInd w:val="0"/>
        <w:spacing w:line="240" w:lineRule="auto"/>
        <w:ind w:left="640" w:hanging="640"/>
        <w:rPr>
          <w:noProof/>
        </w:rPr>
      </w:pPr>
    </w:p>
    <w:p w14:paraId="157A96BB"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(53) </w:t>
      </w:r>
      <w:r w:rsidRPr="00DA4CEC">
        <w:rPr>
          <w:noProof/>
        </w:rPr>
        <w:tab/>
        <w:t xml:space="preserve">Bianchi, T. S.; Osburn, C.; Shields, M. R.; Yvon-Lewis, S.; Young, J.; Guo, L.; Zhou, Z. </w:t>
      </w:r>
      <w:r w:rsidRPr="00646945">
        <w:rPr>
          <w:i/>
          <w:noProof/>
        </w:rPr>
        <w:t>Deepwater Horizon</w:t>
      </w:r>
      <w:r w:rsidR="00646945">
        <w:rPr>
          <w:noProof/>
        </w:rPr>
        <w:t xml:space="preserve"> oil in Gulf of Mexico w</w:t>
      </w:r>
      <w:r w:rsidRPr="00DA4CEC">
        <w:rPr>
          <w:noProof/>
        </w:rPr>
        <w:t xml:space="preserve">aters after 2 </w:t>
      </w:r>
      <w:r w:rsidR="00646945">
        <w:rPr>
          <w:noProof/>
        </w:rPr>
        <w:t>Years: Transformation into the dissolved organic matter p</w:t>
      </w:r>
      <w:r w:rsidRPr="00DA4CEC">
        <w:rPr>
          <w:noProof/>
        </w:rPr>
        <w:t xml:space="preserve">ool. </w:t>
      </w:r>
      <w:r w:rsidRPr="00DA4CEC">
        <w:rPr>
          <w:i/>
          <w:iCs/>
          <w:noProof/>
        </w:rPr>
        <w:t>Environ. Sci. Technol.</w:t>
      </w:r>
      <w:r w:rsidRPr="00DA4CEC">
        <w:rPr>
          <w:noProof/>
        </w:rPr>
        <w:t xml:space="preserve"> </w:t>
      </w:r>
      <w:r w:rsidRPr="00DA4CEC">
        <w:rPr>
          <w:b/>
          <w:bCs/>
          <w:noProof/>
        </w:rPr>
        <w:t>2014</w:t>
      </w:r>
      <w:r w:rsidRPr="00DA4CEC">
        <w:rPr>
          <w:noProof/>
        </w:rPr>
        <w:t xml:space="preserve">, </w:t>
      </w:r>
      <w:r w:rsidRPr="00DA4CEC">
        <w:rPr>
          <w:i/>
          <w:iCs/>
          <w:noProof/>
        </w:rPr>
        <w:t>48</w:t>
      </w:r>
      <w:r w:rsidRPr="00DA4CEC">
        <w:rPr>
          <w:noProof/>
        </w:rPr>
        <w:t xml:space="preserve"> (16), 9288–9297.</w:t>
      </w:r>
    </w:p>
    <w:p w14:paraId="1AF54067" w14:textId="77777777" w:rsidR="00AB42BE" w:rsidRPr="00DA4CEC" w:rsidRDefault="00AB42BE" w:rsidP="0055733E">
      <w:pPr>
        <w:widowControl w:val="0"/>
        <w:autoSpaceDE w:val="0"/>
        <w:autoSpaceDN w:val="0"/>
        <w:adjustRightInd w:val="0"/>
        <w:spacing w:line="240" w:lineRule="auto"/>
        <w:ind w:left="640" w:hanging="640"/>
        <w:rPr>
          <w:noProof/>
        </w:rPr>
      </w:pPr>
    </w:p>
    <w:p w14:paraId="4DB4794C"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(54) </w:t>
      </w:r>
      <w:r w:rsidRPr="00DA4CEC">
        <w:rPr>
          <w:noProof/>
        </w:rPr>
        <w:tab/>
        <w:t>Gros, J.; Reddy, C. M.; Aeppli, C.; Nelson, R. K.; Carmichael</w:t>
      </w:r>
      <w:r w:rsidR="00646945">
        <w:rPr>
          <w:noProof/>
        </w:rPr>
        <w:t>, C. A.; Arey, J. S. Resolving biodegradation patterns of persistent saturated hydrocarbons in weathered oil s</w:t>
      </w:r>
      <w:r w:rsidRPr="00DA4CEC">
        <w:rPr>
          <w:noProof/>
        </w:rPr>
        <w:t xml:space="preserve">amples from the </w:t>
      </w:r>
      <w:r w:rsidRPr="00646945">
        <w:rPr>
          <w:i/>
          <w:noProof/>
        </w:rPr>
        <w:t>Deepwater Horizon</w:t>
      </w:r>
      <w:r w:rsidR="00646945">
        <w:rPr>
          <w:noProof/>
        </w:rPr>
        <w:t xml:space="preserve"> d</w:t>
      </w:r>
      <w:r w:rsidRPr="00DA4CEC">
        <w:rPr>
          <w:noProof/>
        </w:rPr>
        <w:t xml:space="preserve">isaster. </w:t>
      </w:r>
      <w:r w:rsidRPr="00DA4CEC">
        <w:rPr>
          <w:i/>
          <w:iCs/>
          <w:noProof/>
        </w:rPr>
        <w:t>Environ. Sci. Technol.</w:t>
      </w:r>
      <w:r w:rsidRPr="00DA4CEC">
        <w:rPr>
          <w:noProof/>
        </w:rPr>
        <w:t xml:space="preserve"> </w:t>
      </w:r>
      <w:r w:rsidRPr="00DA4CEC">
        <w:rPr>
          <w:b/>
          <w:bCs/>
          <w:noProof/>
        </w:rPr>
        <w:t>2014</w:t>
      </w:r>
      <w:r w:rsidRPr="00DA4CEC">
        <w:rPr>
          <w:noProof/>
        </w:rPr>
        <w:t xml:space="preserve">, </w:t>
      </w:r>
      <w:r w:rsidRPr="00DA4CEC">
        <w:rPr>
          <w:i/>
          <w:iCs/>
          <w:noProof/>
        </w:rPr>
        <w:t>48</w:t>
      </w:r>
      <w:r w:rsidRPr="00DA4CEC">
        <w:rPr>
          <w:noProof/>
        </w:rPr>
        <w:t>, 1628–1637.</w:t>
      </w:r>
    </w:p>
    <w:p w14:paraId="1F9E3632" w14:textId="77777777" w:rsidR="00AB42BE" w:rsidRPr="00DA4CEC" w:rsidRDefault="00AB42BE" w:rsidP="0055733E">
      <w:pPr>
        <w:widowControl w:val="0"/>
        <w:autoSpaceDE w:val="0"/>
        <w:autoSpaceDN w:val="0"/>
        <w:adjustRightInd w:val="0"/>
        <w:spacing w:line="240" w:lineRule="auto"/>
        <w:ind w:left="640" w:hanging="640"/>
        <w:rPr>
          <w:noProof/>
        </w:rPr>
      </w:pPr>
    </w:p>
    <w:p w14:paraId="1391F0FC"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(55) </w:t>
      </w:r>
      <w:r w:rsidRPr="00DA4CEC">
        <w:rPr>
          <w:noProof/>
        </w:rPr>
        <w:tab/>
        <w:t xml:space="preserve">Aeppli, C.; Carmichael, C. A.; Nelson, R. K.; Lemkau, K. L.; Graham, W. M.; Redmond, M. C.; Valentine, D. L.; Reddy, C. M. Oil weathering after the </w:t>
      </w:r>
      <w:r w:rsidRPr="00646945">
        <w:rPr>
          <w:i/>
          <w:noProof/>
        </w:rPr>
        <w:t>Deepwater Horizon</w:t>
      </w:r>
      <w:r w:rsidRPr="00DA4CEC">
        <w:rPr>
          <w:noProof/>
        </w:rPr>
        <w:t xml:space="preserve"> disaster led to the formation of oxygenated residues. </w:t>
      </w:r>
      <w:r w:rsidRPr="00DA4CEC">
        <w:rPr>
          <w:i/>
          <w:iCs/>
          <w:noProof/>
        </w:rPr>
        <w:t>Environ. Sci. Technol.</w:t>
      </w:r>
      <w:r w:rsidRPr="00DA4CEC">
        <w:rPr>
          <w:noProof/>
        </w:rPr>
        <w:t xml:space="preserve"> </w:t>
      </w:r>
      <w:r w:rsidRPr="00DA4CEC">
        <w:rPr>
          <w:b/>
          <w:bCs/>
          <w:noProof/>
        </w:rPr>
        <w:t>2012</w:t>
      </w:r>
      <w:r w:rsidRPr="00DA4CEC">
        <w:rPr>
          <w:noProof/>
        </w:rPr>
        <w:t xml:space="preserve">, </w:t>
      </w:r>
      <w:r w:rsidRPr="00DA4CEC">
        <w:rPr>
          <w:i/>
          <w:iCs/>
          <w:noProof/>
        </w:rPr>
        <w:t>46</w:t>
      </w:r>
      <w:r w:rsidRPr="00DA4CEC">
        <w:rPr>
          <w:noProof/>
        </w:rPr>
        <w:t xml:space="preserve"> (16), 8799–8807.</w:t>
      </w:r>
    </w:p>
    <w:p w14:paraId="60D6BEB3" w14:textId="77777777" w:rsidR="00AB42BE" w:rsidRPr="00DA4CEC" w:rsidRDefault="00AB42BE" w:rsidP="0055733E">
      <w:pPr>
        <w:widowControl w:val="0"/>
        <w:autoSpaceDE w:val="0"/>
        <w:autoSpaceDN w:val="0"/>
        <w:adjustRightInd w:val="0"/>
        <w:spacing w:line="240" w:lineRule="auto"/>
        <w:ind w:left="640" w:hanging="640"/>
        <w:rPr>
          <w:noProof/>
        </w:rPr>
      </w:pPr>
    </w:p>
    <w:p w14:paraId="295EB9FC"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(56) </w:t>
      </w:r>
      <w:r w:rsidRPr="00DA4CEC">
        <w:rPr>
          <w:noProof/>
        </w:rPr>
        <w:tab/>
        <w:t>Chanton, J.; Zhao, T.; Rosenheim, B. E.; Joye, S.; Bosman, S.; Brunner, C.; Yeager, K. M.; Dierc</w:t>
      </w:r>
      <w:r w:rsidR="00646945">
        <w:rPr>
          <w:noProof/>
        </w:rPr>
        <w:t>ks, A. R.; Hollander, D. Using natural abundance radiocarbon to trace the flux of petrocarbon to the seafloor f</w:t>
      </w:r>
      <w:r w:rsidRPr="00DA4CEC">
        <w:rPr>
          <w:noProof/>
        </w:rPr>
        <w:t xml:space="preserve">ollowing the </w:t>
      </w:r>
      <w:r w:rsidRPr="00646945">
        <w:rPr>
          <w:i/>
          <w:noProof/>
        </w:rPr>
        <w:t>Deepwater Horizon</w:t>
      </w:r>
      <w:r w:rsidR="00646945">
        <w:rPr>
          <w:noProof/>
        </w:rPr>
        <w:t xml:space="preserve"> oil s</w:t>
      </w:r>
      <w:r w:rsidRPr="00DA4CEC">
        <w:rPr>
          <w:noProof/>
        </w:rPr>
        <w:t xml:space="preserve">pill. </w:t>
      </w:r>
      <w:r w:rsidRPr="00DA4CEC">
        <w:rPr>
          <w:i/>
          <w:iCs/>
          <w:noProof/>
        </w:rPr>
        <w:t>Environ. Sci. Technol.</w:t>
      </w:r>
      <w:r w:rsidRPr="00DA4CEC">
        <w:rPr>
          <w:noProof/>
        </w:rPr>
        <w:t xml:space="preserve"> </w:t>
      </w:r>
      <w:r w:rsidRPr="00DA4CEC">
        <w:rPr>
          <w:b/>
          <w:bCs/>
          <w:noProof/>
        </w:rPr>
        <w:t>2015</w:t>
      </w:r>
      <w:r w:rsidRPr="00DA4CEC">
        <w:rPr>
          <w:noProof/>
        </w:rPr>
        <w:t xml:space="preserve">, </w:t>
      </w:r>
      <w:r w:rsidRPr="00DA4CEC">
        <w:rPr>
          <w:i/>
          <w:iCs/>
          <w:noProof/>
        </w:rPr>
        <w:t>49</w:t>
      </w:r>
      <w:r w:rsidRPr="00DA4CEC">
        <w:rPr>
          <w:noProof/>
        </w:rPr>
        <w:t xml:space="preserve"> (2), 847–854.</w:t>
      </w:r>
    </w:p>
    <w:p w14:paraId="3211D409" w14:textId="77777777" w:rsidR="00AB42BE" w:rsidRPr="00DA4CEC" w:rsidRDefault="00AB42BE" w:rsidP="0055733E">
      <w:pPr>
        <w:widowControl w:val="0"/>
        <w:autoSpaceDE w:val="0"/>
        <w:autoSpaceDN w:val="0"/>
        <w:adjustRightInd w:val="0"/>
        <w:spacing w:line="240" w:lineRule="auto"/>
        <w:ind w:left="640" w:hanging="640"/>
        <w:rPr>
          <w:noProof/>
        </w:rPr>
      </w:pPr>
    </w:p>
    <w:p w14:paraId="71002ECA" w14:textId="77777777" w:rsidR="00642FEC" w:rsidRPr="00DA4CEC" w:rsidRDefault="00642FEC" w:rsidP="0055733E">
      <w:pPr>
        <w:widowControl w:val="0"/>
        <w:autoSpaceDE w:val="0"/>
        <w:autoSpaceDN w:val="0"/>
        <w:adjustRightInd w:val="0"/>
        <w:spacing w:line="240" w:lineRule="auto"/>
        <w:ind w:left="640" w:hanging="640"/>
        <w:rPr>
          <w:noProof/>
        </w:rPr>
      </w:pPr>
      <w:r w:rsidRPr="00DA4CEC">
        <w:rPr>
          <w:noProof/>
        </w:rPr>
        <w:t xml:space="preserve">(57) </w:t>
      </w:r>
      <w:r w:rsidRPr="00DA4CEC">
        <w:rPr>
          <w:noProof/>
        </w:rPr>
        <w:tab/>
        <w:t xml:space="preserve">Rowe, G. T.; Morse, J.; Nunnally, C.; Boland, G. S. Sediment community oxygen consumption in the deep Gulf of Mexico. </w:t>
      </w:r>
      <w:r w:rsidRPr="00DA4CEC">
        <w:rPr>
          <w:i/>
          <w:iCs/>
          <w:noProof/>
        </w:rPr>
        <w:t>Deep. Res. Part II Top. Stud. Oceanogr.</w:t>
      </w:r>
      <w:r w:rsidRPr="00DA4CEC">
        <w:rPr>
          <w:noProof/>
        </w:rPr>
        <w:t xml:space="preserve"> </w:t>
      </w:r>
      <w:r w:rsidRPr="00DA4CEC">
        <w:rPr>
          <w:b/>
          <w:bCs/>
          <w:noProof/>
        </w:rPr>
        <w:t>2008</w:t>
      </w:r>
      <w:r w:rsidRPr="00DA4CEC">
        <w:rPr>
          <w:noProof/>
        </w:rPr>
        <w:t xml:space="preserve">, </w:t>
      </w:r>
      <w:r w:rsidRPr="00DA4CEC">
        <w:rPr>
          <w:i/>
          <w:iCs/>
          <w:noProof/>
        </w:rPr>
        <w:t>55</w:t>
      </w:r>
      <w:r w:rsidRPr="00DA4CEC">
        <w:rPr>
          <w:noProof/>
        </w:rPr>
        <w:t xml:space="preserve"> (24–26), 2686–2691.</w:t>
      </w:r>
    </w:p>
    <w:p w14:paraId="2F0FED33" w14:textId="77777777" w:rsidR="00A94EF3" w:rsidRPr="00DA4CEC" w:rsidRDefault="00FB6691" w:rsidP="00642FEC">
      <w:pPr>
        <w:widowControl w:val="0"/>
        <w:autoSpaceDE w:val="0"/>
        <w:autoSpaceDN w:val="0"/>
        <w:adjustRightInd w:val="0"/>
        <w:ind w:left="640" w:hanging="640"/>
      </w:pPr>
      <w:r w:rsidRPr="00DA4CEC">
        <w:rPr>
          <w:noProof/>
        </w:rPr>
        <w:fldChar w:fldCharType="end"/>
      </w:r>
    </w:p>
    <w:p w14:paraId="110B9413" w14:textId="77777777" w:rsidR="00A94EF3" w:rsidRPr="00DA4CEC" w:rsidRDefault="00A94EF3" w:rsidP="00863D6C">
      <w:pPr>
        <w:pStyle w:val="Heading1"/>
      </w:pPr>
    </w:p>
    <w:p w14:paraId="043C4884" w14:textId="77777777" w:rsidR="00A94EF3" w:rsidRPr="00DA4CEC" w:rsidRDefault="00A94EF3" w:rsidP="00863D6C">
      <w:pPr>
        <w:pStyle w:val="Heading1"/>
      </w:pPr>
    </w:p>
    <w:p w14:paraId="17B6987E" w14:textId="77777777" w:rsidR="00A94EF3" w:rsidRPr="00DA4CEC" w:rsidRDefault="00A94EF3" w:rsidP="00863D6C">
      <w:pPr>
        <w:pStyle w:val="Heading1"/>
      </w:pPr>
    </w:p>
    <w:p w14:paraId="5304D783" w14:textId="77777777" w:rsidR="00A94EF3" w:rsidRPr="00DA4CEC" w:rsidRDefault="00A94EF3" w:rsidP="00A94EF3">
      <w:pPr>
        <w:rPr>
          <w:rFonts w:eastAsia="ＭＳ 明朝"/>
        </w:rPr>
      </w:pPr>
    </w:p>
    <w:p w14:paraId="7BCCB033" w14:textId="77777777" w:rsidR="00A94EF3" w:rsidRPr="00DA4CEC" w:rsidRDefault="00A94EF3" w:rsidP="00A94EF3">
      <w:pPr>
        <w:rPr>
          <w:rFonts w:eastAsia="ＭＳ 明朝"/>
        </w:rPr>
      </w:pPr>
    </w:p>
    <w:p w14:paraId="76909F24" w14:textId="77777777" w:rsidR="00AD7E9E" w:rsidRPr="00DA4CEC" w:rsidRDefault="00AD7E9E" w:rsidP="00A94EF3">
      <w:pPr>
        <w:pStyle w:val="Caption"/>
        <w:keepNext/>
      </w:pPr>
      <w:bookmarkStart w:id="4" w:name="_Toc341351050"/>
    </w:p>
    <w:p w14:paraId="253629C8" w14:textId="77777777" w:rsidR="00A94EF3" w:rsidRPr="00DA4CEC" w:rsidRDefault="00A94EF3" w:rsidP="00A94EF3">
      <w:pPr>
        <w:pStyle w:val="Caption"/>
        <w:keepNext/>
      </w:pPr>
      <w:r w:rsidRPr="00DA4CEC">
        <w:t xml:space="preserve">Table </w:t>
      </w:r>
      <w:fldSimple w:instr=" SEQ Table \* ARABIC ">
        <w:r w:rsidRPr="00DA4CEC">
          <w:rPr>
            <w:noProof/>
          </w:rPr>
          <w:t>1</w:t>
        </w:r>
      </w:fldSimple>
      <w:r w:rsidRPr="00DA4CEC">
        <w:t xml:space="preserve">. </w:t>
      </w:r>
      <w:r w:rsidRPr="00DA4CEC">
        <w:rPr>
          <w:szCs w:val="24"/>
        </w:rPr>
        <w:t xml:space="preserve">The impact of sand patties on the rate of microbial community respiration in room temperature GoM seawater-sediment incubations.  </w:t>
      </w:r>
      <w:r w:rsidRPr="00DA4CEC">
        <w:rPr>
          <w:b w:val="0"/>
          <w:szCs w:val="24"/>
        </w:rPr>
        <w:t xml:space="preserve">Sulfide production was monitored in 10 mL incubations over 7 d while oxygen consumption </w:t>
      </w:r>
      <w:r w:rsidR="00816F1B" w:rsidRPr="00DA4CEC">
        <w:rPr>
          <w:b w:val="0"/>
          <w:szCs w:val="24"/>
        </w:rPr>
        <w:t>was measured</w:t>
      </w:r>
      <w:r w:rsidRPr="00DA4CEC">
        <w:rPr>
          <w:b w:val="0"/>
          <w:szCs w:val="24"/>
        </w:rPr>
        <w:t xml:space="preserve"> in 10 mL incubations over 3 d.  The positive and negative controls </w:t>
      </w:r>
      <w:bookmarkEnd w:id="4"/>
      <w:r w:rsidR="00816F1B" w:rsidRPr="00DA4CEC">
        <w:rPr>
          <w:b w:val="0"/>
          <w:szCs w:val="24"/>
        </w:rPr>
        <w:t>contained only seawater and sediment.</w:t>
      </w:r>
    </w:p>
    <w:tbl>
      <w:tblPr>
        <w:tblW w:w="8298" w:type="dxa"/>
        <w:tblBorders>
          <w:top w:val="single" w:sz="4" w:space="0" w:color="auto"/>
          <w:bottom w:val="single" w:sz="4" w:space="0" w:color="auto"/>
        </w:tblBorders>
        <w:tblLook w:val="04A0" w:firstRow="1" w:lastRow="0" w:firstColumn="1" w:lastColumn="0" w:noHBand="0" w:noVBand="1"/>
      </w:tblPr>
      <w:tblGrid>
        <w:gridCol w:w="4158"/>
        <w:gridCol w:w="1975"/>
        <w:gridCol w:w="95"/>
        <w:gridCol w:w="2070"/>
      </w:tblGrid>
      <w:tr w:rsidR="00A94EF3" w:rsidRPr="00DA4CEC" w14:paraId="409D4D10" w14:textId="77777777" w:rsidTr="0016315D">
        <w:trPr>
          <w:trHeight w:val="508"/>
        </w:trPr>
        <w:tc>
          <w:tcPr>
            <w:tcW w:w="4158" w:type="dxa"/>
            <w:tcBorders>
              <w:top w:val="single" w:sz="12" w:space="0" w:color="auto"/>
              <w:bottom w:val="nil"/>
            </w:tcBorders>
            <w:shd w:val="clear" w:color="auto" w:fill="auto"/>
          </w:tcPr>
          <w:p w14:paraId="29EDA151" w14:textId="77777777" w:rsidR="00A94EF3" w:rsidRPr="00DA4CEC" w:rsidRDefault="00A94EF3" w:rsidP="00A94EF3">
            <w:pPr>
              <w:suppressLineNumbers/>
              <w:spacing w:line="240" w:lineRule="auto"/>
              <w:jc w:val="center"/>
              <w:rPr>
                <w:rFonts w:eastAsia="ＭＳ 明朝"/>
                <w:b/>
                <w:lang w:eastAsia="ja-JP" w:bidi="ar-SA"/>
              </w:rPr>
            </w:pPr>
            <w:r w:rsidRPr="00DA4CEC">
              <w:rPr>
                <w:rFonts w:eastAsia="ＭＳ 明朝"/>
                <w:b/>
                <w:lang w:eastAsia="ja-JP" w:bidi="ar-SA"/>
              </w:rPr>
              <w:t>Sand Patty  Amendment (g)</w:t>
            </w:r>
          </w:p>
        </w:tc>
        <w:tc>
          <w:tcPr>
            <w:tcW w:w="2070" w:type="dxa"/>
            <w:gridSpan w:val="2"/>
            <w:tcBorders>
              <w:top w:val="single" w:sz="12" w:space="0" w:color="auto"/>
              <w:bottom w:val="nil"/>
            </w:tcBorders>
            <w:shd w:val="clear" w:color="auto" w:fill="auto"/>
          </w:tcPr>
          <w:p w14:paraId="1C527B17" w14:textId="77777777" w:rsidR="00A94EF3" w:rsidRPr="00DA4CEC" w:rsidRDefault="0016315D" w:rsidP="0016315D">
            <w:pPr>
              <w:suppressLineNumbers/>
              <w:spacing w:line="240" w:lineRule="auto"/>
              <w:jc w:val="center"/>
              <w:rPr>
                <w:rFonts w:eastAsia="ＭＳ 明朝"/>
                <w:b/>
                <w:lang w:eastAsia="ja-JP" w:bidi="ar-SA"/>
              </w:rPr>
            </w:pPr>
            <w:r>
              <w:rPr>
                <w:rFonts w:eastAsia="ＭＳ 明朝"/>
                <w:b/>
                <w:lang w:eastAsia="ja-JP" w:bidi="ar-SA"/>
              </w:rPr>
              <w:t xml:space="preserve">nM S </w:t>
            </w:r>
            <w:r w:rsidRPr="0016315D">
              <w:rPr>
                <w:rFonts w:eastAsia="ＭＳ 明朝"/>
                <w:b/>
                <w:lang w:eastAsia="ja-JP" w:bidi="ar-SA"/>
              </w:rPr>
              <w:t>•</w:t>
            </w:r>
            <w:r>
              <w:rPr>
                <w:rFonts w:eastAsia="ＭＳ 明朝"/>
                <w:b/>
                <w:lang w:eastAsia="ja-JP" w:bidi="ar-SA"/>
              </w:rPr>
              <w:t xml:space="preserve"> </w:t>
            </w:r>
            <w:r w:rsidR="00A94EF3" w:rsidRPr="00DA4CEC">
              <w:rPr>
                <w:rFonts w:eastAsia="ＭＳ 明朝"/>
                <w:b/>
                <w:lang w:eastAsia="ja-JP" w:bidi="ar-SA"/>
              </w:rPr>
              <w:t>day</w:t>
            </w:r>
            <w:r w:rsidR="00A94EF3" w:rsidRPr="00DA4CEC">
              <w:rPr>
                <w:rFonts w:eastAsia="ＭＳ 明朝"/>
                <w:b/>
                <w:vertAlign w:val="superscript"/>
                <w:lang w:eastAsia="ja-JP" w:bidi="ar-SA"/>
              </w:rPr>
              <w:t>-1</w:t>
            </w:r>
            <w:r>
              <w:rPr>
                <w:rFonts w:eastAsia="ＭＳ 明朝"/>
                <w:b/>
                <w:vertAlign w:val="superscript"/>
                <w:lang w:eastAsia="ja-JP" w:bidi="ar-SA"/>
              </w:rPr>
              <w:t xml:space="preserve"> </w:t>
            </w:r>
            <w:r w:rsidRPr="0016315D">
              <w:rPr>
                <w:rFonts w:eastAsia="ＭＳ 明朝"/>
                <w:b/>
                <w:lang w:eastAsia="ja-JP" w:bidi="ar-SA"/>
              </w:rPr>
              <w:t>•</w:t>
            </w:r>
            <w:r>
              <w:rPr>
                <w:rFonts w:eastAsia="ＭＳ 明朝"/>
                <w:b/>
                <w:lang w:eastAsia="ja-JP" w:bidi="ar-SA"/>
              </w:rPr>
              <w:t xml:space="preserve"> </w:t>
            </w:r>
            <w:r w:rsidR="00A94EF3" w:rsidRPr="00DA4CEC">
              <w:rPr>
                <w:rFonts w:eastAsia="ＭＳ 明朝"/>
                <w:b/>
                <w:lang w:eastAsia="ja-JP" w:bidi="ar-SA"/>
              </w:rPr>
              <w:t>g</w:t>
            </w:r>
            <w:r w:rsidR="00A94EF3" w:rsidRPr="00DA4CEC">
              <w:rPr>
                <w:rFonts w:eastAsia="ＭＳ 明朝"/>
                <w:b/>
                <w:vertAlign w:val="superscript"/>
                <w:lang w:eastAsia="ja-JP" w:bidi="ar-SA"/>
              </w:rPr>
              <w:t>-1</w:t>
            </w:r>
          </w:p>
        </w:tc>
        <w:tc>
          <w:tcPr>
            <w:tcW w:w="2070" w:type="dxa"/>
            <w:tcBorders>
              <w:top w:val="single" w:sz="12" w:space="0" w:color="auto"/>
              <w:bottom w:val="nil"/>
            </w:tcBorders>
            <w:shd w:val="clear" w:color="auto" w:fill="auto"/>
          </w:tcPr>
          <w:p w14:paraId="2348F2F4" w14:textId="77777777" w:rsidR="00A94EF3" w:rsidRPr="00DA4CEC" w:rsidRDefault="00A94EF3" w:rsidP="00A94EF3">
            <w:pPr>
              <w:suppressLineNumbers/>
              <w:spacing w:line="240" w:lineRule="auto"/>
              <w:jc w:val="center"/>
              <w:rPr>
                <w:rFonts w:eastAsia="ＭＳ 明朝"/>
                <w:b/>
                <w:lang w:eastAsia="ja-JP" w:bidi="ar-SA"/>
              </w:rPr>
            </w:pPr>
            <w:r w:rsidRPr="00DA4CEC">
              <w:rPr>
                <w:rFonts w:eastAsia="ＭＳ 明朝"/>
                <w:b/>
                <w:lang w:eastAsia="ja-JP" w:bidi="ar-SA"/>
              </w:rPr>
              <w:t>µM O</w:t>
            </w:r>
            <w:r w:rsidRPr="00DA4CEC">
              <w:rPr>
                <w:rFonts w:eastAsia="ＭＳ 明朝"/>
                <w:b/>
                <w:vertAlign w:val="subscript"/>
                <w:lang w:eastAsia="ja-JP" w:bidi="ar-SA"/>
              </w:rPr>
              <w:t>2</w:t>
            </w:r>
            <w:r w:rsidR="0016315D">
              <w:rPr>
                <w:rFonts w:eastAsia="ＭＳ 明朝"/>
                <w:b/>
                <w:vertAlign w:val="subscript"/>
                <w:lang w:eastAsia="ja-JP" w:bidi="ar-SA"/>
              </w:rPr>
              <w:t xml:space="preserve"> </w:t>
            </w:r>
            <w:r w:rsidR="0016315D" w:rsidRPr="0016315D">
              <w:rPr>
                <w:rFonts w:eastAsia="ＭＳ 明朝"/>
                <w:b/>
                <w:lang w:eastAsia="ja-JP" w:bidi="ar-SA"/>
              </w:rPr>
              <w:t>•</w:t>
            </w:r>
            <w:r w:rsidR="0016315D">
              <w:rPr>
                <w:rFonts w:eastAsia="ＭＳ 明朝"/>
                <w:b/>
                <w:lang w:eastAsia="ja-JP" w:bidi="ar-SA"/>
              </w:rPr>
              <w:t xml:space="preserve"> </w:t>
            </w:r>
            <w:r w:rsidRPr="00DA4CEC">
              <w:rPr>
                <w:rFonts w:eastAsia="ＭＳ 明朝"/>
                <w:b/>
                <w:lang w:eastAsia="ja-JP" w:bidi="ar-SA"/>
              </w:rPr>
              <w:t>day</w:t>
            </w:r>
            <w:r w:rsidRPr="00DA4CEC">
              <w:rPr>
                <w:rFonts w:eastAsia="ＭＳ 明朝"/>
                <w:b/>
                <w:vertAlign w:val="superscript"/>
                <w:lang w:eastAsia="ja-JP" w:bidi="ar-SA"/>
              </w:rPr>
              <w:t>-1</w:t>
            </w:r>
            <w:r w:rsidR="0016315D">
              <w:rPr>
                <w:rFonts w:eastAsia="ＭＳ 明朝"/>
                <w:b/>
                <w:vertAlign w:val="superscript"/>
                <w:lang w:eastAsia="ja-JP" w:bidi="ar-SA"/>
              </w:rPr>
              <w:t xml:space="preserve"> </w:t>
            </w:r>
            <w:r w:rsidR="0016315D" w:rsidRPr="0016315D">
              <w:rPr>
                <w:rFonts w:eastAsia="ＭＳ 明朝"/>
                <w:b/>
                <w:lang w:eastAsia="ja-JP" w:bidi="ar-SA"/>
              </w:rPr>
              <w:t>•</w:t>
            </w:r>
            <w:r w:rsidR="0016315D">
              <w:rPr>
                <w:rFonts w:eastAsia="ＭＳ 明朝"/>
                <w:b/>
                <w:lang w:eastAsia="ja-JP" w:bidi="ar-SA"/>
              </w:rPr>
              <w:t xml:space="preserve"> </w:t>
            </w:r>
            <w:r w:rsidRPr="00DA4CEC">
              <w:rPr>
                <w:rFonts w:eastAsia="ＭＳ 明朝"/>
                <w:b/>
                <w:lang w:eastAsia="ja-JP" w:bidi="ar-SA"/>
              </w:rPr>
              <w:t>g</w:t>
            </w:r>
            <w:r w:rsidRPr="00DA4CEC">
              <w:rPr>
                <w:rFonts w:eastAsia="ＭＳ 明朝"/>
                <w:b/>
                <w:vertAlign w:val="superscript"/>
                <w:lang w:eastAsia="ja-JP" w:bidi="ar-SA"/>
              </w:rPr>
              <w:t>-1</w:t>
            </w:r>
          </w:p>
        </w:tc>
      </w:tr>
      <w:tr w:rsidR="00A94EF3" w:rsidRPr="00DA4CEC" w14:paraId="72763A53" w14:textId="77777777" w:rsidTr="0016315D">
        <w:trPr>
          <w:trHeight w:val="269"/>
        </w:trPr>
        <w:tc>
          <w:tcPr>
            <w:tcW w:w="4158" w:type="dxa"/>
            <w:tcBorders>
              <w:top w:val="nil"/>
            </w:tcBorders>
            <w:shd w:val="clear" w:color="auto" w:fill="auto"/>
          </w:tcPr>
          <w:p w14:paraId="6DA23128" w14:textId="77777777" w:rsidR="00A94EF3" w:rsidRPr="00DA4CEC" w:rsidRDefault="00A94EF3" w:rsidP="00A94EF3">
            <w:pPr>
              <w:suppressLineNumbers/>
              <w:spacing w:line="240" w:lineRule="auto"/>
              <w:jc w:val="center"/>
              <w:rPr>
                <w:rFonts w:eastAsia="ＭＳ 明朝"/>
                <w:lang w:eastAsia="ja-JP" w:bidi="ar-SA"/>
              </w:rPr>
            </w:pPr>
            <w:r w:rsidRPr="00DA4CEC">
              <w:rPr>
                <w:rFonts w:eastAsia="ＭＳ 明朝"/>
                <w:lang w:eastAsia="ja-JP" w:bidi="ar-SA"/>
              </w:rPr>
              <w:t>0  (endogenous)</w:t>
            </w:r>
          </w:p>
        </w:tc>
        <w:tc>
          <w:tcPr>
            <w:tcW w:w="1975" w:type="dxa"/>
            <w:tcBorders>
              <w:top w:val="nil"/>
            </w:tcBorders>
            <w:shd w:val="clear" w:color="auto" w:fill="auto"/>
            <w:vAlign w:val="bottom"/>
          </w:tcPr>
          <w:p w14:paraId="0244BD47" w14:textId="77777777" w:rsidR="00A94EF3" w:rsidRPr="00DA4CEC" w:rsidRDefault="00A94EF3" w:rsidP="00A94EF3">
            <w:pPr>
              <w:suppressLineNumbers/>
              <w:spacing w:line="240" w:lineRule="auto"/>
              <w:jc w:val="center"/>
              <w:rPr>
                <w:rFonts w:eastAsia="ＭＳ 明朝"/>
                <w:lang w:eastAsia="ja-JP" w:bidi="ar-SA"/>
              </w:rPr>
            </w:pPr>
            <w:r w:rsidRPr="00DA4CEC">
              <w:rPr>
                <w:color w:val="000000"/>
                <w:lang w:eastAsia="ja-JP" w:bidi="ar-SA"/>
              </w:rPr>
              <w:t>38.9 ± 0.4</w:t>
            </w:r>
          </w:p>
        </w:tc>
        <w:tc>
          <w:tcPr>
            <w:tcW w:w="2165" w:type="dxa"/>
            <w:gridSpan w:val="2"/>
            <w:tcBorders>
              <w:top w:val="nil"/>
            </w:tcBorders>
            <w:shd w:val="clear" w:color="auto" w:fill="auto"/>
          </w:tcPr>
          <w:p w14:paraId="221DF615" w14:textId="77777777" w:rsidR="00A94EF3" w:rsidRPr="00DA4CEC" w:rsidRDefault="00A94EF3" w:rsidP="00A94EF3">
            <w:pPr>
              <w:suppressLineNumbers/>
              <w:spacing w:line="240" w:lineRule="auto"/>
              <w:jc w:val="center"/>
              <w:rPr>
                <w:color w:val="000000"/>
                <w:lang w:eastAsia="ja-JP" w:bidi="ar-SA"/>
              </w:rPr>
            </w:pPr>
            <w:r w:rsidRPr="00DA4CEC">
              <w:rPr>
                <w:color w:val="000000"/>
                <w:lang w:eastAsia="ja-JP" w:bidi="ar-SA"/>
              </w:rPr>
              <w:t>1.76 ± 0.08</w:t>
            </w:r>
          </w:p>
        </w:tc>
      </w:tr>
      <w:tr w:rsidR="00A94EF3" w:rsidRPr="00DA4CEC" w14:paraId="2D6B83DC" w14:textId="77777777" w:rsidTr="0016315D">
        <w:trPr>
          <w:trHeight w:val="269"/>
        </w:trPr>
        <w:tc>
          <w:tcPr>
            <w:tcW w:w="4158" w:type="dxa"/>
            <w:tcBorders>
              <w:top w:val="nil"/>
            </w:tcBorders>
            <w:shd w:val="clear" w:color="auto" w:fill="auto"/>
          </w:tcPr>
          <w:p w14:paraId="3CA889EC" w14:textId="77777777" w:rsidR="00A94EF3" w:rsidRPr="00DA4CEC" w:rsidRDefault="00A94EF3" w:rsidP="00A94EF3">
            <w:pPr>
              <w:suppressLineNumbers/>
              <w:spacing w:line="240" w:lineRule="auto"/>
              <w:jc w:val="center"/>
              <w:rPr>
                <w:rFonts w:eastAsia="ＭＳ 明朝"/>
                <w:lang w:eastAsia="ja-JP" w:bidi="ar-SA"/>
              </w:rPr>
            </w:pPr>
            <w:r w:rsidRPr="00DA4CEC">
              <w:rPr>
                <w:rFonts w:eastAsia="ＭＳ 明朝"/>
                <w:lang w:eastAsia="ja-JP" w:bidi="ar-SA"/>
              </w:rPr>
              <w:t>1</w:t>
            </w:r>
          </w:p>
        </w:tc>
        <w:tc>
          <w:tcPr>
            <w:tcW w:w="1975" w:type="dxa"/>
            <w:tcBorders>
              <w:top w:val="nil"/>
            </w:tcBorders>
            <w:shd w:val="clear" w:color="auto" w:fill="auto"/>
            <w:vAlign w:val="bottom"/>
          </w:tcPr>
          <w:p w14:paraId="28C001AC" w14:textId="77777777" w:rsidR="00A94EF3" w:rsidRPr="0016315D" w:rsidRDefault="0016315D" w:rsidP="00A94EF3">
            <w:pPr>
              <w:suppressLineNumbers/>
              <w:spacing w:line="240" w:lineRule="auto"/>
              <w:jc w:val="center"/>
              <w:rPr>
                <w:color w:val="000000"/>
                <w:vertAlign w:val="superscript"/>
                <w:lang w:eastAsia="ja-JP" w:bidi="ar-SA"/>
              </w:rPr>
            </w:pPr>
            <w:r>
              <w:rPr>
                <w:color w:val="000000"/>
                <w:lang w:eastAsia="ja-JP" w:bidi="ar-SA"/>
              </w:rPr>
              <w:t>-</w:t>
            </w:r>
            <w:r>
              <w:rPr>
                <w:color w:val="000000"/>
                <w:vertAlign w:val="superscript"/>
                <w:lang w:eastAsia="ja-JP" w:bidi="ar-SA"/>
              </w:rPr>
              <w:t>a</w:t>
            </w:r>
          </w:p>
        </w:tc>
        <w:tc>
          <w:tcPr>
            <w:tcW w:w="2165" w:type="dxa"/>
            <w:gridSpan w:val="2"/>
            <w:tcBorders>
              <w:top w:val="nil"/>
            </w:tcBorders>
            <w:shd w:val="clear" w:color="auto" w:fill="auto"/>
          </w:tcPr>
          <w:p w14:paraId="690CDC47" w14:textId="77777777" w:rsidR="00A94EF3" w:rsidRPr="00DA4CEC" w:rsidRDefault="00A94EF3" w:rsidP="00A94EF3">
            <w:pPr>
              <w:suppressLineNumbers/>
              <w:spacing w:line="240" w:lineRule="auto"/>
              <w:jc w:val="center"/>
              <w:rPr>
                <w:color w:val="000000"/>
                <w:lang w:eastAsia="ja-JP" w:bidi="ar-SA"/>
              </w:rPr>
            </w:pPr>
            <w:r w:rsidRPr="00DA4CEC">
              <w:rPr>
                <w:color w:val="000000"/>
                <w:lang w:eastAsia="ja-JP" w:bidi="ar-SA"/>
              </w:rPr>
              <w:t>2.1 ± 0.4</w:t>
            </w:r>
          </w:p>
        </w:tc>
      </w:tr>
      <w:tr w:rsidR="00A94EF3" w:rsidRPr="00DA4CEC" w14:paraId="31AC2D1B" w14:textId="77777777" w:rsidTr="0016315D">
        <w:trPr>
          <w:trHeight w:val="284"/>
        </w:trPr>
        <w:tc>
          <w:tcPr>
            <w:tcW w:w="4158" w:type="dxa"/>
            <w:tcBorders>
              <w:top w:val="nil"/>
            </w:tcBorders>
            <w:shd w:val="clear" w:color="auto" w:fill="auto"/>
          </w:tcPr>
          <w:p w14:paraId="10AE5043" w14:textId="77777777" w:rsidR="00A94EF3" w:rsidRPr="00DA4CEC" w:rsidRDefault="00A94EF3" w:rsidP="00A94EF3">
            <w:pPr>
              <w:suppressLineNumbers/>
              <w:spacing w:line="240" w:lineRule="auto"/>
              <w:jc w:val="center"/>
              <w:rPr>
                <w:rFonts w:eastAsia="ＭＳ 明朝"/>
                <w:lang w:eastAsia="ja-JP" w:bidi="ar-SA"/>
              </w:rPr>
            </w:pPr>
            <w:r w:rsidRPr="00DA4CEC">
              <w:rPr>
                <w:rFonts w:eastAsia="ＭＳ 明朝"/>
                <w:lang w:eastAsia="ja-JP" w:bidi="ar-SA"/>
              </w:rPr>
              <w:t>2</w:t>
            </w:r>
          </w:p>
        </w:tc>
        <w:tc>
          <w:tcPr>
            <w:tcW w:w="1975" w:type="dxa"/>
            <w:tcBorders>
              <w:top w:val="nil"/>
            </w:tcBorders>
            <w:shd w:val="clear" w:color="auto" w:fill="auto"/>
            <w:vAlign w:val="bottom"/>
          </w:tcPr>
          <w:p w14:paraId="0A49DCCE" w14:textId="77777777" w:rsidR="00A94EF3" w:rsidRPr="00DA4CEC" w:rsidRDefault="0016315D" w:rsidP="00A94EF3">
            <w:pPr>
              <w:suppressLineNumbers/>
              <w:spacing w:line="240" w:lineRule="auto"/>
              <w:jc w:val="center"/>
              <w:rPr>
                <w:color w:val="000000"/>
                <w:lang w:eastAsia="ja-JP" w:bidi="ar-SA"/>
              </w:rPr>
            </w:pPr>
            <w:r>
              <w:rPr>
                <w:color w:val="000000"/>
                <w:lang w:eastAsia="ja-JP" w:bidi="ar-SA"/>
              </w:rPr>
              <w:t>-</w:t>
            </w:r>
          </w:p>
        </w:tc>
        <w:tc>
          <w:tcPr>
            <w:tcW w:w="2165" w:type="dxa"/>
            <w:gridSpan w:val="2"/>
            <w:tcBorders>
              <w:top w:val="nil"/>
            </w:tcBorders>
            <w:shd w:val="clear" w:color="auto" w:fill="auto"/>
          </w:tcPr>
          <w:p w14:paraId="4EA882BB" w14:textId="77777777" w:rsidR="00A94EF3" w:rsidRPr="00DA4CEC" w:rsidRDefault="00A94EF3" w:rsidP="00A94EF3">
            <w:pPr>
              <w:suppressLineNumbers/>
              <w:spacing w:line="240" w:lineRule="auto"/>
              <w:jc w:val="center"/>
              <w:rPr>
                <w:color w:val="000000"/>
                <w:lang w:eastAsia="ja-JP" w:bidi="ar-SA"/>
              </w:rPr>
            </w:pPr>
            <w:r w:rsidRPr="00DA4CEC">
              <w:rPr>
                <w:color w:val="000000"/>
                <w:lang w:eastAsia="ja-JP" w:bidi="ar-SA"/>
              </w:rPr>
              <w:t>2.1 ± 0.5</w:t>
            </w:r>
          </w:p>
        </w:tc>
      </w:tr>
      <w:tr w:rsidR="00A94EF3" w:rsidRPr="00DA4CEC" w14:paraId="460D108C" w14:textId="77777777" w:rsidTr="0016315D">
        <w:trPr>
          <w:trHeight w:val="269"/>
        </w:trPr>
        <w:tc>
          <w:tcPr>
            <w:tcW w:w="4158" w:type="dxa"/>
            <w:shd w:val="clear" w:color="auto" w:fill="auto"/>
          </w:tcPr>
          <w:p w14:paraId="354B313D" w14:textId="77777777" w:rsidR="00A94EF3" w:rsidRPr="00DA4CEC" w:rsidRDefault="00A94EF3" w:rsidP="00A94EF3">
            <w:pPr>
              <w:suppressLineNumbers/>
              <w:spacing w:line="240" w:lineRule="auto"/>
              <w:jc w:val="center"/>
              <w:rPr>
                <w:rFonts w:eastAsia="ＭＳ 明朝"/>
                <w:lang w:eastAsia="ja-JP" w:bidi="ar-SA"/>
              </w:rPr>
            </w:pPr>
            <w:r w:rsidRPr="00DA4CEC">
              <w:rPr>
                <w:rFonts w:eastAsia="ＭＳ 明朝"/>
                <w:lang w:eastAsia="ja-JP" w:bidi="ar-SA"/>
              </w:rPr>
              <w:t>2.5</w:t>
            </w:r>
          </w:p>
        </w:tc>
        <w:tc>
          <w:tcPr>
            <w:tcW w:w="1975" w:type="dxa"/>
            <w:shd w:val="clear" w:color="auto" w:fill="auto"/>
            <w:vAlign w:val="bottom"/>
          </w:tcPr>
          <w:p w14:paraId="20ACAF21" w14:textId="77777777" w:rsidR="00A94EF3" w:rsidRPr="00DA4CEC" w:rsidRDefault="00A94EF3" w:rsidP="00A94EF3">
            <w:pPr>
              <w:suppressLineNumbers/>
              <w:spacing w:line="240" w:lineRule="auto"/>
              <w:jc w:val="center"/>
              <w:rPr>
                <w:rFonts w:eastAsia="ＭＳ 明朝"/>
                <w:lang w:eastAsia="ja-JP" w:bidi="ar-SA"/>
              </w:rPr>
            </w:pPr>
            <w:r w:rsidRPr="00DA4CEC">
              <w:rPr>
                <w:color w:val="000000"/>
                <w:lang w:eastAsia="ja-JP" w:bidi="ar-SA"/>
              </w:rPr>
              <w:t>57 ± 14</w:t>
            </w:r>
          </w:p>
        </w:tc>
        <w:tc>
          <w:tcPr>
            <w:tcW w:w="2165" w:type="dxa"/>
            <w:gridSpan w:val="2"/>
            <w:shd w:val="clear" w:color="auto" w:fill="auto"/>
          </w:tcPr>
          <w:p w14:paraId="1BC740C9" w14:textId="77777777" w:rsidR="00A94EF3" w:rsidRPr="00DA4CEC" w:rsidRDefault="0016315D" w:rsidP="00A94EF3">
            <w:pPr>
              <w:suppressLineNumbers/>
              <w:spacing w:line="240" w:lineRule="auto"/>
              <w:jc w:val="center"/>
              <w:rPr>
                <w:color w:val="000000"/>
                <w:lang w:eastAsia="ja-JP" w:bidi="ar-SA"/>
              </w:rPr>
            </w:pPr>
            <w:r>
              <w:rPr>
                <w:color w:val="000000"/>
                <w:lang w:eastAsia="ja-JP" w:bidi="ar-SA"/>
              </w:rPr>
              <w:t>-</w:t>
            </w:r>
          </w:p>
        </w:tc>
      </w:tr>
      <w:tr w:rsidR="00A94EF3" w:rsidRPr="00DA4CEC" w14:paraId="5E7E81A8" w14:textId="77777777" w:rsidTr="0016315D">
        <w:trPr>
          <w:trHeight w:val="269"/>
        </w:trPr>
        <w:tc>
          <w:tcPr>
            <w:tcW w:w="4158" w:type="dxa"/>
            <w:shd w:val="clear" w:color="auto" w:fill="auto"/>
          </w:tcPr>
          <w:p w14:paraId="7E40A72B" w14:textId="77777777" w:rsidR="00A94EF3" w:rsidRPr="00DA4CEC" w:rsidRDefault="00A94EF3" w:rsidP="00A94EF3">
            <w:pPr>
              <w:suppressLineNumbers/>
              <w:spacing w:line="240" w:lineRule="auto"/>
              <w:jc w:val="center"/>
              <w:rPr>
                <w:rFonts w:eastAsia="ＭＳ 明朝"/>
                <w:lang w:eastAsia="ja-JP" w:bidi="ar-SA"/>
              </w:rPr>
            </w:pPr>
            <w:r w:rsidRPr="00DA4CEC">
              <w:rPr>
                <w:rFonts w:eastAsia="ＭＳ 明朝"/>
                <w:lang w:eastAsia="ja-JP" w:bidi="ar-SA"/>
              </w:rPr>
              <w:t>5</w:t>
            </w:r>
          </w:p>
        </w:tc>
        <w:tc>
          <w:tcPr>
            <w:tcW w:w="1975" w:type="dxa"/>
            <w:shd w:val="clear" w:color="auto" w:fill="auto"/>
            <w:vAlign w:val="bottom"/>
          </w:tcPr>
          <w:p w14:paraId="115A146F" w14:textId="77777777" w:rsidR="00A94EF3" w:rsidRPr="00DA4CEC" w:rsidRDefault="00A94EF3" w:rsidP="00A94EF3">
            <w:pPr>
              <w:suppressLineNumbers/>
              <w:spacing w:line="240" w:lineRule="auto"/>
              <w:jc w:val="center"/>
              <w:rPr>
                <w:rFonts w:eastAsia="ＭＳ 明朝"/>
                <w:lang w:eastAsia="ja-JP" w:bidi="ar-SA"/>
              </w:rPr>
            </w:pPr>
            <w:r w:rsidRPr="00DA4CEC">
              <w:rPr>
                <w:color w:val="000000"/>
                <w:lang w:eastAsia="ja-JP" w:bidi="ar-SA"/>
              </w:rPr>
              <w:t>53 ± 10</w:t>
            </w:r>
          </w:p>
        </w:tc>
        <w:tc>
          <w:tcPr>
            <w:tcW w:w="2165" w:type="dxa"/>
            <w:gridSpan w:val="2"/>
            <w:shd w:val="clear" w:color="auto" w:fill="auto"/>
          </w:tcPr>
          <w:p w14:paraId="47CEAAE2" w14:textId="77777777" w:rsidR="00A94EF3" w:rsidRPr="00DA4CEC" w:rsidRDefault="00A94EF3" w:rsidP="00A94EF3">
            <w:pPr>
              <w:suppressLineNumbers/>
              <w:spacing w:line="240" w:lineRule="auto"/>
              <w:jc w:val="center"/>
              <w:rPr>
                <w:color w:val="000000"/>
                <w:lang w:eastAsia="ja-JP" w:bidi="ar-SA"/>
              </w:rPr>
            </w:pPr>
            <w:r w:rsidRPr="00DA4CEC">
              <w:rPr>
                <w:color w:val="000000"/>
                <w:lang w:eastAsia="ja-JP" w:bidi="ar-SA"/>
              </w:rPr>
              <w:t>2.7 ± .3 *</w:t>
            </w:r>
          </w:p>
        </w:tc>
      </w:tr>
      <w:tr w:rsidR="00A94EF3" w:rsidRPr="00DA4CEC" w14:paraId="21FC7A89" w14:textId="77777777" w:rsidTr="0016315D">
        <w:trPr>
          <w:trHeight w:val="269"/>
        </w:trPr>
        <w:tc>
          <w:tcPr>
            <w:tcW w:w="4158" w:type="dxa"/>
            <w:shd w:val="clear" w:color="auto" w:fill="auto"/>
          </w:tcPr>
          <w:p w14:paraId="3640F6E7" w14:textId="77777777" w:rsidR="00A94EF3" w:rsidRPr="00DA4CEC" w:rsidRDefault="00A94EF3" w:rsidP="00A94EF3">
            <w:pPr>
              <w:suppressLineNumbers/>
              <w:spacing w:line="240" w:lineRule="auto"/>
              <w:jc w:val="center"/>
              <w:rPr>
                <w:rFonts w:eastAsia="ＭＳ 明朝"/>
                <w:lang w:eastAsia="ja-JP" w:bidi="ar-SA"/>
              </w:rPr>
            </w:pPr>
            <w:r w:rsidRPr="00DA4CEC">
              <w:rPr>
                <w:rFonts w:eastAsia="ＭＳ 明朝"/>
                <w:lang w:eastAsia="ja-JP" w:bidi="ar-SA"/>
              </w:rPr>
              <w:t>7.5</w:t>
            </w:r>
          </w:p>
        </w:tc>
        <w:tc>
          <w:tcPr>
            <w:tcW w:w="1975" w:type="dxa"/>
            <w:shd w:val="clear" w:color="auto" w:fill="auto"/>
            <w:vAlign w:val="bottom"/>
          </w:tcPr>
          <w:p w14:paraId="754CD2D5" w14:textId="77777777" w:rsidR="00A94EF3" w:rsidRPr="00DA4CEC" w:rsidRDefault="00A94EF3" w:rsidP="00A94EF3">
            <w:pPr>
              <w:suppressLineNumbers/>
              <w:spacing w:line="240" w:lineRule="auto"/>
              <w:jc w:val="center"/>
              <w:rPr>
                <w:rFonts w:eastAsia="ＭＳ 明朝"/>
                <w:lang w:eastAsia="ja-JP" w:bidi="ar-SA"/>
              </w:rPr>
            </w:pPr>
            <w:r w:rsidRPr="00DA4CEC">
              <w:rPr>
                <w:color w:val="000000"/>
                <w:lang w:eastAsia="ja-JP" w:bidi="ar-SA"/>
              </w:rPr>
              <w:t>80 ± 7 *</w:t>
            </w:r>
          </w:p>
        </w:tc>
        <w:tc>
          <w:tcPr>
            <w:tcW w:w="2165" w:type="dxa"/>
            <w:gridSpan w:val="2"/>
            <w:shd w:val="clear" w:color="auto" w:fill="auto"/>
          </w:tcPr>
          <w:p w14:paraId="1F412A32" w14:textId="77777777" w:rsidR="00A94EF3" w:rsidRPr="00DA4CEC" w:rsidRDefault="0016315D" w:rsidP="00A94EF3">
            <w:pPr>
              <w:suppressLineNumbers/>
              <w:spacing w:line="240" w:lineRule="auto"/>
              <w:jc w:val="center"/>
              <w:rPr>
                <w:color w:val="000000"/>
                <w:lang w:eastAsia="ja-JP" w:bidi="ar-SA"/>
              </w:rPr>
            </w:pPr>
            <w:r>
              <w:rPr>
                <w:color w:val="000000"/>
                <w:lang w:eastAsia="ja-JP" w:bidi="ar-SA"/>
              </w:rPr>
              <w:t>-</w:t>
            </w:r>
          </w:p>
        </w:tc>
      </w:tr>
      <w:tr w:rsidR="00A94EF3" w:rsidRPr="00DA4CEC" w14:paraId="7A45F968" w14:textId="77777777" w:rsidTr="0016315D">
        <w:trPr>
          <w:trHeight w:val="284"/>
        </w:trPr>
        <w:tc>
          <w:tcPr>
            <w:tcW w:w="4158" w:type="dxa"/>
            <w:shd w:val="clear" w:color="auto" w:fill="auto"/>
          </w:tcPr>
          <w:p w14:paraId="6DF5A059" w14:textId="77777777" w:rsidR="00A94EF3" w:rsidRPr="00DA4CEC" w:rsidRDefault="00A94EF3" w:rsidP="00A94EF3">
            <w:pPr>
              <w:suppressLineNumbers/>
              <w:spacing w:line="240" w:lineRule="auto"/>
              <w:jc w:val="center"/>
              <w:rPr>
                <w:rFonts w:eastAsia="ＭＳ 明朝"/>
                <w:lang w:eastAsia="ja-JP" w:bidi="ar-SA"/>
              </w:rPr>
            </w:pPr>
            <w:r w:rsidRPr="00DA4CEC">
              <w:rPr>
                <w:rFonts w:eastAsia="ＭＳ 明朝"/>
                <w:lang w:eastAsia="ja-JP" w:bidi="ar-SA"/>
              </w:rPr>
              <w:t>10</w:t>
            </w:r>
          </w:p>
        </w:tc>
        <w:tc>
          <w:tcPr>
            <w:tcW w:w="1975" w:type="dxa"/>
            <w:shd w:val="clear" w:color="auto" w:fill="auto"/>
            <w:vAlign w:val="bottom"/>
          </w:tcPr>
          <w:p w14:paraId="03157A96" w14:textId="77777777" w:rsidR="00A94EF3" w:rsidRPr="00DA4CEC" w:rsidRDefault="00A94EF3" w:rsidP="00A94EF3">
            <w:pPr>
              <w:suppressLineNumbers/>
              <w:spacing w:line="240" w:lineRule="auto"/>
              <w:jc w:val="center"/>
              <w:rPr>
                <w:rFonts w:eastAsia="ＭＳ 明朝"/>
                <w:lang w:eastAsia="ja-JP" w:bidi="ar-SA"/>
              </w:rPr>
            </w:pPr>
            <w:r w:rsidRPr="00DA4CEC">
              <w:rPr>
                <w:color w:val="000000"/>
                <w:lang w:eastAsia="ja-JP" w:bidi="ar-SA"/>
              </w:rPr>
              <w:t>99 ± 30 *</w:t>
            </w:r>
          </w:p>
        </w:tc>
        <w:tc>
          <w:tcPr>
            <w:tcW w:w="2165" w:type="dxa"/>
            <w:gridSpan w:val="2"/>
            <w:shd w:val="clear" w:color="auto" w:fill="auto"/>
          </w:tcPr>
          <w:p w14:paraId="6A0C7088" w14:textId="77777777" w:rsidR="00A94EF3" w:rsidRPr="00DA4CEC" w:rsidRDefault="0016315D" w:rsidP="00A94EF3">
            <w:pPr>
              <w:suppressLineNumbers/>
              <w:spacing w:line="240" w:lineRule="auto"/>
              <w:jc w:val="center"/>
              <w:rPr>
                <w:color w:val="000000"/>
                <w:lang w:eastAsia="ja-JP" w:bidi="ar-SA"/>
              </w:rPr>
            </w:pPr>
            <w:r>
              <w:rPr>
                <w:color w:val="000000"/>
                <w:lang w:eastAsia="ja-JP" w:bidi="ar-SA"/>
              </w:rPr>
              <w:t>-</w:t>
            </w:r>
          </w:p>
        </w:tc>
      </w:tr>
      <w:tr w:rsidR="00A94EF3" w:rsidRPr="00DA4CEC" w14:paraId="15BAF99C" w14:textId="77777777" w:rsidTr="0016315D">
        <w:trPr>
          <w:trHeight w:val="523"/>
        </w:trPr>
        <w:tc>
          <w:tcPr>
            <w:tcW w:w="4158" w:type="dxa"/>
            <w:shd w:val="clear" w:color="auto" w:fill="auto"/>
          </w:tcPr>
          <w:p w14:paraId="697E001E" w14:textId="77777777" w:rsidR="00C82794" w:rsidRPr="00DA4CEC" w:rsidRDefault="00C82794" w:rsidP="00A94EF3">
            <w:pPr>
              <w:suppressLineNumbers/>
              <w:spacing w:line="240" w:lineRule="auto"/>
              <w:jc w:val="center"/>
              <w:rPr>
                <w:rFonts w:eastAsia="ＭＳ 明朝"/>
                <w:lang w:eastAsia="ja-JP" w:bidi="ar-SA"/>
              </w:rPr>
            </w:pPr>
          </w:p>
          <w:p w14:paraId="21D76A1F" w14:textId="77777777" w:rsidR="00A94EF3" w:rsidRPr="0016315D" w:rsidRDefault="00A94EF3" w:rsidP="00A94EF3">
            <w:pPr>
              <w:suppressLineNumbers/>
              <w:spacing w:line="240" w:lineRule="auto"/>
              <w:jc w:val="center"/>
              <w:rPr>
                <w:rFonts w:eastAsia="ＭＳ 明朝"/>
                <w:vertAlign w:val="superscript"/>
                <w:lang w:eastAsia="ja-JP" w:bidi="ar-SA"/>
              </w:rPr>
            </w:pPr>
            <w:r w:rsidRPr="00DA4CEC">
              <w:rPr>
                <w:rFonts w:eastAsia="ＭＳ 明朝"/>
                <w:lang w:eastAsia="ja-JP" w:bidi="ar-SA"/>
              </w:rPr>
              <w:t>Positive Control</w:t>
            </w:r>
            <w:r w:rsidR="0016315D">
              <w:rPr>
                <w:rFonts w:eastAsia="ＭＳ 明朝"/>
                <w:lang w:eastAsia="ja-JP" w:bidi="ar-SA"/>
              </w:rPr>
              <w:t xml:space="preserve"> </w:t>
            </w:r>
            <w:r w:rsidR="0016315D">
              <w:rPr>
                <w:rFonts w:eastAsia="ＭＳ 明朝"/>
                <w:vertAlign w:val="superscript"/>
                <w:lang w:eastAsia="ja-JP" w:bidi="ar-SA"/>
              </w:rPr>
              <w:t>b</w:t>
            </w:r>
          </w:p>
        </w:tc>
        <w:tc>
          <w:tcPr>
            <w:tcW w:w="1975" w:type="dxa"/>
            <w:shd w:val="clear" w:color="auto" w:fill="auto"/>
            <w:vAlign w:val="bottom"/>
          </w:tcPr>
          <w:p w14:paraId="600EFE54" w14:textId="77777777" w:rsidR="00A94EF3" w:rsidRPr="00DA4CEC" w:rsidRDefault="00A94EF3" w:rsidP="00A94EF3">
            <w:pPr>
              <w:suppressLineNumbers/>
              <w:spacing w:line="240" w:lineRule="auto"/>
              <w:jc w:val="center"/>
              <w:rPr>
                <w:rFonts w:eastAsia="ＭＳ 明朝"/>
                <w:lang w:eastAsia="ja-JP" w:bidi="ar-SA"/>
              </w:rPr>
            </w:pPr>
            <w:r w:rsidRPr="00DA4CEC">
              <w:rPr>
                <w:color w:val="000000"/>
                <w:lang w:eastAsia="ja-JP" w:bidi="ar-SA"/>
              </w:rPr>
              <w:t>65 ± 9 *</w:t>
            </w:r>
          </w:p>
        </w:tc>
        <w:tc>
          <w:tcPr>
            <w:tcW w:w="2165" w:type="dxa"/>
            <w:gridSpan w:val="2"/>
            <w:shd w:val="clear" w:color="auto" w:fill="auto"/>
          </w:tcPr>
          <w:p w14:paraId="3A3FB8E7" w14:textId="77777777" w:rsidR="00BD19F9" w:rsidRPr="00DA4CEC" w:rsidRDefault="00BD19F9" w:rsidP="00A94EF3">
            <w:pPr>
              <w:suppressLineNumbers/>
              <w:spacing w:line="240" w:lineRule="auto"/>
              <w:jc w:val="center"/>
              <w:rPr>
                <w:color w:val="000000"/>
                <w:lang w:eastAsia="ja-JP" w:bidi="ar-SA"/>
              </w:rPr>
            </w:pPr>
          </w:p>
          <w:p w14:paraId="39A54E56" w14:textId="77777777" w:rsidR="00A94EF3" w:rsidRPr="00DA4CEC" w:rsidRDefault="0016315D" w:rsidP="00A94EF3">
            <w:pPr>
              <w:suppressLineNumbers/>
              <w:spacing w:line="240" w:lineRule="auto"/>
              <w:jc w:val="center"/>
              <w:rPr>
                <w:color w:val="000000"/>
                <w:lang w:eastAsia="ja-JP" w:bidi="ar-SA"/>
              </w:rPr>
            </w:pPr>
            <w:r>
              <w:rPr>
                <w:color w:val="000000"/>
                <w:lang w:eastAsia="ja-JP" w:bidi="ar-SA"/>
              </w:rPr>
              <w:t>-</w:t>
            </w:r>
          </w:p>
        </w:tc>
      </w:tr>
      <w:tr w:rsidR="00A94EF3" w:rsidRPr="00DA4CEC" w14:paraId="78F2C0C7" w14:textId="77777777" w:rsidTr="0016315D">
        <w:trPr>
          <w:trHeight w:val="508"/>
        </w:trPr>
        <w:tc>
          <w:tcPr>
            <w:tcW w:w="4158" w:type="dxa"/>
            <w:tcBorders>
              <w:bottom w:val="single" w:sz="4" w:space="0" w:color="auto"/>
            </w:tcBorders>
            <w:shd w:val="clear" w:color="auto" w:fill="auto"/>
          </w:tcPr>
          <w:p w14:paraId="41068A46" w14:textId="77777777" w:rsidR="00A94EF3" w:rsidRPr="00DA4CEC" w:rsidRDefault="00A94EF3" w:rsidP="00A94EF3">
            <w:pPr>
              <w:suppressLineNumbers/>
              <w:spacing w:line="240" w:lineRule="auto"/>
              <w:jc w:val="center"/>
              <w:rPr>
                <w:rFonts w:eastAsia="ＭＳ 明朝"/>
                <w:lang w:eastAsia="ja-JP" w:bidi="ar-SA"/>
              </w:rPr>
            </w:pPr>
          </w:p>
          <w:p w14:paraId="32F3668A" w14:textId="77777777" w:rsidR="00A94EF3" w:rsidRPr="0016315D" w:rsidRDefault="00C82794" w:rsidP="00A94EF3">
            <w:pPr>
              <w:suppressLineNumbers/>
              <w:spacing w:line="240" w:lineRule="auto"/>
              <w:jc w:val="center"/>
              <w:rPr>
                <w:rFonts w:eastAsia="ＭＳ 明朝"/>
                <w:vertAlign w:val="superscript"/>
                <w:lang w:eastAsia="ja-JP" w:bidi="ar-SA"/>
              </w:rPr>
            </w:pPr>
            <w:r w:rsidRPr="00DA4CEC">
              <w:rPr>
                <w:rFonts w:eastAsia="ＭＳ 明朝"/>
                <w:lang w:eastAsia="ja-JP" w:bidi="ar-SA"/>
              </w:rPr>
              <w:t>Negative Control</w:t>
            </w:r>
            <w:r w:rsidR="0016315D">
              <w:rPr>
                <w:rFonts w:eastAsia="ＭＳ 明朝"/>
                <w:lang w:eastAsia="ja-JP" w:bidi="ar-SA"/>
              </w:rPr>
              <w:t xml:space="preserve"> </w:t>
            </w:r>
            <w:r w:rsidR="0016315D">
              <w:rPr>
                <w:rFonts w:eastAsia="ＭＳ 明朝"/>
                <w:vertAlign w:val="superscript"/>
                <w:lang w:eastAsia="ja-JP" w:bidi="ar-SA"/>
              </w:rPr>
              <w:t>c</w:t>
            </w:r>
          </w:p>
        </w:tc>
        <w:tc>
          <w:tcPr>
            <w:tcW w:w="1975" w:type="dxa"/>
            <w:tcBorders>
              <w:bottom w:val="single" w:sz="4" w:space="0" w:color="auto"/>
            </w:tcBorders>
            <w:shd w:val="clear" w:color="auto" w:fill="auto"/>
            <w:vAlign w:val="bottom"/>
          </w:tcPr>
          <w:p w14:paraId="3EB17E12" w14:textId="77777777" w:rsidR="00A94EF3" w:rsidRPr="00DA4CEC" w:rsidRDefault="00A94EF3" w:rsidP="00A94EF3">
            <w:pPr>
              <w:suppressLineNumbers/>
              <w:spacing w:line="240" w:lineRule="auto"/>
              <w:jc w:val="center"/>
              <w:rPr>
                <w:rFonts w:eastAsia="ＭＳ 明朝"/>
                <w:lang w:eastAsia="ja-JP" w:bidi="ar-SA"/>
              </w:rPr>
            </w:pPr>
            <w:r w:rsidRPr="00DA4CEC">
              <w:rPr>
                <w:color w:val="000000"/>
                <w:lang w:eastAsia="ja-JP" w:bidi="ar-SA"/>
              </w:rPr>
              <w:t>3.3 ± 0.3 *</w:t>
            </w:r>
          </w:p>
        </w:tc>
        <w:tc>
          <w:tcPr>
            <w:tcW w:w="2165" w:type="dxa"/>
            <w:gridSpan w:val="2"/>
            <w:tcBorders>
              <w:bottom w:val="single" w:sz="4" w:space="0" w:color="auto"/>
            </w:tcBorders>
            <w:shd w:val="clear" w:color="auto" w:fill="auto"/>
          </w:tcPr>
          <w:p w14:paraId="3A3E4C62" w14:textId="77777777" w:rsidR="00BD19F9" w:rsidRPr="00DA4CEC" w:rsidRDefault="00BD19F9" w:rsidP="00A94EF3">
            <w:pPr>
              <w:suppressLineNumbers/>
              <w:spacing w:line="240" w:lineRule="auto"/>
              <w:jc w:val="center"/>
              <w:rPr>
                <w:color w:val="000000"/>
                <w:lang w:eastAsia="ja-JP" w:bidi="ar-SA"/>
              </w:rPr>
            </w:pPr>
          </w:p>
          <w:p w14:paraId="03052F43" w14:textId="77777777" w:rsidR="00A94EF3" w:rsidRPr="00DA4CEC" w:rsidRDefault="00A94EF3" w:rsidP="00A94EF3">
            <w:pPr>
              <w:suppressLineNumbers/>
              <w:spacing w:line="240" w:lineRule="auto"/>
              <w:jc w:val="center"/>
              <w:rPr>
                <w:color w:val="000000"/>
                <w:lang w:eastAsia="ja-JP" w:bidi="ar-SA"/>
              </w:rPr>
            </w:pPr>
            <w:r w:rsidRPr="00DA4CEC">
              <w:rPr>
                <w:color w:val="000000"/>
                <w:lang w:eastAsia="ja-JP" w:bidi="ar-SA"/>
              </w:rPr>
              <w:t>0.7 ± 0.2 *</w:t>
            </w:r>
          </w:p>
        </w:tc>
      </w:tr>
    </w:tbl>
    <w:p w14:paraId="13DA8F47" w14:textId="77777777" w:rsidR="004546C9" w:rsidRPr="00DA4CEC" w:rsidRDefault="00A94EF3" w:rsidP="00863D6C">
      <w:pPr>
        <w:pStyle w:val="Heading1"/>
      </w:pPr>
      <w:r w:rsidRPr="00DA4CEC">
        <w:t>*significant difference from the endogenous rate of respiration based on student T-test</w:t>
      </w:r>
    </w:p>
    <w:p w14:paraId="42B76073" w14:textId="77777777" w:rsidR="00C82794" w:rsidRPr="00DA4CEC" w:rsidRDefault="0016315D" w:rsidP="00C82794">
      <w:pPr>
        <w:spacing w:line="240" w:lineRule="auto"/>
      </w:pPr>
      <w:r>
        <w:rPr>
          <w:vertAlign w:val="superscript"/>
        </w:rPr>
        <w:t>a</w:t>
      </w:r>
      <w:r>
        <w:t xml:space="preserve"> -:</w:t>
      </w:r>
      <w:r w:rsidR="004546C9" w:rsidRPr="00DA4CEC">
        <w:t xml:space="preserve"> not determined</w:t>
      </w:r>
    </w:p>
    <w:p w14:paraId="0FFBE476" w14:textId="77777777" w:rsidR="00C82794" w:rsidRPr="00DA4CEC" w:rsidRDefault="0016315D" w:rsidP="00C82794">
      <w:pPr>
        <w:spacing w:line="240" w:lineRule="auto"/>
      </w:pPr>
      <w:r>
        <w:rPr>
          <w:vertAlign w:val="superscript"/>
        </w:rPr>
        <w:t xml:space="preserve">b </w:t>
      </w:r>
      <w:r w:rsidR="00C82794" w:rsidRPr="00DA4CEC">
        <w:t>Positive Control: Lactate (20 mM)</w:t>
      </w:r>
    </w:p>
    <w:p w14:paraId="4D783DAF" w14:textId="77777777" w:rsidR="00C82794" w:rsidRPr="00DA4CEC" w:rsidRDefault="0016315D" w:rsidP="00C82794">
      <w:pPr>
        <w:spacing w:line="240" w:lineRule="auto"/>
      </w:pPr>
      <w:r>
        <w:rPr>
          <w:vertAlign w:val="superscript"/>
        </w:rPr>
        <w:t xml:space="preserve">c </w:t>
      </w:r>
      <w:r w:rsidR="00C82794" w:rsidRPr="00DA4CEC">
        <w:t>Negative Control: Autoclaved (20 min)</w:t>
      </w:r>
    </w:p>
    <w:p w14:paraId="18E352F8" w14:textId="77777777" w:rsidR="00AD7E9E" w:rsidRPr="00DA4CEC" w:rsidRDefault="00A94EF3" w:rsidP="00A94EF3">
      <w:pPr>
        <w:keepNext/>
      </w:pPr>
      <w:r w:rsidRPr="00DA4CEC">
        <w:br w:type="page"/>
      </w:r>
    </w:p>
    <w:p w14:paraId="63F2B940" w14:textId="77777777" w:rsidR="00AD7E9E" w:rsidRPr="00DA4CEC" w:rsidRDefault="00AD7E9E" w:rsidP="00A94EF3">
      <w:pPr>
        <w:keepNext/>
      </w:pPr>
    </w:p>
    <w:p w14:paraId="71B9BF30" w14:textId="77777777" w:rsidR="00AD7E9E" w:rsidRPr="00DA4CEC" w:rsidRDefault="00AD7E9E" w:rsidP="00A94EF3">
      <w:pPr>
        <w:keepNext/>
      </w:pPr>
    </w:p>
    <w:p w14:paraId="7DE886B3" w14:textId="77777777" w:rsidR="00AD7E9E" w:rsidRPr="00DA4CEC" w:rsidRDefault="00AD7E9E" w:rsidP="00A94EF3">
      <w:pPr>
        <w:keepNext/>
      </w:pPr>
    </w:p>
    <w:p w14:paraId="5C848161" w14:textId="77777777" w:rsidR="00AD7E9E" w:rsidRPr="00DA4CEC" w:rsidRDefault="00AD7E9E" w:rsidP="00A94EF3">
      <w:pPr>
        <w:keepNext/>
      </w:pPr>
    </w:p>
    <w:p w14:paraId="626445EC" w14:textId="77777777" w:rsidR="00AD7E9E" w:rsidRPr="00DA4CEC" w:rsidRDefault="00983BA2" w:rsidP="00A94EF3">
      <w:pPr>
        <w:keepNext/>
      </w:pPr>
      <w:r>
        <w:rPr>
          <w:noProof/>
          <w:lang w:bidi="ar-SA"/>
        </w:rPr>
        <w:drawing>
          <wp:anchor distT="0" distB="0" distL="114300" distR="114300" simplePos="0" relativeHeight="251657216" behindDoc="0" locked="0" layoutInCell="1" allowOverlap="1" wp14:anchorId="0A8DC5E2" wp14:editId="7BED2858">
            <wp:simplePos x="0" y="0"/>
            <wp:positionH relativeFrom="column">
              <wp:posOffset>-228600</wp:posOffset>
            </wp:positionH>
            <wp:positionV relativeFrom="paragraph">
              <wp:posOffset>114300</wp:posOffset>
            </wp:positionV>
            <wp:extent cx="5483860" cy="3005455"/>
            <wp:effectExtent l="0" t="0" r="2540" b="0"/>
            <wp:wrapTight wrapText="bothSides">
              <wp:wrapPolygon edited="0">
                <wp:start x="0" y="0"/>
                <wp:lineTo x="0" y="21358"/>
                <wp:lineTo x="21510" y="21358"/>
                <wp:lineTo x="21510" y="0"/>
                <wp:lineTo x="0" y="0"/>
              </wp:wrapPolygon>
            </wp:wrapTight>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3860" cy="3005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mc:AlternateContent>
          <mc:Choice Requires="wps">
            <w:drawing>
              <wp:anchor distT="0" distB="0" distL="114300" distR="114300" simplePos="0" relativeHeight="251658240" behindDoc="0" locked="0" layoutInCell="1" allowOverlap="1" wp14:anchorId="5431AF7A" wp14:editId="1125D0BC">
                <wp:simplePos x="0" y="0"/>
                <wp:positionH relativeFrom="column">
                  <wp:posOffset>-228600</wp:posOffset>
                </wp:positionH>
                <wp:positionV relativeFrom="paragraph">
                  <wp:posOffset>3176905</wp:posOffset>
                </wp:positionV>
                <wp:extent cx="5483860" cy="1051560"/>
                <wp:effectExtent l="0" t="1905" r="2540" b="635"/>
                <wp:wrapTight wrapText="bothSides">
                  <wp:wrapPolygon edited="0">
                    <wp:start x="0" y="0"/>
                    <wp:lineTo x="21600" y="0"/>
                    <wp:lineTo x="21600" y="21600"/>
                    <wp:lineTo x="0" y="21600"/>
                    <wp:lineTo x="0" y="0"/>
                  </wp:wrapPolygon>
                </wp:wrapTight>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860" cy="1051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040B9" w14:textId="77777777" w:rsidR="00FA0133" w:rsidRPr="003D5188" w:rsidRDefault="00FA0133" w:rsidP="00A94EF3">
                            <w:pPr>
                              <w:pStyle w:val="Caption"/>
                              <w:rPr>
                                <w:szCs w:val="24"/>
                              </w:rPr>
                            </w:pPr>
                            <w:r w:rsidRPr="003D5188">
                              <w:rPr>
                                <w:szCs w:val="24"/>
                              </w:rPr>
                              <w:t xml:space="preserve">Figure </w:t>
                            </w:r>
                            <w:r w:rsidRPr="003D5188">
                              <w:rPr>
                                <w:szCs w:val="24"/>
                              </w:rPr>
                              <w:fldChar w:fldCharType="begin"/>
                            </w:r>
                            <w:r w:rsidRPr="003D5188">
                              <w:rPr>
                                <w:szCs w:val="24"/>
                              </w:rPr>
                              <w:instrText xml:space="preserve"> SEQ Figure \* ARABIC </w:instrText>
                            </w:r>
                            <w:r w:rsidRPr="003D5188">
                              <w:rPr>
                                <w:szCs w:val="24"/>
                              </w:rPr>
                              <w:fldChar w:fldCharType="separate"/>
                            </w:r>
                            <w:r>
                              <w:rPr>
                                <w:noProof/>
                                <w:szCs w:val="24"/>
                              </w:rPr>
                              <w:t>1</w:t>
                            </w:r>
                            <w:r w:rsidRPr="003D5188">
                              <w:rPr>
                                <w:szCs w:val="24"/>
                              </w:rPr>
                              <w:fldChar w:fldCharType="end"/>
                            </w:r>
                            <w:r>
                              <w:rPr>
                                <w:szCs w:val="24"/>
                              </w:rPr>
                              <w:t>.  The Transport</w:t>
                            </w:r>
                            <w:r w:rsidRPr="003D5188">
                              <w:rPr>
                                <w:szCs w:val="24"/>
                              </w:rPr>
                              <w:t xml:space="preserve"> of radioactively labeled sulfate in seawater to the interior of a sand patty. </w:t>
                            </w:r>
                            <w:r w:rsidRPr="003D5188">
                              <w:rPr>
                                <w:b w:val="0"/>
                                <w:szCs w:val="24"/>
                              </w:rPr>
                              <w:t xml:space="preserve"> False color autoradiographic images (left) illustrate the presence of the tracer in</w:t>
                            </w:r>
                            <w:r>
                              <w:rPr>
                                <w:b w:val="0"/>
                                <w:szCs w:val="24"/>
                              </w:rPr>
                              <w:t xml:space="preserve"> cross-sections of</w:t>
                            </w:r>
                            <w:r w:rsidRPr="003D5188">
                              <w:rPr>
                                <w:b w:val="0"/>
                                <w:szCs w:val="24"/>
                              </w:rPr>
                              <w:t xml:space="preserve"> dissected portions of a sand patty. The idealized depictions (center) illustrate the approximate proximal to distal locations of the dissection areas in the irregularly shaped sand patties. The distribution of radioactivity (right) in a 10 x 10 mm</w:t>
                            </w:r>
                            <w:r w:rsidRPr="003D5188">
                              <w:rPr>
                                <w:b w:val="0"/>
                                <w:szCs w:val="24"/>
                                <w:vertAlign w:val="superscript"/>
                              </w:rPr>
                              <w:t xml:space="preserve">2 </w:t>
                            </w:r>
                            <w:r w:rsidRPr="003D5188">
                              <w:rPr>
                                <w:b w:val="0"/>
                                <w:szCs w:val="24"/>
                              </w:rPr>
                              <w:t>interior portion of the sand patty sections is also shown.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17.95pt;margin-top:250.15pt;width:431.8pt;height:8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" filled="f" stroked="f">
                <v:textbox style="mso-fit-shape-to-text:t" inset="0,0,0,0">
                  <w:txbxContent>
                    <w:p w:rsidR="00FA0133" w:rsidRPr="003D5188" w:rsidRDefault="00FA0133" w:rsidP="00A94EF3">
                      <w:pPr>
                        <w:pStyle w:val="Caption"/>
                        <w:rPr>
                          <w:szCs w:val="24"/>
                        </w:rPr>
                      </w:pPr>
                      <w:r w:rsidRPr="003D5188">
                        <w:rPr>
                          <w:szCs w:val="24"/>
                        </w:rPr>
                        <w:t xml:space="preserve">Figure </w:t>
                      </w:r>
                      <w:r w:rsidRPr="003D5188">
                        <w:rPr>
                          <w:szCs w:val="24"/>
                        </w:rPr>
                        <w:fldChar w:fldCharType="begin"/>
                      </w:r>
                      <w:r w:rsidRPr="003D5188">
                        <w:rPr>
                          <w:szCs w:val="24"/>
                        </w:rPr>
                        <w:instrText xml:space="preserve"> SEQ Figure \* ARABIC </w:instrText>
                      </w:r>
                      <w:r w:rsidRPr="003D5188">
                        <w:rPr>
                          <w:szCs w:val="24"/>
                        </w:rPr>
                        <w:fldChar w:fldCharType="separate"/>
                      </w:r>
                      <w:r>
                        <w:rPr>
                          <w:noProof/>
                          <w:szCs w:val="24"/>
                        </w:rPr>
                        <w:t>1</w:t>
                      </w:r>
                      <w:r w:rsidRPr="003D5188">
                        <w:rPr>
                          <w:szCs w:val="24"/>
                        </w:rPr>
                        <w:fldChar w:fldCharType="end"/>
                      </w:r>
                      <w:r>
                        <w:rPr>
                          <w:szCs w:val="24"/>
                        </w:rPr>
                        <w:t>.  The Transport</w:t>
                      </w:r>
                      <w:r w:rsidRPr="003D5188">
                        <w:rPr>
                          <w:szCs w:val="24"/>
                        </w:rPr>
                        <w:t xml:space="preserve"> of radioactively labeled sulfate in seawater to the interior of a sand patty. </w:t>
                      </w:r>
                      <w:r w:rsidRPr="003D5188">
                        <w:rPr>
                          <w:b w:val="0"/>
                          <w:szCs w:val="24"/>
                        </w:rPr>
                        <w:t xml:space="preserve"> False color autoradiographic images (left) illustrate the presence of the tracer in</w:t>
                      </w:r>
                      <w:r>
                        <w:rPr>
                          <w:b w:val="0"/>
                          <w:szCs w:val="24"/>
                        </w:rPr>
                        <w:t xml:space="preserve"> cross-sections of</w:t>
                      </w:r>
                      <w:r w:rsidRPr="003D5188">
                        <w:rPr>
                          <w:b w:val="0"/>
                          <w:szCs w:val="24"/>
                        </w:rPr>
                        <w:t xml:space="preserve"> dissected portions of a sand patty. The idealized depictions (center) illustrate the approximate proximal to distal locations of the dissection areas in the irregularly shaped sand patties. The distribution of radioactivity (right) in a 10 x 10 mm</w:t>
                      </w:r>
                      <w:r w:rsidRPr="003D5188">
                        <w:rPr>
                          <w:b w:val="0"/>
                          <w:szCs w:val="24"/>
                          <w:vertAlign w:val="superscript"/>
                        </w:rPr>
                        <w:t xml:space="preserve">2 </w:t>
                      </w:r>
                      <w:r w:rsidRPr="003D5188">
                        <w:rPr>
                          <w:b w:val="0"/>
                          <w:szCs w:val="24"/>
                        </w:rPr>
                        <w:t>interior portion of the sand patty sections is also shown.</w:t>
                      </w:r>
                    </w:p>
                  </w:txbxContent>
                </v:textbox>
                <w10:wrap type="tight"/>
              </v:shape>
            </w:pict>
          </mc:Fallback>
        </mc:AlternateContent>
      </w:r>
      <w:r w:rsidR="00A94EF3" w:rsidRPr="00DA4CEC">
        <w:br w:type="page"/>
      </w:r>
      <w:bookmarkStart w:id="5" w:name="_Toc310579469"/>
      <w:bookmarkStart w:id="6" w:name="_Toc315681398"/>
    </w:p>
    <w:p w14:paraId="3BDB46DA" w14:textId="77777777" w:rsidR="00AD7E9E" w:rsidRPr="00DA4CEC" w:rsidRDefault="00AD7E9E" w:rsidP="00A94EF3">
      <w:pPr>
        <w:keepNext/>
      </w:pPr>
    </w:p>
    <w:p w14:paraId="6639E40C" w14:textId="77777777" w:rsidR="00AD7E9E" w:rsidRPr="00DA4CEC" w:rsidRDefault="00AD7E9E" w:rsidP="00A94EF3">
      <w:pPr>
        <w:keepNext/>
      </w:pPr>
    </w:p>
    <w:p w14:paraId="55EE8BCE" w14:textId="77777777" w:rsidR="00AD7E9E" w:rsidRPr="00DA4CEC" w:rsidRDefault="00AD7E9E" w:rsidP="00A94EF3">
      <w:pPr>
        <w:keepNext/>
      </w:pPr>
    </w:p>
    <w:p w14:paraId="3B7649CF" w14:textId="77777777" w:rsidR="00AD7E9E" w:rsidRPr="00DA4CEC" w:rsidRDefault="00AD7E9E" w:rsidP="00A94EF3">
      <w:pPr>
        <w:keepNext/>
      </w:pPr>
    </w:p>
    <w:p w14:paraId="43FA5A39" w14:textId="77777777" w:rsidR="00A94EF3" w:rsidRPr="00DA4CEC" w:rsidRDefault="00983BA2" w:rsidP="00A94EF3">
      <w:pPr>
        <w:keepNext/>
      </w:pPr>
      <w:r>
        <w:rPr>
          <w:noProof/>
          <w:sz w:val="20"/>
          <w:szCs w:val="20"/>
          <w:lang w:bidi="ar-SA"/>
        </w:rPr>
        <w:drawing>
          <wp:inline distT="0" distB="0" distL="0" distR="0" wp14:anchorId="72C587F9" wp14:editId="1EFE46D5">
            <wp:extent cx="5380990" cy="4034790"/>
            <wp:effectExtent l="0" t="0" r="29210" b="29210"/>
            <wp:docPr id="3"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664163E" w14:textId="77777777" w:rsidR="00A94EF3" w:rsidRPr="00DA4CEC" w:rsidRDefault="00A94EF3" w:rsidP="00A94EF3">
      <w:pPr>
        <w:pStyle w:val="Caption"/>
        <w:suppressLineNumbers/>
        <w:rPr>
          <w:sz w:val="20"/>
          <w:szCs w:val="20"/>
        </w:rPr>
      </w:pPr>
      <w:bookmarkStart w:id="7" w:name="_Toc341351086"/>
      <w:r w:rsidRPr="00DA4CEC">
        <w:t xml:space="preserve">Figure </w:t>
      </w:r>
      <w:fldSimple w:instr=" SEQ Figure \* ARABIC ">
        <w:r w:rsidR="001D5EB9" w:rsidRPr="00DA4CEC">
          <w:rPr>
            <w:noProof/>
          </w:rPr>
          <w:t>2</w:t>
        </w:r>
      </w:fldSimple>
      <w:r w:rsidRPr="00DA4CEC">
        <w:t xml:space="preserve">. </w:t>
      </w:r>
      <w:r w:rsidRPr="00DA4CEC">
        <w:rPr>
          <w:szCs w:val="24"/>
        </w:rPr>
        <w:t xml:space="preserve">Time course absorbance measurements at 254 nM on irradiated and non-irradiated water-soluble sand patty extracts. </w:t>
      </w:r>
      <w:r w:rsidRPr="00DA4CEC">
        <w:rPr>
          <w:b w:val="0"/>
          <w:szCs w:val="24"/>
        </w:rPr>
        <w:t>Standard deviations are indicated for triplicate measurements.</w:t>
      </w:r>
      <w:bookmarkEnd w:id="7"/>
      <w:r w:rsidR="008C1564" w:rsidRPr="00DA4CEC">
        <w:rPr>
          <w:b w:val="0"/>
          <w:szCs w:val="24"/>
        </w:rPr>
        <w:t xml:space="preserve"> After each time point, all seawater was removed from the sample and replaced with fresh seawater.</w:t>
      </w:r>
    </w:p>
    <w:p w14:paraId="78B64B0C" w14:textId="77777777" w:rsidR="00A94EF3" w:rsidRPr="00DA4CEC" w:rsidRDefault="00A94EF3" w:rsidP="00A94EF3">
      <w:pPr>
        <w:pStyle w:val="Caption"/>
      </w:pPr>
    </w:p>
    <w:p w14:paraId="0469F563" w14:textId="77777777" w:rsidR="00AD7E9E" w:rsidRPr="00DA4CEC" w:rsidRDefault="00A94EF3" w:rsidP="00A94EF3">
      <w:pPr>
        <w:keepNext/>
      </w:pPr>
      <w:r w:rsidRPr="00DA4CEC">
        <w:br w:type="page"/>
      </w:r>
    </w:p>
    <w:p w14:paraId="6FF78B56" w14:textId="77777777" w:rsidR="00AD7E9E" w:rsidRPr="00DA4CEC" w:rsidRDefault="00AD7E9E" w:rsidP="00A94EF3">
      <w:pPr>
        <w:keepNext/>
      </w:pPr>
    </w:p>
    <w:p w14:paraId="06A9612D" w14:textId="77777777" w:rsidR="00AD7E9E" w:rsidRPr="00DA4CEC" w:rsidRDefault="00AD7E9E" w:rsidP="00A94EF3">
      <w:pPr>
        <w:keepNext/>
      </w:pPr>
    </w:p>
    <w:p w14:paraId="2B01A370" w14:textId="77777777" w:rsidR="00AD7E9E" w:rsidRPr="00DA4CEC" w:rsidRDefault="00AD7E9E" w:rsidP="00A94EF3">
      <w:pPr>
        <w:keepNext/>
      </w:pPr>
    </w:p>
    <w:p w14:paraId="78E7B9FB" w14:textId="77777777" w:rsidR="00AD7E9E" w:rsidRPr="00DA4CEC" w:rsidRDefault="00AD7E9E" w:rsidP="00A94EF3">
      <w:pPr>
        <w:keepNext/>
      </w:pPr>
    </w:p>
    <w:p w14:paraId="6CD6B829" w14:textId="77777777" w:rsidR="00A94EF3" w:rsidRPr="00DA4CEC" w:rsidRDefault="00983BA2" w:rsidP="00A94EF3">
      <w:pPr>
        <w:keepNext/>
      </w:pPr>
      <w:r>
        <w:rPr>
          <w:noProof/>
          <w:lang w:bidi="ar-SA"/>
        </w:rPr>
        <w:drawing>
          <wp:inline distT="0" distB="0" distL="0" distR="0" wp14:anchorId="1BF01819" wp14:editId="64D92BD4">
            <wp:extent cx="5380990" cy="3660775"/>
            <wp:effectExtent l="0" t="0" r="29210" b="22225"/>
            <wp:docPr id="4"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463DEFB" w14:textId="77777777" w:rsidR="00BC2B66" w:rsidRPr="00DA4CEC" w:rsidRDefault="00A94EF3" w:rsidP="00BC2B66">
      <w:pPr>
        <w:pStyle w:val="Caption"/>
        <w:suppressLineNumbers/>
        <w:rPr>
          <w:b w:val="0"/>
          <w:szCs w:val="24"/>
        </w:rPr>
      </w:pPr>
      <w:bookmarkStart w:id="8" w:name="_Toc341351087"/>
      <w:r w:rsidRPr="00DA4CEC">
        <w:rPr>
          <w:szCs w:val="24"/>
        </w:rPr>
        <w:t xml:space="preserve">Figure </w:t>
      </w:r>
      <w:r w:rsidRPr="00DA4CEC">
        <w:rPr>
          <w:szCs w:val="24"/>
        </w:rPr>
        <w:fldChar w:fldCharType="begin"/>
      </w:r>
      <w:r w:rsidRPr="00DA4CEC">
        <w:rPr>
          <w:szCs w:val="24"/>
        </w:rPr>
        <w:instrText xml:space="preserve"> SEQ Figure \* ARABIC </w:instrText>
      </w:r>
      <w:r w:rsidRPr="00DA4CEC">
        <w:rPr>
          <w:szCs w:val="24"/>
        </w:rPr>
        <w:fldChar w:fldCharType="separate"/>
      </w:r>
      <w:r w:rsidR="001D5EB9" w:rsidRPr="00DA4CEC">
        <w:rPr>
          <w:noProof/>
          <w:szCs w:val="24"/>
        </w:rPr>
        <w:t>3</w:t>
      </w:r>
      <w:r w:rsidRPr="00DA4CEC">
        <w:rPr>
          <w:szCs w:val="24"/>
        </w:rPr>
        <w:fldChar w:fldCharType="end"/>
      </w:r>
      <w:r w:rsidRPr="00DA4CEC">
        <w:rPr>
          <w:szCs w:val="24"/>
        </w:rPr>
        <w:t>. Total amount of O</w:t>
      </w:r>
      <w:r w:rsidRPr="00DA4CEC">
        <w:rPr>
          <w:szCs w:val="24"/>
          <w:vertAlign w:val="subscript"/>
        </w:rPr>
        <w:t>2</w:t>
      </w:r>
      <w:r w:rsidRPr="00DA4CEC">
        <w:rPr>
          <w:szCs w:val="24"/>
        </w:rPr>
        <w:t xml:space="preserve"> consumed over the course of 68 hours in aerobic GoM sediment incubations. </w:t>
      </w:r>
      <w:bookmarkEnd w:id="8"/>
      <w:r w:rsidR="000207D2">
        <w:rPr>
          <w:b w:val="0"/>
          <w:szCs w:val="24"/>
        </w:rPr>
        <w:t>The s</w:t>
      </w:r>
      <w:r w:rsidR="000207D2" w:rsidRPr="00DA4CEC">
        <w:rPr>
          <w:b w:val="0"/>
          <w:szCs w:val="24"/>
        </w:rPr>
        <w:t>tandard deviation for triplicate measurement</w:t>
      </w:r>
      <w:r w:rsidR="000207D2">
        <w:rPr>
          <w:b w:val="0"/>
          <w:szCs w:val="24"/>
        </w:rPr>
        <w:t>s</w:t>
      </w:r>
      <w:r w:rsidR="000207D2" w:rsidRPr="00DA4CEC">
        <w:rPr>
          <w:b w:val="0"/>
          <w:szCs w:val="24"/>
        </w:rPr>
        <w:t xml:space="preserve"> are indicated</w:t>
      </w:r>
      <w:r w:rsidR="000207D2">
        <w:rPr>
          <w:b w:val="0"/>
          <w:szCs w:val="24"/>
        </w:rPr>
        <w:t xml:space="preserve"> by the error bars</w:t>
      </w:r>
      <w:r w:rsidR="000207D2" w:rsidRPr="00DA4CEC">
        <w:rPr>
          <w:b w:val="0"/>
          <w:szCs w:val="24"/>
        </w:rPr>
        <w:t xml:space="preserve">. </w:t>
      </w:r>
      <w:r w:rsidR="000207D2">
        <w:rPr>
          <w:b w:val="0"/>
          <w:szCs w:val="24"/>
        </w:rPr>
        <w:t xml:space="preserve"> Sterile controls were conducted in duplicate due to channel constraints on the instrument. In this case, the error bars represent ranges and are generally less than the size of the symbol. </w:t>
      </w:r>
      <w:r w:rsidR="000207D2" w:rsidRPr="00DA4CEC">
        <w:rPr>
          <w:b w:val="0"/>
          <w:szCs w:val="24"/>
        </w:rPr>
        <w:t>All incubations contain 10 g GoM</w:t>
      </w:r>
      <w:r w:rsidR="000207D2">
        <w:rPr>
          <w:b w:val="0"/>
          <w:szCs w:val="24"/>
        </w:rPr>
        <w:t xml:space="preserve"> sediment</w:t>
      </w:r>
      <w:r w:rsidR="000207D2" w:rsidRPr="00DA4CEC">
        <w:rPr>
          <w:b w:val="0"/>
          <w:szCs w:val="24"/>
        </w:rPr>
        <w:t xml:space="preserve"> and </w:t>
      </w:r>
      <w:r w:rsidR="000207D2">
        <w:rPr>
          <w:b w:val="0"/>
          <w:szCs w:val="24"/>
        </w:rPr>
        <w:t>were</w:t>
      </w:r>
      <w:r w:rsidR="000207D2" w:rsidRPr="00DA4CEC">
        <w:rPr>
          <w:b w:val="0"/>
          <w:szCs w:val="24"/>
        </w:rPr>
        <w:t xml:space="preserve"> amended with fluid as follows: endogenous incubations (∆) contain</w:t>
      </w:r>
      <w:r w:rsidR="000207D2">
        <w:rPr>
          <w:b w:val="0"/>
          <w:szCs w:val="24"/>
        </w:rPr>
        <w:t>ed</w:t>
      </w:r>
      <w:r w:rsidR="000207D2" w:rsidRPr="00DA4CEC">
        <w:rPr>
          <w:b w:val="0"/>
          <w:szCs w:val="24"/>
        </w:rPr>
        <w:t xml:space="preserve"> 10 mL of filter-sterilized GoM seawater</w:t>
      </w:r>
      <w:r w:rsidR="000207D2">
        <w:rPr>
          <w:b w:val="0"/>
          <w:szCs w:val="24"/>
        </w:rPr>
        <w:t>;</w:t>
      </w:r>
      <w:r w:rsidR="000207D2" w:rsidRPr="00DA4CEC">
        <w:rPr>
          <w:b w:val="0"/>
          <w:szCs w:val="24"/>
        </w:rPr>
        <w:t xml:space="preserve"> dark incubations (</w:t>
      </w:r>
      <w:r w:rsidR="000207D2" w:rsidRPr="00DA4CEC">
        <w:rPr>
          <w:rFonts w:ascii="Baoli SC Regular" w:hAnsi="Baoli SC Regular" w:cs="Baoli SC Regular"/>
          <w:b w:val="0"/>
          <w:szCs w:val="24"/>
        </w:rPr>
        <w:t>◇</w:t>
      </w:r>
      <w:r w:rsidR="000207D2" w:rsidRPr="00DA4CEC">
        <w:rPr>
          <w:b w:val="0"/>
          <w:szCs w:val="24"/>
        </w:rPr>
        <w:t xml:space="preserve">) contain 10 mL of </w:t>
      </w:r>
      <w:r w:rsidR="000207D2">
        <w:rPr>
          <w:b w:val="0"/>
          <w:szCs w:val="24"/>
        </w:rPr>
        <w:t>DOM</w:t>
      </w:r>
      <w:r w:rsidR="000207D2" w:rsidRPr="00DA4CEC">
        <w:rPr>
          <w:b w:val="0"/>
          <w:szCs w:val="24"/>
        </w:rPr>
        <w:t xml:space="preserve"> material</w:t>
      </w:r>
      <w:r w:rsidR="000207D2">
        <w:rPr>
          <w:b w:val="0"/>
          <w:szCs w:val="24"/>
        </w:rPr>
        <w:t xml:space="preserve"> leached from sand patties in the dark;</w:t>
      </w:r>
      <w:r w:rsidR="000207D2" w:rsidRPr="00DA4CEC">
        <w:rPr>
          <w:b w:val="0"/>
          <w:szCs w:val="24"/>
        </w:rPr>
        <w:t xml:space="preserve"> sand patty incubations (o) contain 10 mL of filter-sterilized GoM seawater and 1 g of crumbled </w:t>
      </w:r>
      <w:r w:rsidR="000207D2">
        <w:rPr>
          <w:b w:val="0"/>
          <w:szCs w:val="24"/>
        </w:rPr>
        <w:t xml:space="preserve">whole </w:t>
      </w:r>
      <w:r w:rsidR="000207D2" w:rsidRPr="00DA4CEC">
        <w:rPr>
          <w:b w:val="0"/>
          <w:szCs w:val="24"/>
        </w:rPr>
        <w:t>sand patty material</w:t>
      </w:r>
      <w:r w:rsidR="000207D2">
        <w:rPr>
          <w:b w:val="0"/>
          <w:szCs w:val="24"/>
        </w:rPr>
        <w:t>;</w:t>
      </w:r>
      <w:r w:rsidR="000207D2" w:rsidRPr="00DA4CEC">
        <w:rPr>
          <w:b w:val="0"/>
          <w:szCs w:val="24"/>
        </w:rPr>
        <w:t xml:space="preserve"> irradiated incubations (</w:t>
      </w:r>
      <w:r w:rsidR="000207D2" w:rsidRPr="00DA4CEC">
        <w:rPr>
          <w:rFonts w:ascii="Menlo Regular" w:hAnsi="Menlo Regular" w:cs="Menlo Regular"/>
          <w:b w:val="0"/>
          <w:szCs w:val="24"/>
        </w:rPr>
        <w:t>◻</w:t>
      </w:r>
      <w:r w:rsidR="000207D2" w:rsidRPr="00DA4CEC">
        <w:rPr>
          <w:rFonts w:ascii="Lucida Grande" w:hAnsi="Lucida Grande" w:cs="Lucida Grande"/>
          <w:b w:val="0"/>
          <w:szCs w:val="24"/>
        </w:rPr>
        <w:t>︎</w:t>
      </w:r>
      <w:r w:rsidR="000207D2" w:rsidRPr="00DA4CEC">
        <w:rPr>
          <w:b w:val="0"/>
          <w:szCs w:val="24"/>
        </w:rPr>
        <w:t>) contain</w:t>
      </w:r>
      <w:r w:rsidR="000207D2">
        <w:rPr>
          <w:b w:val="0"/>
          <w:szCs w:val="24"/>
        </w:rPr>
        <w:t>ed</w:t>
      </w:r>
      <w:r w:rsidR="000207D2" w:rsidRPr="00DA4CEC">
        <w:rPr>
          <w:b w:val="0"/>
          <w:szCs w:val="24"/>
        </w:rPr>
        <w:t xml:space="preserve"> 10 mL of </w:t>
      </w:r>
      <w:r w:rsidR="000207D2">
        <w:rPr>
          <w:b w:val="0"/>
          <w:szCs w:val="24"/>
        </w:rPr>
        <w:t>DOM</w:t>
      </w:r>
      <w:r w:rsidR="000207D2" w:rsidRPr="00DA4CEC">
        <w:rPr>
          <w:b w:val="0"/>
          <w:szCs w:val="24"/>
        </w:rPr>
        <w:t xml:space="preserve"> material</w:t>
      </w:r>
      <w:r w:rsidR="000207D2">
        <w:rPr>
          <w:b w:val="0"/>
          <w:szCs w:val="24"/>
        </w:rPr>
        <w:t xml:space="preserve"> leached from sand patties following irradiation;</w:t>
      </w:r>
      <w:r w:rsidR="000207D2" w:rsidRPr="00DA4CEC">
        <w:rPr>
          <w:b w:val="0"/>
          <w:szCs w:val="24"/>
        </w:rPr>
        <w:t xml:space="preserve"> and sterile incubations (</w:t>
      </w:r>
      <w:r w:rsidR="000207D2" w:rsidRPr="00DA4CEC">
        <w:rPr>
          <w:rFonts w:ascii="Baoli SC Regular" w:hAnsi="Baoli SC Regular" w:cs="Baoli SC Regular"/>
          <w:b w:val="0"/>
          <w:szCs w:val="24"/>
        </w:rPr>
        <w:t>◇</w:t>
      </w:r>
      <w:r w:rsidR="000207D2" w:rsidRPr="00DA4CEC">
        <w:rPr>
          <w:b w:val="0"/>
          <w:szCs w:val="24"/>
        </w:rPr>
        <w:t>) contain</w:t>
      </w:r>
      <w:r w:rsidR="000207D2">
        <w:rPr>
          <w:b w:val="0"/>
          <w:szCs w:val="24"/>
        </w:rPr>
        <w:t>ed</w:t>
      </w:r>
      <w:r w:rsidR="000207D2" w:rsidRPr="00DA4CEC">
        <w:rPr>
          <w:b w:val="0"/>
          <w:szCs w:val="24"/>
        </w:rPr>
        <w:t xml:space="preserve"> 10 mL of GoM seawater </w:t>
      </w:r>
      <w:r w:rsidR="000207D2">
        <w:rPr>
          <w:b w:val="0"/>
          <w:szCs w:val="24"/>
        </w:rPr>
        <w:t>that was</w:t>
      </w:r>
      <w:r w:rsidR="000207D2" w:rsidRPr="00DA4CEC">
        <w:rPr>
          <w:b w:val="0"/>
          <w:szCs w:val="24"/>
        </w:rPr>
        <w:t xml:space="preserve"> autoclaved prior to </w:t>
      </w:r>
      <w:r w:rsidR="000207D2">
        <w:rPr>
          <w:b w:val="0"/>
          <w:szCs w:val="24"/>
        </w:rPr>
        <w:t xml:space="preserve">the </w:t>
      </w:r>
      <w:r w:rsidR="000207D2" w:rsidRPr="00DA4CEC">
        <w:rPr>
          <w:b w:val="0"/>
          <w:szCs w:val="24"/>
        </w:rPr>
        <w:t>incubation.</w:t>
      </w:r>
    </w:p>
    <w:p w14:paraId="066DEDD2" w14:textId="77777777" w:rsidR="00AD7E9E" w:rsidRPr="00DA4CEC" w:rsidRDefault="00A94EF3" w:rsidP="00A94EF3">
      <w:pPr>
        <w:keepNext/>
      </w:pPr>
      <w:r w:rsidRPr="00DA4CEC">
        <w:br w:type="page"/>
      </w:r>
    </w:p>
    <w:p w14:paraId="42495254" w14:textId="77777777" w:rsidR="00AD7E9E" w:rsidRPr="00DA4CEC" w:rsidRDefault="00AD7E9E" w:rsidP="00A94EF3">
      <w:pPr>
        <w:keepNext/>
      </w:pPr>
    </w:p>
    <w:p w14:paraId="11E82D78" w14:textId="77777777" w:rsidR="00AD7E9E" w:rsidRPr="00DA4CEC" w:rsidRDefault="00AD7E9E" w:rsidP="00A94EF3">
      <w:pPr>
        <w:keepNext/>
      </w:pPr>
    </w:p>
    <w:p w14:paraId="13251CFA" w14:textId="77777777" w:rsidR="00AD7E9E" w:rsidRPr="00DA4CEC" w:rsidRDefault="00AD7E9E" w:rsidP="00A94EF3">
      <w:pPr>
        <w:keepNext/>
      </w:pPr>
    </w:p>
    <w:p w14:paraId="11D56822" w14:textId="77777777" w:rsidR="00AD7E9E" w:rsidRPr="00DA4CEC" w:rsidRDefault="00AD7E9E" w:rsidP="00A94EF3">
      <w:pPr>
        <w:keepNext/>
      </w:pPr>
    </w:p>
    <w:p w14:paraId="43089480" w14:textId="77777777" w:rsidR="00A94EF3" w:rsidRPr="00DA4CEC" w:rsidRDefault="00983BA2" w:rsidP="00A94EF3">
      <w:pPr>
        <w:keepNext/>
      </w:pPr>
      <w:r>
        <w:rPr>
          <w:noProof/>
          <w:lang w:bidi="ar-SA"/>
        </w:rPr>
        <w:drawing>
          <wp:inline distT="0" distB="0" distL="0" distR="0" wp14:anchorId="7A735F6B" wp14:editId="3720924B">
            <wp:extent cx="5393055" cy="4046855"/>
            <wp:effectExtent l="0" t="0" r="0" b="0"/>
            <wp:docPr id="5" name="Picture 5" descr="FTICR 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TICR Fig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3055" cy="4046855"/>
                    </a:xfrm>
                    <a:prstGeom prst="rect">
                      <a:avLst/>
                    </a:prstGeom>
                    <a:noFill/>
                    <a:ln>
                      <a:noFill/>
                    </a:ln>
                  </pic:spPr>
                </pic:pic>
              </a:graphicData>
            </a:graphic>
          </wp:inline>
        </w:drawing>
      </w:r>
    </w:p>
    <w:p w14:paraId="3B35DC86" w14:textId="77777777" w:rsidR="00A94EF3" w:rsidRPr="00DA4CEC" w:rsidRDefault="00A94EF3" w:rsidP="00A94EF3">
      <w:pPr>
        <w:pStyle w:val="Caption"/>
        <w:suppressLineNumbers/>
        <w:rPr>
          <w:b w:val="0"/>
          <w:szCs w:val="24"/>
        </w:rPr>
      </w:pPr>
      <w:bookmarkStart w:id="9" w:name="_Toc341351088"/>
      <w:r w:rsidRPr="00DA4CEC">
        <w:rPr>
          <w:szCs w:val="24"/>
        </w:rPr>
        <w:t xml:space="preserve">Figure </w:t>
      </w:r>
      <w:r w:rsidRPr="00DA4CEC">
        <w:rPr>
          <w:szCs w:val="24"/>
        </w:rPr>
        <w:fldChar w:fldCharType="begin"/>
      </w:r>
      <w:r w:rsidRPr="00DA4CEC">
        <w:rPr>
          <w:szCs w:val="24"/>
        </w:rPr>
        <w:instrText xml:space="preserve"> SEQ Figure \* ARABIC </w:instrText>
      </w:r>
      <w:r w:rsidRPr="00DA4CEC">
        <w:rPr>
          <w:szCs w:val="24"/>
        </w:rPr>
        <w:fldChar w:fldCharType="separate"/>
      </w:r>
      <w:r w:rsidR="001D5EB9" w:rsidRPr="00DA4CEC">
        <w:rPr>
          <w:noProof/>
          <w:szCs w:val="24"/>
        </w:rPr>
        <w:t>4</w:t>
      </w:r>
      <w:r w:rsidRPr="00DA4CEC">
        <w:rPr>
          <w:szCs w:val="24"/>
        </w:rPr>
        <w:fldChar w:fldCharType="end"/>
      </w:r>
      <w:r w:rsidRPr="00DA4CEC">
        <w:rPr>
          <w:szCs w:val="24"/>
        </w:rPr>
        <w:t>.</w:t>
      </w:r>
      <w:r w:rsidRPr="00DA4CEC">
        <w:rPr>
          <w:color w:val="000000"/>
          <w:szCs w:val="24"/>
        </w:rPr>
        <w:t xml:space="preserve"> </w:t>
      </w:r>
      <w:r w:rsidRPr="00DA4CEC">
        <w:rPr>
          <w:szCs w:val="24"/>
        </w:rPr>
        <w:t xml:space="preserve">Subtracted Van Krevelen plots for aerobic biodegradation incubations. </w:t>
      </w:r>
      <w:bookmarkEnd w:id="9"/>
      <w:r w:rsidR="00562A90" w:rsidRPr="00DA4CEC">
        <w:rPr>
          <w:b w:val="0"/>
          <w:szCs w:val="24"/>
        </w:rPr>
        <w:t>Subtracted Van Krevelen plots were generated by removing molecular formulas common to both T</w:t>
      </w:r>
      <w:r w:rsidR="00562A90" w:rsidRPr="00DA4CEC">
        <w:rPr>
          <w:b w:val="0"/>
          <w:szCs w:val="24"/>
          <w:vertAlign w:val="subscript"/>
        </w:rPr>
        <w:t>0</w:t>
      </w:r>
      <w:r w:rsidR="00562A90" w:rsidRPr="00DA4CEC">
        <w:rPr>
          <w:b w:val="0"/>
          <w:szCs w:val="24"/>
        </w:rPr>
        <w:t xml:space="preserve"> and T</w:t>
      </w:r>
      <w:r w:rsidR="00562A90" w:rsidRPr="00DA4CEC">
        <w:rPr>
          <w:b w:val="0"/>
          <w:szCs w:val="24"/>
          <w:vertAlign w:val="subscript"/>
        </w:rPr>
        <w:t>Final</w:t>
      </w:r>
      <w:r w:rsidR="00562A90" w:rsidRPr="00DA4CEC">
        <w:rPr>
          <w:b w:val="0"/>
          <w:szCs w:val="24"/>
        </w:rPr>
        <w:t>,</w:t>
      </w:r>
      <w:r w:rsidR="00562A90" w:rsidRPr="00DA4CEC">
        <w:rPr>
          <w:b w:val="0"/>
          <w:szCs w:val="24"/>
          <w:vertAlign w:val="subscript"/>
        </w:rPr>
        <w:t xml:space="preserve"> </w:t>
      </w:r>
      <w:r w:rsidR="00562A90" w:rsidRPr="00DA4CEC">
        <w:rPr>
          <w:b w:val="0"/>
          <w:szCs w:val="24"/>
        </w:rPr>
        <w:t>revealing only those unique molecular formulas present prior to microbial processing (A and C) or those newly formed after microbial processing (B and D).</w:t>
      </w:r>
    </w:p>
    <w:p w14:paraId="1C59DB58" w14:textId="77777777" w:rsidR="00A94EF3" w:rsidRPr="00DA4CEC" w:rsidRDefault="00A94EF3" w:rsidP="00A94EF3">
      <w:pPr>
        <w:keepNext/>
      </w:pPr>
      <w:r w:rsidRPr="00DA4CEC">
        <w:br w:type="page"/>
      </w:r>
      <w:r w:rsidR="00983BA2">
        <w:rPr>
          <w:noProof/>
          <w:lang w:bidi="ar-SA"/>
        </w:rPr>
        <w:lastRenderedPageBreak/>
        <w:drawing>
          <wp:inline distT="0" distB="0" distL="0" distR="0" wp14:anchorId="77991BFD" wp14:editId="47D3A375">
            <wp:extent cx="5393055" cy="5994400"/>
            <wp:effectExtent l="0" t="0" r="0" b="0"/>
            <wp:docPr id="6" name="Picture 6" descr="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93055" cy="5994400"/>
                    </a:xfrm>
                    <a:prstGeom prst="rect">
                      <a:avLst/>
                    </a:prstGeom>
                    <a:noFill/>
                    <a:ln>
                      <a:noFill/>
                    </a:ln>
                  </pic:spPr>
                </pic:pic>
              </a:graphicData>
            </a:graphic>
          </wp:inline>
        </w:drawing>
      </w:r>
    </w:p>
    <w:p w14:paraId="3E409091" w14:textId="77777777" w:rsidR="00A94EF3" w:rsidRPr="00DA4CEC" w:rsidRDefault="00A94EF3" w:rsidP="00A94EF3">
      <w:pPr>
        <w:pStyle w:val="Caption"/>
        <w:rPr>
          <w:b w:val="0"/>
          <w:bCs w:val="0"/>
          <w:color w:val="000000"/>
          <w:szCs w:val="24"/>
        </w:rPr>
      </w:pPr>
      <w:bookmarkStart w:id="10" w:name="_Toc341351089"/>
      <w:r w:rsidRPr="00DA4CEC">
        <w:rPr>
          <w:szCs w:val="24"/>
        </w:rPr>
        <w:t xml:space="preserve">Figure </w:t>
      </w:r>
      <w:r w:rsidRPr="00DA4CEC">
        <w:rPr>
          <w:szCs w:val="24"/>
        </w:rPr>
        <w:fldChar w:fldCharType="begin"/>
      </w:r>
      <w:r w:rsidRPr="00DA4CEC">
        <w:rPr>
          <w:szCs w:val="24"/>
        </w:rPr>
        <w:instrText xml:space="preserve"> SEQ Figure \* ARABIC </w:instrText>
      </w:r>
      <w:r w:rsidRPr="00DA4CEC">
        <w:rPr>
          <w:szCs w:val="24"/>
        </w:rPr>
        <w:fldChar w:fldCharType="separate"/>
      </w:r>
      <w:r w:rsidR="001D5EB9" w:rsidRPr="00DA4CEC">
        <w:rPr>
          <w:noProof/>
          <w:szCs w:val="24"/>
        </w:rPr>
        <w:t>5</w:t>
      </w:r>
      <w:r w:rsidRPr="00DA4CEC">
        <w:rPr>
          <w:szCs w:val="24"/>
        </w:rPr>
        <w:fldChar w:fldCharType="end"/>
      </w:r>
      <w:r w:rsidRPr="00DA4CEC">
        <w:rPr>
          <w:szCs w:val="24"/>
        </w:rPr>
        <w:t>.</w:t>
      </w:r>
      <w:r w:rsidRPr="00DA4CEC">
        <w:rPr>
          <w:color w:val="000000"/>
          <w:szCs w:val="24"/>
        </w:rPr>
        <w:t xml:space="preserve"> Dissolved organic carbon and fluorescence indices for T</w:t>
      </w:r>
      <w:r w:rsidRPr="00DA4CEC">
        <w:rPr>
          <w:color w:val="000000"/>
          <w:szCs w:val="24"/>
          <w:vertAlign w:val="subscript"/>
        </w:rPr>
        <w:t>0</w:t>
      </w:r>
      <w:r w:rsidRPr="00DA4CEC">
        <w:rPr>
          <w:color w:val="000000"/>
          <w:szCs w:val="24"/>
        </w:rPr>
        <w:t xml:space="preserve"> and T</w:t>
      </w:r>
      <w:r w:rsidRPr="00DA4CEC">
        <w:rPr>
          <w:color w:val="000000"/>
          <w:szCs w:val="24"/>
          <w:vertAlign w:val="subscript"/>
        </w:rPr>
        <w:t xml:space="preserve">Final </w:t>
      </w:r>
      <w:r w:rsidRPr="00DA4CEC">
        <w:rPr>
          <w:bCs w:val="0"/>
          <w:color w:val="000000"/>
          <w:szCs w:val="24"/>
        </w:rPr>
        <w:t xml:space="preserve">aerobic incubations. </w:t>
      </w:r>
      <w:r w:rsidRPr="00DA4CEC">
        <w:rPr>
          <w:b w:val="0"/>
          <w:bCs w:val="0"/>
          <w:color w:val="000000"/>
          <w:szCs w:val="24"/>
        </w:rPr>
        <w:t>Bar charts were generated by measuring DOC (A) and fluorescence indices for Spectral Slopes (S</w:t>
      </w:r>
      <w:r w:rsidRPr="00DA4CEC">
        <w:rPr>
          <w:b w:val="0"/>
          <w:bCs w:val="0"/>
          <w:color w:val="000000"/>
          <w:szCs w:val="24"/>
          <w:vertAlign w:val="subscript"/>
        </w:rPr>
        <w:t>275-285</w:t>
      </w:r>
      <w:r w:rsidRPr="00DA4CEC">
        <w:rPr>
          <w:b w:val="0"/>
          <w:bCs w:val="0"/>
          <w:color w:val="000000"/>
          <w:szCs w:val="24"/>
        </w:rPr>
        <w:t>) (B), and (S</w:t>
      </w:r>
      <w:r w:rsidRPr="00DA4CEC">
        <w:rPr>
          <w:b w:val="0"/>
          <w:bCs w:val="0"/>
          <w:color w:val="000000"/>
          <w:szCs w:val="24"/>
          <w:vertAlign w:val="subscript"/>
        </w:rPr>
        <w:t>350-400</w:t>
      </w:r>
      <w:r w:rsidRPr="00DA4CEC">
        <w:rPr>
          <w:b w:val="0"/>
          <w:bCs w:val="0"/>
          <w:color w:val="000000"/>
          <w:szCs w:val="24"/>
        </w:rPr>
        <w:t>) (C), Slope Ratio (S</w:t>
      </w:r>
      <w:r w:rsidRPr="00DA4CEC">
        <w:rPr>
          <w:b w:val="0"/>
          <w:bCs w:val="0"/>
          <w:color w:val="000000"/>
          <w:szCs w:val="24"/>
          <w:vertAlign w:val="subscript"/>
        </w:rPr>
        <w:t>R</w:t>
      </w:r>
      <w:r w:rsidRPr="00DA4CEC">
        <w:rPr>
          <w:b w:val="0"/>
          <w:bCs w:val="0"/>
          <w:color w:val="000000"/>
          <w:szCs w:val="24"/>
        </w:rPr>
        <w:t>) (D), Humification Index (HIX) (E), and Freshness Index (</w:t>
      </w:r>
      <w:r w:rsidRPr="00DA4CEC">
        <w:rPr>
          <w:b w:val="0"/>
          <w:bCs w:val="0"/>
          <w:color w:val="000000"/>
          <w:szCs w:val="24"/>
        </w:rPr>
        <w:sym w:font="Symbol" w:char="F062"/>
      </w:r>
      <w:r w:rsidRPr="00DA4CEC">
        <w:rPr>
          <w:b w:val="0"/>
          <w:bCs w:val="0"/>
          <w:color w:val="000000"/>
          <w:szCs w:val="24"/>
        </w:rPr>
        <w:t>:</w:t>
      </w:r>
      <w:r w:rsidRPr="00DA4CEC">
        <w:rPr>
          <w:b w:val="0"/>
          <w:bCs w:val="0"/>
          <w:color w:val="000000"/>
          <w:szCs w:val="24"/>
        </w:rPr>
        <w:sym w:font="Symbol" w:char="F061"/>
      </w:r>
      <w:r w:rsidRPr="00DA4CEC">
        <w:rPr>
          <w:b w:val="0"/>
          <w:bCs w:val="0"/>
          <w:color w:val="000000"/>
          <w:szCs w:val="24"/>
        </w:rPr>
        <w:t>) (F). Standard deviations are indicated for triplicate native, dark, and irradiated incubations, and sterile samples represent single replicates.</w:t>
      </w:r>
      <w:bookmarkEnd w:id="10"/>
    </w:p>
    <w:p w14:paraId="4DF6DD19" w14:textId="77777777" w:rsidR="00AD7E9E" w:rsidRPr="00DA4CEC" w:rsidRDefault="00A94EF3" w:rsidP="00A94EF3">
      <w:pPr>
        <w:keepNext/>
      </w:pPr>
      <w:r w:rsidRPr="00DA4CEC">
        <w:br w:type="page"/>
      </w:r>
    </w:p>
    <w:p w14:paraId="128CDA6E" w14:textId="77777777" w:rsidR="00AD7E9E" w:rsidRPr="00DA4CEC" w:rsidRDefault="00AD7E9E" w:rsidP="00A94EF3">
      <w:pPr>
        <w:keepNext/>
      </w:pPr>
    </w:p>
    <w:p w14:paraId="40A47957" w14:textId="77777777" w:rsidR="00AD7E9E" w:rsidRPr="00DA4CEC" w:rsidRDefault="00AD7E9E" w:rsidP="00A94EF3">
      <w:pPr>
        <w:keepNext/>
      </w:pPr>
    </w:p>
    <w:p w14:paraId="00CFCE1C" w14:textId="77777777" w:rsidR="00AD7E9E" w:rsidRPr="00DA4CEC" w:rsidRDefault="00AD7E9E" w:rsidP="00A94EF3">
      <w:pPr>
        <w:keepNext/>
      </w:pPr>
    </w:p>
    <w:p w14:paraId="3F22B0EF" w14:textId="77777777" w:rsidR="00642FEC" w:rsidRPr="00DA4CEC" w:rsidRDefault="00983BA2" w:rsidP="00642FEC">
      <w:pPr>
        <w:keepNext/>
      </w:pPr>
      <w:r>
        <w:rPr>
          <w:noProof/>
          <w:sz w:val="20"/>
          <w:szCs w:val="20"/>
          <w:lang w:bidi="ar-SA"/>
        </w:rPr>
        <w:drawing>
          <wp:inline distT="0" distB="0" distL="0" distR="0" wp14:anchorId="1D32A4BC" wp14:editId="3AE682FC">
            <wp:extent cx="5486400" cy="4114800"/>
            <wp:effectExtent l="0" t="0" r="0" b="0"/>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30EA9379" w14:textId="77777777" w:rsidR="00642FEC" w:rsidRPr="00DA4CEC" w:rsidRDefault="00642FEC" w:rsidP="00642FEC">
      <w:pPr>
        <w:pStyle w:val="Caption"/>
        <w:suppressLineNumbers/>
        <w:rPr>
          <w:b w:val="0"/>
          <w:szCs w:val="24"/>
        </w:rPr>
      </w:pPr>
      <w:r w:rsidRPr="00DA4CEC">
        <w:rPr>
          <w:szCs w:val="24"/>
        </w:rPr>
        <w:t xml:space="preserve">Supplemental 1. Van Krevelen and subtracted Van Krevelen plots for aerobic biodegradation incubations. </w:t>
      </w:r>
      <w:r w:rsidRPr="00DA4CEC">
        <w:rPr>
          <w:b w:val="0"/>
          <w:szCs w:val="24"/>
        </w:rPr>
        <w:t xml:space="preserve">Subtracted Van Krevelen plots representing the oxygen/carbon ratio on the x-axis (O/C) and the hydrogen/carbon ratio on the y-axis (H/C) were generated by removing compounds common to both T-0 and T-Final plots, leaving only those present in T-0 samples or those present only in T-Final samples. </w:t>
      </w:r>
      <w:r w:rsidR="005A51AF" w:rsidRPr="00DA4CEC">
        <w:rPr>
          <w:b w:val="0"/>
          <w:szCs w:val="24"/>
        </w:rPr>
        <w:t xml:space="preserve">Panels K, L, O, and P are the same as the data in Figure 4, but are included here for easy comparison. </w:t>
      </w:r>
    </w:p>
    <w:p w14:paraId="3228554F" w14:textId="77777777" w:rsidR="00AD7E9E" w:rsidRPr="00DA4CEC" w:rsidRDefault="00AD7E9E" w:rsidP="00A94EF3">
      <w:pPr>
        <w:keepNext/>
      </w:pPr>
    </w:p>
    <w:p w14:paraId="505D950F" w14:textId="77777777" w:rsidR="0055733E" w:rsidRPr="00DA4CEC" w:rsidRDefault="0055733E" w:rsidP="00A94EF3">
      <w:pPr>
        <w:keepNext/>
        <w:rPr>
          <w:noProof/>
          <w:sz w:val="20"/>
          <w:szCs w:val="20"/>
          <w:lang w:bidi="ar-SA"/>
        </w:rPr>
      </w:pPr>
    </w:p>
    <w:p w14:paraId="312C46BA" w14:textId="77777777" w:rsidR="0055733E" w:rsidRPr="00DA4CEC" w:rsidRDefault="0055733E" w:rsidP="00A94EF3">
      <w:pPr>
        <w:keepNext/>
        <w:rPr>
          <w:noProof/>
          <w:sz w:val="20"/>
          <w:szCs w:val="20"/>
          <w:lang w:bidi="ar-SA"/>
        </w:rPr>
      </w:pPr>
    </w:p>
    <w:p w14:paraId="0AA22517" w14:textId="77777777" w:rsidR="0055733E" w:rsidRPr="00DA4CEC" w:rsidRDefault="0055733E" w:rsidP="00A94EF3">
      <w:pPr>
        <w:keepNext/>
        <w:rPr>
          <w:noProof/>
          <w:sz w:val="20"/>
          <w:szCs w:val="20"/>
          <w:lang w:bidi="ar-SA"/>
        </w:rPr>
      </w:pPr>
    </w:p>
    <w:p w14:paraId="09759CD4" w14:textId="77777777" w:rsidR="0055733E" w:rsidRPr="00DA4CEC" w:rsidRDefault="0055733E" w:rsidP="00A94EF3">
      <w:pPr>
        <w:keepNext/>
        <w:rPr>
          <w:noProof/>
          <w:sz w:val="20"/>
          <w:szCs w:val="20"/>
          <w:lang w:bidi="ar-SA"/>
        </w:rPr>
      </w:pPr>
    </w:p>
    <w:p w14:paraId="000E30B5" w14:textId="77777777" w:rsidR="00A94EF3" w:rsidRPr="00DA4CEC" w:rsidRDefault="00983BA2" w:rsidP="00A94EF3">
      <w:pPr>
        <w:keepNext/>
      </w:pPr>
      <w:r>
        <w:rPr>
          <w:noProof/>
          <w:sz w:val="20"/>
          <w:szCs w:val="20"/>
          <w:lang w:bidi="ar-SA"/>
        </w:rPr>
        <w:drawing>
          <wp:inline distT="0" distB="0" distL="0" distR="0" wp14:anchorId="383BCA59" wp14:editId="68CE9923">
            <wp:extent cx="5380990" cy="4034790"/>
            <wp:effectExtent l="0" t="0" r="29210" b="29210"/>
            <wp:docPr id="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B6F525E" w14:textId="77777777" w:rsidR="00A94EF3" w:rsidRPr="00DA4CEC" w:rsidRDefault="00A94EF3" w:rsidP="00A94EF3">
      <w:pPr>
        <w:pStyle w:val="Caption"/>
      </w:pPr>
      <w:r w:rsidRPr="00DA4CEC">
        <w:t>Suppleme</w:t>
      </w:r>
      <w:r w:rsidR="00642FEC" w:rsidRPr="00DA4CEC">
        <w:t>ntal 2</w:t>
      </w:r>
      <w:r w:rsidRPr="00DA4CEC">
        <w:t xml:space="preserve">. Absorbance scans on photooxidized and control sand patty organic matter at 12 and 24 hours. </w:t>
      </w:r>
    </w:p>
    <w:p w14:paraId="38B7A5FC" w14:textId="77777777" w:rsidR="00AD7E9E" w:rsidRPr="00DA4CEC" w:rsidRDefault="00A94EF3" w:rsidP="00A94EF3">
      <w:pPr>
        <w:keepNext/>
      </w:pPr>
      <w:r w:rsidRPr="00DA4CEC">
        <w:br w:type="page"/>
      </w:r>
    </w:p>
    <w:p w14:paraId="786780BF" w14:textId="77777777" w:rsidR="00AD7E9E" w:rsidRPr="00DA4CEC" w:rsidRDefault="00AD7E9E" w:rsidP="00A94EF3">
      <w:pPr>
        <w:keepNext/>
      </w:pPr>
    </w:p>
    <w:p w14:paraId="35C3152D" w14:textId="77777777" w:rsidR="00DD1530" w:rsidRPr="00DA4CEC" w:rsidRDefault="00DD1530" w:rsidP="00863D6C">
      <w:pPr>
        <w:pStyle w:val="Heading1"/>
        <w:rPr>
          <w:b/>
        </w:rPr>
      </w:pPr>
      <w:bookmarkStart w:id="11" w:name="_Toc310579475"/>
      <w:bookmarkStart w:id="12" w:name="_Toc315681405"/>
      <w:bookmarkEnd w:id="5"/>
      <w:bookmarkEnd w:id="6"/>
      <w:r w:rsidRPr="00DA4CEC">
        <w:rPr>
          <w:b/>
        </w:rPr>
        <w:t>Appendix A</w:t>
      </w:r>
      <w:bookmarkEnd w:id="11"/>
      <w:bookmarkEnd w:id="12"/>
    </w:p>
    <w:p w14:paraId="18102782" w14:textId="77777777" w:rsidR="00DD1530" w:rsidRPr="00DA4CEC" w:rsidRDefault="00DD1530" w:rsidP="00DD1530">
      <w:pPr>
        <w:jc w:val="center"/>
        <w:rPr>
          <w:b/>
        </w:rPr>
      </w:pPr>
      <w:r w:rsidRPr="00DA4CEC">
        <w:rPr>
          <w:b/>
        </w:rPr>
        <w:t>Impact of Photooxidation and Biodegradation on the Environmental Fate of Sand Patties Formed From Oil Spilled During the Deepwater Horizon Incident: Anaerobic Conditions</w:t>
      </w:r>
    </w:p>
    <w:p w14:paraId="3EC856A1" w14:textId="77777777" w:rsidR="00DD1530" w:rsidRPr="00DA4CEC" w:rsidRDefault="00DD1530" w:rsidP="00DD1530"/>
    <w:p w14:paraId="26B0455E" w14:textId="77777777" w:rsidR="00DD1530" w:rsidRPr="00DA4CEC" w:rsidRDefault="00DD1530" w:rsidP="00DD1530">
      <w:pPr>
        <w:jc w:val="center"/>
        <w:rPr>
          <w:b/>
        </w:rPr>
      </w:pPr>
      <w:r w:rsidRPr="00DA4CEC">
        <w:rPr>
          <w:b/>
        </w:rPr>
        <w:t>Introduction</w:t>
      </w:r>
    </w:p>
    <w:p w14:paraId="5361E9AF" w14:textId="77777777" w:rsidR="00DD1530" w:rsidRPr="00DA4CEC" w:rsidRDefault="00DD1530" w:rsidP="00DD1530">
      <w:r w:rsidRPr="00DA4CEC">
        <w:tab/>
        <w:t>The Deepwater Horizon drilling rig blowout resulted in the release of an estimated 4.2 - 4.9 million barrels of Macondo 252 crude oil.</w:t>
      </w:r>
      <w:r w:rsidRPr="00DA4CEC">
        <w:fldChar w:fldCharType="begin" w:fldLock="1"/>
      </w:r>
      <w:r w:rsidR="00A828B1" w:rsidRPr="00DA4CEC">
        <w:instrText>ADDIN CSL_CITATION { "citationItems" : [ { "id" : "ITEM-1", "itemData" : { "DOI" : "10.1038/ngeo1067", "ISSN" : "1752-0894", "author" : [ { "dropping-particle" : "", "family" : "Joye", "given" : "Samantha B", "non-dropping-particle" : "", "parse-names" : false, "suffix" : "" }, { "dropping-particle" : "", "family" : "Macdonald", "given" : "Ian R", "non-dropping-particle" : "", "parse-names" : false, "suffix" : "" }, { "dropping-particle" : "", "family" : "Leifer", "given" : "Ira", "non-dropping-particle" : "", "parse-names" : false, "suffix" : "" }, { "dropping-particle" : "", "family" : "Asper", "given" : "Vernon", "non-dropping-particle" : "", "parse-names" : false, "suffix" : "" } ], "container-title" : "Nature Geoscience", "id" : "ITEM-1", "issue" : "3", "issued" : { "date-parts" : [ [ "2011" ] ] }, "page" : "160-164", "publisher" : "Nature Publishing Group", "title" : "Magnitude and oxidation potential of hydrocarbon gases released from the BP oil well blowout", "type" : "article-journal", "volume" : "4" }, "uris" : [ "http://www.mendeley.com/documents/?uuid=5dd14803-5045-4ade-9737-15134093701f" ] }, { "id" : "ITEM-2", "itemData" : { "DOI" : "10.1073/pnas.1112139108", "author" : [ { "dropping-particle" : "", "family" : "Mcnutt", "given" : "Marcia K", "non-dropping-particle" : "", "parse-names" : false, "suffix" : "" }, { "dropping-particle" : "", "family" : "Camilli", "given" : "Rich", "non-dropping-particle" : "", "parse-names" : false, "suffix" : "" }, { "dropping-particle" : "", "family" : "Crone", "given" : "Timothy J", "non-dropping-particle" : "", "parse-names" : false, "suffix" : "" }, { "dropping-particle" : "", "family" : "Guthrie", "given" : "George D", "non-dropping-particle" : "", "parse-names" : false, "suffix" : "" }, { "dropping-particle" : "", "family" : "Hsieh", "given" : "Paul A", "non-dropping-particle" : "", "parse-names" : false, "suffix" : "" }, { "dropping-particle" : "", "family" : "Ryerson", "given" : "Thomas B", "non-dropping-particle" : "", "parse-names" : false, "suffix" : "" }, { "dropping-particle" : "", "family" : "Savas", "given" : "Omer", "non-dropping-particle" : "", "parse-names" : false, "suffix" : "" }, { "dropping-particle" : "", "family" : "Shaffer", "given" : "Frank", "non-dropping-particle" : "", "parse-names" : false, "suffix" : "" } ], "container-title" : "Proceeds of the National Academy of Sciences", "id" : "ITEM-2", "issue" : "50", "issued" : { "date-parts" : [ [ "2012" ] ] }, "page" : "20260-20267", "title" : "Review of flow rate estimates of the Deepwater Horizon oil spill", "type" : "article-journal", "volume" : "109" }, "uris" : [ "http://www.mendeley.com/documents/?uuid=231afb37-be36-40ce-a454-0e610b472d33" ] }, { "id" : "ITEM-3", "itemData" : { "DOI" : "10.1073/pnas.1100385108", "author" : [ { "dropping-particle" : "", "family" : "Camilli", "given" : "Richard", "non-dropping-particle" : "", "parse-names" : false, "suffix" : "" }, { "dropping-particle" : "", "family" : "Di", "given" : "Daniela", "non-dropping-particle" : "", "parse-names" : false, "suffix" : "" }, { "dropping-particle" : "", "family" : "Bowen", "given" : "Andrew", "non-dropping-particle" : "", "parse-names" : false, "suffix" : "" }, { "dropping-particle" : "", "family" : "Reddy", "given" : "Christopher M", "non-dropping-particle" : "", "parse-names" : false, "suffix" : "" }, { "dropping-particle" : "", "family" : "Techet", "given" : "Alexandra H", "non-dropping-particle" : "", "parse-names" : false, "suffix" : "" }, { "dropping-particle" : "", "family" : "Yoerger", "given" : "Dana R", "non-dropping-particle" : "", "parse-names" : false, "suffix" : "" }, { "dropping-particle" : "", "family" : "Whitcomb", "given" : "Louis L", "non-dropping-particle" : "", "parse-names" : false, "suffix" : "" }, { "dropping-particle" : "", "family" : "Seewald", "given" : "Jeffrey S", "non-dropping-particle" : "", "parse-names" : false, "suffix" : "" }, { "dropping-particle" : "", "family" : "Sylva", "given" : "Sean P", "non-dropping-particle" : "", "parse-names" : false, "suffix" : "" }, { "dropping-particle" : "", "family" : "Fenwick", "given" : "Judith", "non-dropping-particle" : "", "parse-names" : false, "suffix" : "" } ], "container-title" : "Proc Natl Acad Sci USA", "id" : "ITEM-3", "issue" : "50", "issued" : { "date-parts" : [ [ "2012" ] ] }, "page" : "20235-20239", "title" : "Acoustic measurement of the Deepwater Horizon Macondo well flow rate", "type" : "article-journal", "volume" : "109" }, "uris" : [ "http://www.mendeley.com/documents/?uuid=39408009-16cb-426e-ab79-5eebdfe5a7ea" ] } ], "mendeley" : { "formattedCitation" : "&lt;sup&gt;1\u20133&lt;/sup&gt;", "plainTextFormattedCitation" : "1\u20133", "previouslyFormattedCitation" : "&lt;sup&gt;1\u20133&lt;/sup&gt;" }, "properties" : { "noteIndex" : 0 }, "schema" : "https://github.com/citation-style-language/schema/raw/master/csl-citation.json" }</w:instrText>
      </w:r>
      <w:r w:rsidRPr="00DA4CEC">
        <w:fldChar w:fldCharType="separate"/>
      </w:r>
      <w:r w:rsidRPr="00DA4CEC">
        <w:rPr>
          <w:noProof/>
          <w:vertAlign w:val="superscript"/>
        </w:rPr>
        <w:t>1–3</w:t>
      </w:r>
      <w:r w:rsidRPr="00DA4CEC">
        <w:fldChar w:fldCharType="end"/>
      </w:r>
      <w:r w:rsidRPr="00DA4CEC">
        <w:t xml:space="preserve"> This crude oil was transformed by a number of weathering processes and eventually converted into sand patties that are largely composed of partially oxidized organic compounds termed ‘oxyhydrocarbons’.</w:t>
      </w:r>
      <w:r w:rsidRPr="00DA4CEC">
        <w:fldChar w:fldCharType="begin" w:fldLock="1"/>
      </w:r>
      <w:r w:rsidR="00642FEC" w:rsidRPr="00DA4CEC">
        <w:instrText>ADDIN CSL_CITATION { "citationItems" : [ { "id" : "ITEM-1", "itemData" : { "DOI" : "10.1021/es3015138", "ISSN" : "1520-5851", "PMID" : "22809266", "abstract" : "Following the Deepwater Horizon disaster, the effect of weathering on surface slicks, oil-soaked sands, and oil-covered rocks and boulders was studied for 18 months. With time, oxygen content increased in the hydrocarbon residues. Furthermore, a weathering-dependent increase of an operationally defined oxygenated fraction relative to the saturated and aromatic fractions was observed. This oxygenated fraction made up &gt;50% of the mass of weathered samples, had an average carbon oxidation state of -1.0, and an average molecular formula of (C(5)H(7)O)(n). These oxygenated hydrocarbon residues were devoid of natural radiocarbon, confirming a fossil source and excluding contributions from recent photosynthate. The incorporation of oxygen into the oil's hydrocarbons, which we refer to as oxyhydrocarbons, was confirmed from the detection of hydroxyl and carbonyl functional groups and the identification of long chain (C(10)-C(32)) carboxylic acids as well as alcohols. On the basis of the diagnostic ratios of alkanes and polycyclic aromatic hydrocarbons, and the context within which these samples were collected, we hypothesize that biodegradation and photooxidation share responsibility for the accumulation of oxygen in the oil residues. These results reveal that molecular-level transformations of petroleum hydrocarbons lead to increasing amounts of, apparently recalcitrant, oxyhydrocarbons that dominate the solvent-extractable material from oiled samples.", "author" : [ { "dropping-particle" : "", "family" : "Aeppli", "given" : "Christoph", "non-dropping-particle" : "", "parse-names" : false, "suffix" : "" }, { "dropping-particle" : "", "family" : "Carmichael", "given" : "Catherine A", "non-dropping-particle" : "", "parse-names" : false, "suffix" : "" }, { "dropping-particle" : "", "family" : "Nelson", "given" : "Robert K", "non-dropping-particle" : "", "parse-names" : false, "suffix" : "" }, { "dropping-particle" : "", "family" : "Lemkau", "given" : "Karin L", "non-dropping-particle" : "", "parse-names" : false, "suffix" : "" }, { "dropping-particle" : "", "family" : "Graham", "given" : "William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"dropping-particle" : "", "family" : "Graham", "given" :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"container-title" : "Environmental science &amp; technology", "id" : "ITEM-1", "issue" : "16", "issued" : { "date-parts" : [ [ "2012" ] ] }, "page" : "8799-807", "title" : "Oil weathering after the Deepwater Horizon disaster led to the formation of oxygenated residues.", "type" : "article-journal", "volume" : "46" }, "uris" : [ "http://www.mendeley.com/documents/?uuid=2bc2247b-a311-4ec2-b7e1-1d59c49fad55" ] }, { "id" : "ITEM-2", "itemData" : { "author" : [ { "dropping-particle" : "", "family" : "Aeppli", "given" : "Christoph", "non-dropping-particle" : "", "parse-names" : false, "suffix" : "" }, { "dropping-particle" : "", "family" : "Nelson", "given" : "Robert K", "non-dropping-particle" : "", "parse-names" : false, "suffix" : "" }, { "dropping-particle" : "", "family" : "Radovic", "given" : "Jagos R", "non-dropping-particle" : "", "parse-names" : false, "suffix" : "" }, { "dropping-particle" : "", "family" : "Carmichael", "given" : "Catherine A", "non-dropping-particle" : "", "parse-names" : false, "suffix" : "" }, { "dropping-particle" : "", "family" : "Valentine", "given" : "David L", "non-dropping-particle" : "", "parse-names" : false, "suffix" : "" }, { "dropping-particle" : "", "family" : "Reddy", "given" : "Christopher M", "non-dropping-particle" : "", "parse-names" : false, "suffix" : "" } ], "container-title" : "Environ Sci Technol", "id" : "ITEM-2", "issued" : { "date-parts" : [ [ "2014" ] ] }, "page" : "6727-6734", "title" : "Recalcitrance and Degradation of Petroleum Biomarkers upon Abiotic and Biotic Natural Weathering of Deepwater Horizon Oil", "type" : "article-journal", "volume" : "48" }, "uris" : [ "http://www.mendeley.com/documents/?uuid=23ed41af-8744-4cbe-a4ae-a2d0ddb4a727" ] }, { "id" : "ITEM-3", "itemData" : { "author" : [ { "dropping-particle" : "", "family" : "Gros", "given" : "Jonas", "non-dropping-particle" : "", "parse-names" : false, "suffix" : "" }, { "dropping-particle" : "", "family" : "Reddy", "given" : "Christopher M.", "non-dropping-particle" : "", "parse-names" : false, "suffix" : "" }, { "dropping-particle" : "", "family" : "Aeppli", "given" : "Christoph", "non-dropping-particle" : "", "parse-names" : false, "suffix" : "" }, { "dropping-particle" : "", "family" : "Nelson", "given" : "Robert K.", "non-dropping-particle" : "", "parse-names" : false, "suffix" : "" }, { "dropping-particle" : "", "family" : "Carmichael", "given" : "Catherine A.", "non-dropping-particle" : "", "parse-names" : false, "suffix" : "" }, { "dropping-particle" : "", "family" : "Arey", "given" : "J. Samuel", "non-dropping-particle" : "", "parse-names" : false, "suffix" : "" } ], "container-title" : "Environmental Science and Technology", "id" : "ITEM-3", "issued" : { "date-parts" : [ [ "2014" ] ] }, "page" : "1628-1637", "title" : "Resolving Biodegradation Patterns of Persistent Saturated Hydrocarbons in Weathered Oil Samples from the Deepwater Horizon Disaster", "type" : "article-journal", "volume" : "48" }, "uris" : [ "http://www.mendeley.com/documents/?uuid=da234b64-6c1a-4538-9bd0-222ace02a2b2" ] }, { "id" : "ITEM-4", "itemData" : { "author" : [ { "dropping-particle" : "", "family" : "Ruddy", "given" : "Brian M", "non-dropping-particle" : "", "parse-names" : false, "suffix" : "" }, { "dropping-particle" : "", "family" : "Huettel", "given" : "Markus", "non-dropping-particle" : "", "parse-names" : false, "suffix" : "" }, { "dropping-particle" : "", "family" : "Kostka", "given" : "Joel E", "non-dropping-particle" : "", "parse-names" : false, "suffix" : "" }, { "dropping-particle" : "V", "family" : "Lobodin", "given" : "Vladislav", "non-dropping-particle" : "", "parse-names" : false, "suffix" : "" }, { "dropping-particle" : "", "family" : "Bythell", "given" : "Benjamin J", "non-dropping-particle" : "", "parse-names" : false, "suffix" : "" }, { "dropping-particle" : "", "family" : "Mckenna", "given" : "Amy M", "non-dropping-particle" : "", "parse-names" : false, "suffix" : "" }, { "dropping-particle" : "", "family" : "Aeppli", "given" : "Christoph", "non-dropping-particle" : "", "parse-names" : false, "suffix" : "" }, { "dropping-particle" : "", "family" : "Reddy", "given" : "Christopher M", "non-dropping-particle" : "", "parse-names" : false, "suffix" : "" }, { "dropping-particle" : "", "family" : "Nelson", "given" : "Robert K", "non-dropping-particle" : "", "parse-names" : false, "suffix" : "" }, { "dropping-particle" : "", "family" : "Marshall", "given" : "Alan G", "non-dropping-particle" : "", "parse-names" : false, "suffix" : "" }, { "dropping-particle" : "", "family" : "Rodgers", "given" : "Ryan P", "non-dropping-particle" : "", "parse-names" : false, "suffix" : "" } ], "container-title" : "Energy &amp; Fuels", "id" : "ITEM-4", "issued" : { "date-parts" : [ [ "2014" ] ] }, "page" : "4043-4050", "title" : "Targeted Petroleomics: Analytical Investigation of Macondo Well Oil Oxidation Products from Pensacola Beach", "type" : "article-journal", "volume" : "28" }, "uris" : [ "http://www.mendeley.com/documents/?uuid=b7ad8496-522d-44dd-88be-70022490a9fc" ] } ], "mendeley" : { "formattedCitation" : "&lt;sup&gt;20,21,25,54&lt;/sup&gt;", "plainTextFormattedCitation" : "20,21,25,54", "previouslyFormattedCitation" : "&lt;sup&gt;20,21,25,54&lt;/sup&gt;" }, "properties" : { "noteIndex" : 0 }, "schema" : "https://github.com/citation-style-language/schema/raw/master/csl-citation.json" }</w:instrText>
      </w:r>
      <w:r w:rsidRPr="00DA4CEC">
        <w:fldChar w:fldCharType="separate"/>
      </w:r>
      <w:r w:rsidR="001317C1" w:rsidRPr="00DA4CEC">
        <w:rPr>
          <w:noProof/>
          <w:vertAlign w:val="superscript"/>
        </w:rPr>
        <w:t>20,21,25,54</w:t>
      </w:r>
      <w:r w:rsidRPr="00DA4CEC">
        <w:fldChar w:fldCharType="end"/>
      </w:r>
      <w:r w:rsidRPr="00DA4CEC">
        <w:t xml:space="preserve"> The weathered sand patties may remain on the seafloor or be transported to beaches where they can settle in the swash zone.</w:t>
      </w:r>
      <w:r w:rsidRPr="00DA4CEC">
        <w:fldChar w:fldCharType="begin" w:fldLock="1"/>
      </w:r>
      <w:r w:rsidR="00642FEC" w:rsidRPr="00DA4CEC">
        <w:instrText>ADDIN CSL_CITATION { "citationItems" : [ { "id" : "ITEM-1", "itemData" : { "DOI" : "10.5194/hessd-8-6721-2011", "author" : [ { "dropping-particle" : "", "family" : "Hayworth", "given" : "J.S.", "non-dropping-particle" : "", "parse-names" : false, "suffix" : "" }, { "dropping-particle" : "", "family" : "Clement", "given" : "T.P.", "non-dropping-particle" : "", "parse-names" : false, "suffix" : "" }, { "dropping-particle" : "", "family" : "Valentine", "given" : "J.F.", "non-dropping-particle" : "", "parse-names" : false, "suffix" : "" } ], "container-title" : "Hydrology and Earth System Sciences", "id" : "ITEM-1", "issued" : { "date-parts" : [ [ "2011" ] ] }, "page" : "3639-3649", "title" : "Deepwater Horizon oil spill impacts on Alabama beaches Deepwater Horizon oil spill impacts on Alabama beaches", "type" : "article-journal", "volume" : "15" }, "uris" : [ "http://www.mendeley.com/documents/?uuid=27937d17-a091-4336-9f14-f568150b5d69" ] }, { "id" : "ITEM-2", "itemData" : { "DOI" : "10.1021/es3015138", "ISBN" : "0013-936X", "ISSN" : "0013936X", "PMID" : "22809266", "abstract" : "Following the Deepwater Horizon disaster, the effect of weathering on surface slicks, oil-soaked sands, and oil-covered rocks and boulders was studied for 18 months. With time, oxygen content increased in the hydrocarbon residues. Furthermore, a weathering-dependent increase of an operationally defined oxygenated fraction relative to the saturated and aromatic fractions was observed. This oxygenated fraction made up &gt;50% of the mass of weathered samples, had an average carbon oxidation state of -1.0, and an average molecular formula of (C(5)H(7)O)(n). These oxygenated hydrocarbon residues were devoid of natural radiocarbon, confirming a fossil source and excluding contributions from recent photosynthate. The incorporation of oxygen into the oil's hydrocarbons, which we refer to as oxyhydrocarbons, was confirmed from the detection of hydroxyl and carbonyl functional groups and the identification of long chain (C(10)-C(32)) carboxylic acids as well as alcohols. On the basis of the diagnostic ratios of alkanes and polycyclic aromatic hydrocarbons, and the context within which these samples were collected, we hypothesize that biodegradation and photooxidation share responsibility for the accumulation of oxygen in the oil residues. These results reveal that molecular-level transformations of petroleum hydrocarbons lead to increasing amounts of, apparently recalcitrant, oxyhydrocarbons that dominate the solvent-extractable material from oiled samples.", "author" : [ { "dropping-particle" : "", "family" : "Aeppli", "given" : "Christoph", "non-dropping-particle" : "", "parse-names" : false, "suffix" : "" }, { "dropping-particle" : "", "family" : "Carmichael", "given" : "Catherine A.", "non-dropping-particle" : "", "parse-names" : false, "suffix" : "" }, { "dropping-particle" : "", "family" : "Nelson", "given" : "Robert K.", "non-dropping-particle" : "", "parse-names" : false, "suffix" : "" }, { "dropping-particle" : "", "family" : "Lemkau", "given" : "Karin L.", "non-dropping-particle" : "", "parse-names" : false, "suffix" : "" }, { "dropping-particle" : "", "family" : "Graham", "given" : "William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"container-title" : "Environmental Science and Technology", "id" : "ITEM-2", "issue" : "16", "issued" : { "date-parts" : [ [ "2012" ] ] }, "page" : "8799-8807", "title" : "Oil weathering after the Deepwater Horizon disaster led to the formation of oxygenated residues", "type" : "article-journal", "volume" : "46" }, "uris" : [ "http://www.mendeley.com/documents/?uuid=1db43b4f-39e5-4135-8db1-7e7d3640f419" ] }, { "id" : "ITEM-3", "itemData" : { "DOI" : "10.1016/j.marpolbul.2014.11.016", "ISSN" : "0025-326X", "author" : [ { "dropping-particle" : "", "family" : "Hayworth", "given" : "Joel S", "non-dropping-particle" : "", "parse-names" : false, "suffix" : "" }, { "dropping-particle" : "", "family" : "Clement", "given" : "T Prabakhar", "non-dropping-particle" : "", "parse-names" : false, "suffix" : "" }, { "dropping-particle" : "", "family" : "John", "given" : "Gerald F", "non-dropping-particle" : "", "parse-names" : false, "suffix" : "" }, { "dropping-particle" : "", "family" : "Yin", "given" : "Fang", "non-dropping-particle" : "", "parse-names" : false, "suffix" : "" } ], "container-title" : "Marine Pollution Bulletin", "id" : "ITEM-3", "issue" : "1-2", "issued" : { "date-parts" : [ [ "2015" ] ] }, "page" : "95-105", "publisher" : "Elsevier Ltd", "title" : "Fate of Deepwater Horizon oil in Alabama \u2019 s beach system : Understanding physical evolution processes based on observational data", "type" : "article-journal", "volume" : "90" }, "uris" : [ "http://www.mendeley.com/documents/?uuid=b7199ebc-2673-485f-a174-deadb0f207aa" ] }, { "id" : "ITEM-4", "itemData" : { "DOI" : "10.1021/es5046524", "ISSN" : "0013-936X", "author" : [ { "dropping-particle" : "", "family" : "Chanton", "given" : "Jeffrey", "non-dropping-particle" : "", "parse-names" : false, "suffix" : "" }, { "dropping-particle" : "", "family" : "Zhao", "given" : "Tingting", "non-dropping-particle" : "", "parse-names" : false, "suffix" : "" }, { "dropping-particle" : "", "family" : "Rosenheim", "given" : "Brad E.", "non-dropping-particle" : "", "parse-names" : false, "suffix" : "" }, { "dropping-particle" : "", "family" : "Joye", "given" : "Samantha", "non-dropping-particle" : "", "parse-names" : false, "suffix" : "" }, { "dropping-particle" : "", "family" : "Bosman", "given" : "Samantha", "non-dropping-particle" : "", "parse-names" : false, "suffix" : "" }, { "dropping-particle" : "", "family" : "Brunner", "given" : "Charlotte", "non-dropping-particle" : "", "parse-names" : false, "suffix" : "" }, { "dropping-particle" : "", "family" : "Yeager", "given" : "Kevin M.", "non-dropping-particle" : "", "parse-names" : false, "suffix" : "" }, { "dropping-particle" : "", "family" : "Diercks", "given" : "Arne R.", "non-dropping-particle" : "", "parse-names" : false, "suffix" : "" }, { "dropping-particle" : "", "family" : "Hollander", "given" : "David", "non-dropping-particle" : "", "parse-names" : false, "suffix" : "" } ], "container-title" : "Environmental Science &amp; Technology", "id" : "ITEM-4", "issue" : "2", "issued" : { "date-parts" : [ [ "2015" ] ] }, "page" : "847-854", "title" : "Using Natural Abundance Radiocarbon To Trace the Flux of Petrocarbon to the Seafloor Following the Deepwater Horizon Oil Spill", "type" : "article-journal", "volume" : "49" }, "uris" : [ "http://www.mendeley.com/documents/?uuid=17e2fea8-a9ff-4882-b042-b9ec5238e405" ] } ], "mendeley" : { "formattedCitation" : "&lt;sup&gt;15,18,55,56&lt;/sup&gt;", "plainTextFormattedCitation" : "15,18,55,56", "previouslyFormattedCitation" : "&lt;sup&gt;15,18,55,56&lt;/sup&gt;" }, "properties" : { "noteIndex" : 0 }, "schema" : "https://github.com/citation-style-language/schema/raw/master/csl-citation.json" }</w:instrText>
      </w:r>
      <w:r w:rsidRPr="00DA4CEC">
        <w:fldChar w:fldCharType="separate"/>
      </w:r>
      <w:r w:rsidR="001317C1" w:rsidRPr="00DA4CEC">
        <w:rPr>
          <w:noProof/>
          <w:vertAlign w:val="superscript"/>
        </w:rPr>
        <w:t>15,18,55,56</w:t>
      </w:r>
      <w:r w:rsidRPr="00DA4CEC">
        <w:fldChar w:fldCharType="end"/>
      </w:r>
      <w:r w:rsidRPr="00DA4CEC">
        <w:t xml:space="preserve"> where they are exposed to direct sunlight, continual wave action and the ambient microbial communities.  In addition, the sand patties themselves likely represent a suitable habitat for the proliferation of microorganisms (see Chapter 1).  The most quantitatively important and likely electron acceptors available to the resident microflora in such marine habitats are oxygen and sulfate.</w:t>
      </w:r>
      <w:r w:rsidRPr="00DA4CEC">
        <w:fldChar w:fldCharType="begin" w:fldLock="1"/>
      </w:r>
      <w:r w:rsidR="000076A8" w:rsidRPr="00DA4CEC">
        <w:instrText>ADDIN CSL_CITATION { "citationItems" : [ { "id" : "ITEM-1", "itemData" : { "DOI" : "10.3389/fmicb.2013.00189", "ISBN" : "1664-302X", "ISSN" : "1664302X", "PMID" : "23874326", "abstract" : "The vast marine deep biosphere consists of microbial habitats within sediment, pore waters, upper basaltic crust and the fluids that circulate throughout it. A wide range of temperature, pressure, pH, and electron donor and acceptor conditions exists-all of which can combine to affect carbon and nutrient cycling and result in gradients on spatial scales ranging from millimeters to kilometers. Diverse and mostly uncharacterized microorganisms live in these habitats, and potentially play a role in mediating global scale biogeochemical processes. Quantifying the rates at which microbial activity in the subsurface occurs is a challenging endeavor, yet developing an understanding of these rates is essential to determine the impact of subsurface life on Earth's global biogeochemical cycles, and for understanding how microorganisms in these \"extreme\" environments survive (or even thrive). Here, we synthesize recent advances and discoveries pertaining to microbial activity in the marine deep subsurface, and we highlight topics about which there is still little understanding and suggest potential paths forward to address them. This publication is the result of a workshop held in August 2012 by the NSF-funded Center for Dark Energy Biosphere Investigations (C-DEBI) \"theme team\" on microbial activity (www.darkenergybiosphere.org).", "author" : [ { "dropping-particle" : "", "family" : "Orcutt", "given" : "Beth N.", "non-dropping-particle" : "", "parse-names" : false, "suffix" : "" }, { "dropping-particle" : "", "family" : "LaRowe", "given" : "Douglas E.", "non-dropping-particle" : "", "parse-names" : false, "suffix" : "" }, { "dropping-particle" : "", "family" : "Biddle", "given" : "Jennifer F.", "non-dropping-particle" : "", "parse-names" : false, "suffix" : "" }, { "dropping-particle" : "", "family" : "Colwell", "given" : "Frederick S.", "non-dropping-particle" : "", "parse-names" : false, "suffix" : "" }, { "dropping-particle" : "", "family" : "Glazer", "given" : "Brian T.", "non-dropping-particle" : "", "parse-names" : false, "suffix" : "" }, { "dropping-particle" : "", "family" : "Reese", "given" : "Brandi Kiel", "non-dropping-particle" : "", "parse-names" : false, "suffix" : "" }, { "dropping-particle" : "", "family" : "Kirkpatrick", "given" : "John B.", "non-dropping-particle" : "", "parse-names" : false, "suffix" : "" }, { "dropping-particle" : "", "family" : "Lapham", "given" : "Laura L.", "non-dropping-particle" : "", "parse-names" : false, "suffix" : "" }, { "dropping-particle" : "", "family" : "Mills", "given" : "Heath J.", "non-dropping-particle" : "", "parse-names" : false, "suffix" : "" }, { "dropping-particle" : "", "family" : "Sylvan", "given" : "Jason B.", "non-dropping-particle" : "", "parse-names" : false, "suffix" : "" }, { "dropping-particle" : "", "family" : "Wankel", "given" : "Scott D.", "non-dropping-particle" : "", "parse-names" : false, "suffix" : "" }, { "dropping-particle" : "", "family" : "Wheat", "given" : "C. Geoff", "non-dropping-particle" : "", "parse-names" : false, "suffix" : "" } ], "container-title" : "Frontiers in Microbiology", "id" : "ITEM-1", "issue" : "JUL", "issued" : { "date-parts" : [ [ "2013" ] ] }, "page" : "1-15", "title" : "Microbial activity in the marine deep biosphere: Progress and prospects", "type" : "article-journal", "volume" : "4" }, "uris" : [ "http://www.mendeley.com/documents/?uuid=e10fc70b-b85d-4fdb-9870-0c40a216d02c" ] } ], "mendeley" : { "formattedCitation" : "&lt;sup&gt;42&lt;/sup&gt;", "plainTextFormattedCitation" : "42", "previouslyFormattedCitation" : "&lt;sup&gt;42&lt;/sup&gt;" }, "properties" : { "noteIndex" : 0 }, "schema" : "https://github.com/citation-style-language/schema/raw/master/csl-citation.json" }</w:instrText>
      </w:r>
      <w:r w:rsidRPr="00DA4CEC">
        <w:fldChar w:fldCharType="separate"/>
      </w:r>
      <w:r w:rsidR="000076A8" w:rsidRPr="00DA4CEC">
        <w:rPr>
          <w:noProof/>
          <w:vertAlign w:val="superscript"/>
        </w:rPr>
        <w:t>42</w:t>
      </w:r>
      <w:r w:rsidRPr="00DA4CEC">
        <w:fldChar w:fldCharType="end"/>
      </w:r>
      <w:r w:rsidRPr="00DA4CEC">
        <w:t xml:space="preserve"> Chapter 1 of this thesis focused on the advanced stages of sand patty weathering as influenced by photooxidation and aerobic biodegradation.  This appendix provides a brief description of how anaerobic microorganisms transform the same dissolved organic matter (DOM) fractions released from sand</w:t>
      </w:r>
      <w:r w:rsidR="00184642" w:rsidRPr="00DA4CEC">
        <w:t xml:space="preserve"> patties derived from the Deepw</w:t>
      </w:r>
      <w:r w:rsidRPr="00DA4CEC">
        <w:t xml:space="preserve">ater Horizon oil spill.  Two separate experiments using different assay procedures confirm that the DOM released by sand </w:t>
      </w:r>
      <w:r w:rsidRPr="00DA4CEC">
        <w:lastRenderedPageBreak/>
        <w:t>patties tend to resist decomposition under sulfate reducing conditions.  This finding contrasted with the greater propensity for aerobic decomposition of the DOM fractions that were documented using the same inoculum under aerobic conditions (Chapter 1).  Thus, while the susceptibility of sand patty DOM to anaerobic biodegradation is limited when using a shallow coastal marine sedimentary microbial community as an inoculum, it remains an open question whether such information can be extrapolated to other anaerobic environments.</w:t>
      </w:r>
    </w:p>
    <w:p w14:paraId="6E4EC3CD" w14:textId="77777777" w:rsidR="00DD1530" w:rsidRPr="00DA4CEC" w:rsidRDefault="00DD1530" w:rsidP="00DD1530"/>
    <w:p w14:paraId="5EBA7885" w14:textId="77777777" w:rsidR="00DD1530" w:rsidRPr="00DA4CEC" w:rsidRDefault="00DD1530" w:rsidP="00DD1530">
      <w:pPr>
        <w:jc w:val="center"/>
        <w:rPr>
          <w:b/>
        </w:rPr>
      </w:pPr>
      <w:r w:rsidRPr="00DA4CEC">
        <w:rPr>
          <w:b/>
        </w:rPr>
        <w:t>Materials and Methods</w:t>
      </w:r>
    </w:p>
    <w:p w14:paraId="32AE79A2" w14:textId="77777777" w:rsidR="00DD1530" w:rsidRPr="00DA4CEC" w:rsidRDefault="00DD1530" w:rsidP="00DD1530">
      <w:r w:rsidRPr="00DA4CEC">
        <w:rPr>
          <w:b/>
        </w:rPr>
        <w:t>Sample Collection and Anion Analysis</w:t>
      </w:r>
    </w:p>
    <w:p w14:paraId="6A7D043B" w14:textId="77777777" w:rsidR="00DD1530" w:rsidRPr="00DA4CEC" w:rsidRDefault="00DD1530" w:rsidP="00DD1530">
      <w:r w:rsidRPr="00DA4CEC">
        <w:tab/>
        <w:t xml:space="preserve"> Sand patties, sediments, and seawater were collected from the swash zone of beaches in Gulf Shores and Fort Morgan, Alabama as described in Chapter 1. Anion analysis (Cl</w:t>
      </w:r>
      <w:r w:rsidRPr="00DA4CEC">
        <w:rPr>
          <w:vertAlign w:val="superscript"/>
        </w:rPr>
        <w:t>-</w:t>
      </w:r>
      <w:r w:rsidRPr="00DA4CEC">
        <w:t>, NO</w:t>
      </w:r>
      <w:r w:rsidRPr="00DA4CEC">
        <w:rPr>
          <w:vertAlign w:val="subscript"/>
        </w:rPr>
        <w:t>3</w:t>
      </w:r>
      <w:r w:rsidRPr="00DA4CEC">
        <w:rPr>
          <w:vertAlign w:val="superscript"/>
        </w:rPr>
        <w:t>-</w:t>
      </w:r>
      <w:r w:rsidRPr="00DA4CEC">
        <w:t>, and SO</w:t>
      </w:r>
      <w:r w:rsidRPr="00DA4CEC">
        <w:rPr>
          <w:vertAlign w:val="subscript"/>
        </w:rPr>
        <w:t>4</w:t>
      </w:r>
      <w:r w:rsidRPr="00DA4CEC">
        <w:rPr>
          <w:vertAlign w:val="superscript"/>
        </w:rPr>
        <w:t>2-</w:t>
      </w:r>
      <w:r w:rsidRPr="00DA4CEC">
        <w:t>) of the aqueous samples was performed with a Dionex Series 3000 Ion Chromatography System as previously described (Thermo Fisher, Waltham, MA).</w:t>
      </w:r>
      <w:r w:rsidRPr="00DA4CEC">
        <w:fldChar w:fldCharType="begin" w:fldLock="1"/>
      </w:r>
      <w:r w:rsidR="00642FEC" w:rsidRPr="00DA4CEC">
        <w:instrText>ADDIN CSL_CITATION { "citationItems" : [ { "id" : "ITEM-1", "itemData" : { "author" : [ { "dropping-particle" : "", "family" : "Lyles", "given" : "Christopher N.", "non-dropping-particle" : "", "parse-names" : false, "suffix" : "" }, { "dropping-particle" : "", "family" : "Aktas", "given" : "Deniz F.", "non-dropping-particle" : "", "parse-names" : false, "suffix" : "" }, { "dropping-particle" : "", "family" : "Duncan", "given" : "Kathleen E.", "non-dropping-particle" : "", "parse-names" : false, "suffix" : "" }, { "dropping-particle" : "V.", "family" : "Callaghan", "given" : "Amy", "non-dropping-particle" : "", "parse-names" : false, "suffix" : "" }, { "dropping-particle" : "", "family" : "Stevenson", "given" : "Bradley S.", "non-dropping-particle" : "", "parse-names" : false, "suffix" : "" }, { "dropping-particle" : "", "family" : "Suflita", "given" : "Josesph M.", "non-dropping-particle" : "", "parse-names" : false, "suffix" : "" } ], "container-title" : "Environmental Science and Technology", "id" : "ITEM-1", "issued" : { "date-parts" : [ [ "2013" ] ] }, "page" : "6052-6062", "title" : "Impact of organsulfur content on diesel fuel stability and implications for carbon steel corrosion", "type" : "article-journal", "volume" : "47" }, "uris" : [ "http://www.mendeley.com/documents/?uuid=d5be4db9-eeab-48da-a4e5-651a1b924317" ] } ], "mendeley" : { "formattedCitation" : "&lt;sup&gt;28&lt;/sup&gt;", "plainTextFormattedCitation" : "28", "previouslyFormattedCitation" : "&lt;sup&gt;27&lt;/sup&gt;" }, "properties" : { "noteIndex" : 0 }, "schema" : "https://github.com/citation-style-language/schema/raw/master/csl-citation.json" }</w:instrText>
      </w:r>
      <w:r w:rsidRPr="00DA4CEC">
        <w:fldChar w:fldCharType="separate"/>
      </w:r>
      <w:r w:rsidR="00642FEC" w:rsidRPr="00DA4CEC">
        <w:rPr>
          <w:noProof/>
          <w:vertAlign w:val="superscript"/>
        </w:rPr>
        <w:t>28</w:t>
      </w:r>
      <w:r w:rsidRPr="00DA4CEC">
        <w:fldChar w:fldCharType="end"/>
      </w:r>
      <w:r w:rsidRPr="00DA4CEC">
        <w:t xml:space="preserve"> </w:t>
      </w:r>
    </w:p>
    <w:p w14:paraId="5918371B" w14:textId="77777777" w:rsidR="00DD1530" w:rsidRPr="00DA4CEC" w:rsidRDefault="00DD1530" w:rsidP="00DD1530">
      <w:pPr>
        <w:rPr>
          <w:b/>
        </w:rPr>
      </w:pPr>
      <w:r w:rsidRPr="00DA4CEC">
        <w:rPr>
          <w:b/>
        </w:rPr>
        <w:t>Generation of Sand Patty-Derived Dissolved Organic Matter</w:t>
      </w:r>
    </w:p>
    <w:p w14:paraId="1106E153" w14:textId="77777777" w:rsidR="00DD1530" w:rsidRPr="00DA4CEC" w:rsidRDefault="00DD1530" w:rsidP="00DD1530">
      <w:r w:rsidRPr="00DA4CEC">
        <w:rPr>
          <w:b/>
        </w:rPr>
        <w:tab/>
      </w:r>
      <w:r w:rsidRPr="00DA4CEC">
        <w:t xml:space="preserve">Sand patties were irradiated in sterile seawater via the use of a solar simulator to generate photooxidized water-soluble organic matter as described in Chapter 1. Irradiation and water replacement was repeated for up to 84 hours. Sand patties incubated in sterile seawater and kept in the dark served as controls. </w:t>
      </w:r>
    </w:p>
    <w:p w14:paraId="4FFEF0D0" w14:textId="77777777" w:rsidR="0055733E" w:rsidRPr="00DA4CEC" w:rsidRDefault="0055733E" w:rsidP="00DD1530"/>
    <w:p w14:paraId="0269363B" w14:textId="77777777" w:rsidR="0055733E" w:rsidRPr="00DA4CEC" w:rsidRDefault="0055733E" w:rsidP="00DD1530"/>
    <w:p w14:paraId="195220AB" w14:textId="77777777" w:rsidR="00DD1530" w:rsidRPr="00DA4CEC" w:rsidRDefault="00DD1530" w:rsidP="00DD1530">
      <w:pPr>
        <w:rPr>
          <w:b/>
        </w:rPr>
      </w:pPr>
      <w:r w:rsidRPr="00DA4CEC">
        <w:rPr>
          <w:b/>
        </w:rPr>
        <w:t>Biodegradation of Sand Patty Organic Matter</w:t>
      </w:r>
    </w:p>
    <w:p w14:paraId="7EBC128B" w14:textId="77777777" w:rsidR="00DD1530" w:rsidRPr="00DA4CEC" w:rsidRDefault="00DD1530" w:rsidP="00DD1530">
      <w:r w:rsidRPr="00DA4CEC">
        <w:rPr>
          <w:b/>
        </w:rPr>
        <w:lastRenderedPageBreak/>
        <w:tab/>
      </w:r>
      <w:r w:rsidRPr="00DA4CEC">
        <w:t xml:space="preserve">The biodegradation of sand patty-derived and endogenous DOM was compared using surficial coastal marine sediment </w:t>
      </w:r>
      <w:r w:rsidR="001176E4" w:rsidRPr="00DA4CEC">
        <w:t xml:space="preserve">collected from the swash zone of a northern Gulf of Mexico beach </w:t>
      </w:r>
      <w:r w:rsidRPr="00DA4CEC">
        <w:t>as an inoculum.  Initially, evidence for biodegradation included monitoring sulfate disappearance in incubations amended with the various DOM fractions relative to endogenous, and appropriate positive (lactate-amended;  25 mM) and ne</w:t>
      </w:r>
      <w:r w:rsidR="00C65F17" w:rsidRPr="00DA4CEC">
        <w:t xml:space="preserve">gative (autoclaved) controls.  </w:t>
      </w:r>
      <w:r w:rsidRPr="00DA4CEC">
        <w:t xml:space="preserve">As this procedure may have been too insensitive to detect biodegradation, subsequent experiments monitored the rate of </w:t>
      </w:r>
      <w:r w:rsidRPr="00DA4CEC">
        <w:rPr>
          <w:vertAlign w:val="superscript"/>
        </w:rPr>
        <w:t>35</w:t>
      </w:r>
      <w:r w:rsidRPr="00DA4CEC">
        <w:t xml:space="preserve">S-sulfide formation in the same incubations at various time intervals and adding </w:t>
      </w:r>
      <w:r w:rsidRPr="00DA4CEC">
        <w:rPr>
          <w:vertAlign w:val="superscript"/>
        </w:rPr>
        <w:t>35</w:t>
      </w:r>
      <w:r w:rsidRPr="00DA4CEC">
        <w:t>SO</w:t>
      </w:r>
      <w:r w:rsidRPr="00DA4CEC">
        <w:rPr>
          <w:vertAlign w:val="subscript"/>
        </w:rPr>
        <w:t>4</w:t>
      </w:r>
      <w:r w:rsidRPr="00DA4CEC">
        <w:rPr>
          <w:vertAlign w:val="superscript"/>
        </w:rPr>
        <w:t>-2</w:t>
      </w:r>
      <w:r w:rsidRPr="00DA4CEC">
        <w:rPr>
          <w:vertAlign w:val="subscript"/>
        </w:rPr>
        <w:t xml:space="preserve"> </w:t>
      </w:r>
      <w:r w:rsidRPr="00DA4CEC">
        <w:t>as a sensitive radiotracer.  Seawater and sediment mixtures were flushed with N</w:t>
      </w:r>
      <w:r w:rsidRPr="00DA4CEC">
        <w:rPr>
          <w:vertAlign w:val="subscript"/>
        </w:rPr>
        <w:t>2</w:t>
      </w:r>
      <w:r w:rsidRPr="00DA4CEC">
        <w:t>:CO</w:t>
      </w:r>
      <w:r w:rsidRPr="00DA4CEC">
        <w:rPr>
          <w:vertAlign w:val="subscript"/>
        </w:rPr>
        <w:t xml:space="preserve">2 </w:t>
      </w:r>
      <w:r w:rsidRPr="00DA4CEC">
        <w:t xml:space="preserve">(80:20) prior to being used as inoculum for all experimental conditions.  The endogenous incubation received the sediment inoculum and 10 mL of filter-sterilized seawater. In other incubations, the seawater was replaced with the same volume of sand patty-derived DOM from either the irradiation procedure or dark control as described in Chapter 1.  Sulfate depletion was compared to triplicate incubations as well as to sterile negative controls that were autoclaved (20 min).  At each time point, a set of replicates was sacrificed and a radioactive sulfate reduction assay was performed in which approximately 50 nCI </w:t>
      </w:r>
      <w:r w:rsidRPr="00DA4CEC">
        <w:rPr>
          <w:vertAlign w:val="superscript"/>
        </w:rPr>
        <w:t>35</w:t>
      </w:r>
      <w:r w:rsidRPr="00DA4CEC">
        <w:t>SO</w:t>
      </w:r>
      <w:r w:rsidRPr="00DA4CEC">
        <w:rPr>
          <w:vertAlign w:val="subscript"/>
        </w:rPr>
        <w:t>4</w:t>
      </w:r>
      <w:r w:rsidRPr="00DA4CEC">
        <w:rPr>
          <w:vertAlign w:val="superscript"/>
        </w:rPr>
        <w:t>-2</w:t>
      </w:r>
      <w:r w:rsidRPr="00DA4CEC">
        <w:rPr>
          <w:vertAlign w:val="subscript"/>
        </w:rPr>
        <w:t xml:space="preserve"> </w:t>
      </w:r>
      <w:r w:rsidRPr="00DA4CEC">
        <w:t>was added to each of the bottles. These bottles were extracted and radioactivity was counted as described in Chapter 1.</w:t>
      </w:r>
    </w:p>
    <w:p w14:paraId="102047D9" w14:textId="77777777" w:rsidR="00DD1530" w:rsidRDefault="00DD1530" w:rsidP="00DD1530"/>
    <w:p w14:paraId="4171124B" w14:textId="77777777" w:rsidR="00DA4CEC" w:rsidRDefault="00DA4CEC" w:rsidP="00DD1530"/>
    <w:p w14:paraId="29D7A582" w14:textId="77777777" w:rsidR="00DA4CEC" w:rsidRDefault="00DA4CEC" w:rsidP="00DD1530"/>
    <w:p w14:paraId="50F53308" w14:textId="77777777" w:rsidR="00DA4CEC" w:rsidRDefault="00DA4CEC" w:rsidP="00DD1530"/>
    <w:p w14:paraId="69B3ACB2" w14:textId="77777777" w:rsidR="00ED06D5" w:rsidRPr="00DA4CEC" w:rsidRDefault="00ED06D5" w:rsidP="00DD1530">
      <w:bookmarkStart w:id="13" w:name="_GoBack"/>
      <w:bookmarkEnd w:id="13"/>
    </w:p>
    <w:p w14:paraId="2CF50CFF" w14:textId="77777777" w:rsidR="00DD1530" w:rsidRPr="00DA4CEC" w:rsidRDefault="00DD1530" w:rsidP="00DD1530">
      <w:pPr>
        <w:jc w:val="center"/>
        <w:rPr>
          <w:b/>
        </w:rPr>
      </w:pPr>
      <w:r w:rsidRPr="00DA4CEC">
        <w:rPr>
          <w:b/>
        </w:rPr>
        <w:lastRenderedPageBreak/>
        <w:t>Results</w:t>
      </w:r>
    </w:p>
    <w:p w14:paraId="50004E6E" w14:textId="77777777" w:rsidR="00DD1530" w:rsidRPr="00DA4CEC" w:rsidRDefault="00DD1530" w:rsidP="00DD1530">
      <w:r w:rsidRPr="00DA4CEC">
        <w:tab/>
        <w:t xml:space="preserve">A sediment inoculum from the GoM was utilized to determine if the endogenous microflora was capable of metabolizing either whole sand patties or sand patty-derived DOM produced under irradiated or dark conditions.  The first such determination contained a GoM sediment inoculum that was amended with filter sterilized seawater and 10 g of sand patty material (Figure A1).  The loss of sulfate from these incubations was marginal from all incubations except the replicates amended with lactate as a positive control substrate. In lactate-amended incubations, the amount of sulfate utilized represented approximately 60% of the amount necessary to fully mineralize the amended lactate. After 300 d, the amount of sulfate utilized in incubations amended with whole sand patties was slightly increased relative to the other treatments.  This trend continued with time, but only approximately 10% of the available sulfate pool was consumed in sand patty-amended incubations over the course of the next 200 days (Fig. A1). </w:t>
      </w:r>
    </w:p>
    <w:p w14:paraId="36CDA9DA" w14:textId="77777777" w:rsidR="00DD1530" w:rsidRPr="00DA4CEC" w:rsidRDefault="00DD1530" w:rsidP="00DD1530">
      <w:r w:rsidRPr="00DA4CEC">
        <w:tab/>
        <w:t>Such a small amount of sulfate utilization suggested that the sand patties tended to resist transformation by anaerobic microorganisms.  Presuming biodegradation was slow at best, monitoring losses in seawater sulfate concentrations against the large background level of this anion may render this assay too insensitive to detect the likely subtle rates of microbial metabolism.</w:t>
      </w:r>
      <w:r w:rsidR="00184642" w:rsidRPr="00DA4CEC">
        <w:t xml:space="preserve"> </w:t>
      </w:r>
      <w:r w:rsidRPr="00DA4CEC">
        <w:t xml:space="preserve">Thus, the aforementioned experiment was repeated with whole sand patty material as well as the various DOM fractions identified in Chapter 1 as potential electron donors.  However, in this follow up experiment, a more sensitive radioactivity assay of the rate of </w:t>
      </w:r>
      <w:r w:rsidRPr="00DA4CEC">
        <w:rPr>
          <w:vertAlign w:val="superscript"/>
        </w:rPr>
        <w:t>35</w:t>
      </w:r>
      <w:r w:rsidRPr="00DA4CEC">
        <w:t xml:space="preserve">S-sulfide formation was used to monitor microbial respiratory activity in conjunction with sulfate depletion. </w:t>
      </w:r>
    </w:p>
    <w:p w14:paraId="0AF9EC83" w14:textId="77777777" w:rsidR="00DD1530" w:rsidRPr="00DA4CEC" w:rsidRDefault="00184642" w:rsidP="00DD1530">
      <w:r w:rsidRPr="00DA4CEC">
        <w:lastRenderedPageBreak/>
        <w:tab/>
        <w:t>N</w:t>
      </w:r>
      <w:r w:rsidR="00DD1530" w:rsidRPr="00DA4CEC">
        <w:t>o substantive increase in the rate of sulfate depletion against the large background of this anion in the seawater was observed for any of the electron donor treatments, with the exception of the positive control incubation (Figure A2).  This essentially mirrors the observations made previously with this approach.</w:t>
      </w:r>
    </w:p>
    <w:p w14:paraId="30F308AD" w14:textId="77777777" w:rsidR="00DD1530" w:rsidRPr="00DA4CEC" w:rsidRDefault="00DD1530" w:rsidP="00DD1530">
      <w:r w:rsidRPr="00DA4CEC">
        <w:tab/>
        <w:t>However, when the rates of sulfide formation were assayed in the same incubations upon periodic amendment with a radiotracer (</w:t>
      </w:r>
      <w:r w:rsidRPr="00DA4CEC">
        <w:rPr>
          <w:vertAlign w:val="superscript"/>
        </w:rPr>
        <w:t>35</w:t>
      </w:r>
      <w:r w:rsidRPr="00DA4CEC">
        <w:t>SO</w:t>
      </w:r>
      <w:r w:rsidRPr="00DA4CEC">
        <w:rPr>
          <w:vertAlign w:val="subscript"/>
        </w:rPr>
        <w:t>4</w:t>
      </w:r>
      <w:r w:rsidRPr="00DA4CEC">
        <w:rPr>
          <w:vertAlign w:val="superscript"/>
        </w:rPr>
        <w:t>-2</w:t>
      </w:r>
      <w:r w:rsidRPr="00DA4CEC">
        <w:t>), sulfate reduction rates increased relative to the sterile controls in all samples over the first 42 days of incubation.   The lactate-amended positive control treatment exhibited the largest rates of microbial respiration that averaged 0.167 μ</w:t>
      </w:r>
      <w:r w:rsidRPr="00DA4CEC">
        <w:rPr>
          <w:bCs/>
        </w:rPr>
        <w:t>mol S</w:t>
      </w:r>
      <w:r w:rsidRPr="00DA4CEC">
        <w:rPr>
          <w:bCs/>
        </w:rPr>
        <w:t>mL</w:t>
      </w:r>
      <w:r w:rsidRPr="00DA4CEC">
        <w:rPr>
          <w:bCs/>
          <w:vertAlign w:val="superscript"/>
        </w:rPr>
        <w:t>-1</w:t>
      </w:r>
      <w:r w:rsidRPr="00DA4CEC">
        <w:rPr>
          <w:bCs/>
        </w:rPr>
        <w:t xml:space="preserve"> </w:t>
      </w:r>
      <w:r w:rsidRPr="00DA4CEC">
        <w:rPr>
          <w:bCs/>
        </w:rPr>
        <w:t>day</w:t>
      </w:r>
      <w:r w:rsidRPr="00DA4CEC">
        <w:rPr>
          <w:bCs/>
          <w:vertAlign w:val="superscript"/>
        </w:rPr>
        <w:t>-1</w:t>
      </w:r>
      <w:r w:rsidRPr="00DA4CEC">
        <w:rPr>
          <w:bCs/>
        </w:rPr>
        <w:t xml:space="preserve"> over the first 56 d of incubation and declined thereafter </w:t>
      </w:r>
      <w:r w:rsidRPr="00DA4CEC">
        <w:t>(Fig. A2). This rate of sulfate reduction, if extended over the entire 216 d incubation period, could account for about 12 mM sulfate depletion.  However, the rate decreased over time (Fig. A2) and correspondingly less sulfate removal was evident in the positive control incubation.  The whole sand patty amended incubations as well as the treatments that received sand patty-derived DOM did show increases the rate of sulfide formation over sterile controls (Fig. 2A).  However, the rates observed were not significantly different that the rates measured with the endogenous forms DOM.  Thus, this experiment confirmed the sand patties themselves</w:t>
      </w:r>
      <w:r w:rsidR="00F279ED" w:rsidRPr="00DA4CEC">
        <w:t>,</w:t>
      </w:r>
      <w:r w:rsidRPr="00DA4CEC">
        <w:t xml:space="preserve"> as well as the sand patty derived DOM</w:t>
      </w:r>
      <w:r w:rsidR="00F279ED" w:rsidRPr="00DA4CEC">
        <w:t>,</w:t>
      </w:r>
      <w:r w:rsidRPr="00DA4CEC">
        <w:t xml:space="preserve"> tended to resist anaerobic decomposition under sulfate reducing conditions.</w:t>
      </w:r>
    </w:p>
    <w:p w14:paraId="76A09954" w14:textId="77777777" w:rsidR="00DD1530" w:rsidRDefault="00DD1530" w:rsidP="00DD1530"/>
    <w:p w14:paraId="0A272C79" w14:textId="77777777" w:rsidR="00DA4CEC" w:rsidRDefault="00DA4CEC" w:rsidP="00DD1530"/>
    <w:p w14:paraId="1BE1C24D" w14:textId="77777777" w:rsidR="00DA4CEC" w:rsidRDefault="00DA4CEC" w:rsidP="00DD1530"/>
    <w:p w14:paraId="3EE7BB1F" w14:textId="77777777" w:rsidR="00DA4CEC" w:rsidRPr="00DA4CEC" w:rsidRDefault="00DA4CEC" w:rsidP="00DD1530"/>
    <w:p w14:paraId="5B02621C" w14:textId="77777777" w:rsidR="00DD1530" w:rsidRPr="00DA4CEC" w:rsidRDefault="00DD1530" w:rsidP="00DD1530">
      <w:pPr>
        <w:jc w:val="center"/>
        <w:rPr>
          <w:b/>
        </w:rPr>
      </w:pPr>
      <w:r w:rsidRPr="00DA4CEC">
        <w:rPr>
          <w:b/>
        </w:rPr>
        <w:lastRenderedPageBreak/>
        <w:t>Discussion</w:t>
      </w:r>
    </w:p>
    <w:p w14:paraId="057AC1D0" w14:textId="77777777" w:rsidR="00DD1530" w:rsidRPr="00DA4CEC" w:rsidRDefault="00DD1530" w:rsidP="00DD1530">
      <w:r w:rsidRPr="00DA4CEC">
        <w:tab/>
        <w:t>The weathering of the Deepwater Horizon oil resulted in the formation and deposition of sand patties made up mostly of chemical constituents that have been termed ‘oxyhydrocarbons’.</w:t>
      </w:r>
      <w:r w:rsidRPr="00DA4CEC">
        <w:fldChar w:fldCharType="begin" w:fldLock="1"/>
      </w:r>
      <w:r w:rsidR="000076A8" w:rsidRPr="00DA4CEC">
        <w:instrText>ADDIN CSL_CITATION { "citationItems" : [ { "id" : "ITEM-1", "itemData" : { "DOI" : "10.5194/hessd-8-6721-2011", "author" : [ { "dropping-particle" : "", "family" : "Hayworth", "given" : "J.S.", "non-dropping-particle" : "", "parse-names" : false, "suffix" : "" }, { "dropping-particle" : "", "family" : "Clement", "given" : "T.P.", "non-dropping-particle" : "", "parse-names" : false, "suffix" : "" }, { "dropping-particle" : "", "family" : "Valentine", "given" : "J.F.", "non-dropping-particle" : "", "parse-names" : false, "suffix" : "" } ], "container-title" : "Hydrology and Earth System Sciences", "id" : "ITEM-1", "issued" : { "date-parts" : [ [ "2011" ] ] }, "page" : "3639-3649", "title" : "Deepwater Horizon oil spill impacts on Alabama beaches Deepwater Horizon oil spill impacts on Alabama beaches", "type" : "article-journal", "volume" : "15" }, "uris" : [ "http://www.mendeley.com/documents/?uuid=27937d17-a091-4336-9f14-f568150b5d69" ] }, { "id" : "ITEM-2", "itemData" : { "DOI" : "10.1021/es3015138", "ISSN" : "1520-5851", "PMID" : "22809266", "abstract" : "Following the Deepwater Horizon disaster, the effect of weathering on surface slicks, oil-soaked sands, and oil-covered rocks and boulders was studied for 18 months. With time, oxygen content increased in the hydrocarbon residues. Furthermore, a weathering-dependent increase of an operationally defined oxygenated fraction relative to the saturated and aromatic fractions was observed. This oxygenated fraction made up &gt;50% of the mass of weathered samples, had an average carbon oxidation state of -1.0, and an average molecular formula of (C(5)H(7)O)(n). These oxygenated hydrocarbon residues were devoid of natural radiocarbon, confirming a fossil source and excluding contributions from recent photosynthate. The incorporation of oxygen into the oil's hydrocarbons, which we refer to as oxyhydrocarbons, was confirmed from the detection of hydroxyl and carbonyl functional groups and the identification of long chain (C(10)-C(32)) carboxylic acids as well as alcohols. On the basis of the diagnostic ratios of alkanes and polycyclic aromatic hydrocarbons, and the context within which these samples were collected, we hypothesize that biodegradation and photooxidation share responsibility for the accumulation of oxygen in the oil residues. These results reveal that molecular-level transformations of petroleum hydrocarbons lead to increasing amounts of, apparently recalcitrant, oxyhydrocarbons that dominate the solvent-extractable material from oiled samples.", "author" : [ { "dropping-particle" : "", "family" : "Aeppli", "given" : "Christoph", "non-dropping-particle" : "", "parse-names" : false, "suffix" : "" }, { "dropping-particle" : "", "family" : "Carmichael", "given" : "Catherine A", "non-dropping-particle" : "", "parse-names" : false, "suffix" : "" }, { "dropping-particle" : "", "family" : "Nelson", "given" : "Robert K", "non-dropping-particle" : "", "parse-names" : false, "suffix" : "" }, { "dropping-particle" : "", "family" : "Lemkau", "given" : "Karin L", "non-dropping-particle" : "", "parse-names" : false, "suffix" : "" }, { "dropping-particle" : "", "family" : "Graham", "given" : "William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"dropping-particle" : "", "family" : "Graham", "given" : "M", "non-dropping-particle" : "", "parse-names" : false, "suffix" : "" }, { "dropping-particle" : "", "family" : "Redmond", "given" : "Molly C", "non-dropping-particle" : "", "parse-names" : false, "suffix" : "" }, { "dropping-particle" : "", "family" : "Valentine", "given" : "David L", "non-dropping-particle" : "", "parse-names" : false, "suffix" : "" }, { "dropping-particle" : "", "family" : "Reddy", "given" : "Christopher M", "non-dropping-particle" : "", "parse-names" : false, "suffix" : "" } ], "container-title" : "Environmental science &amp; technology", "id" : "ITEM-2", "issue" : "16", "issued" : { "date-parts" : [ [ "2012" ] ] }, "page" : "8799-807", "title" : "Oil weathering after the Deepwater Horizon disaster led to the formation of oxygenated residues.", "type" : "article-journal", "volume" : "46" }, "uris" : [ "http://www.mendeley.com/documents/?uuid=2bc2247b-a311-4ec2-b7e1-1d59c49fad55" ] }, { "id" : "ITEM-3", "itemData" : { "DOI" : "10.1021/es4042836", "ISBN" : "0013-936X", "ISSN" : "0013936X", "PMID" : "24447243", "abstract" : "Biodegradation plays a major role in the natural attenuation of oil spills. However, limited information is available about biodegradation of different saturated hydrocarbon classes in surface environments, despite that oils are composed mostly of saturates, due to the limited ability of conventional gas chromatography (GC) to resolve this compound group. We studied eight weathered oil samples collected from four Gulf of Mexico beaches 12-19 months after the Deepwater Horizon disaster. Using comprehensive two-dimensional gas chromatography (GC \u00d7 GC), we successfully separated, identified, and quantified several distinct saturates classes in these samples. We find that saturated hydrocarbons eluting after n-C22 dominate the GC-amenable fraction of these weathered samples. This compound group represented 8-10%, or 38-68 thousand metric tons, of the oil originally released from Macondo well. Saturates in the n-C22 to n-C29 elution range were found to be partly biodegraded, but to different relative extents, with ease of biodegradation decreasing in the following order: n-alkanes &gt; methylalkanes and alkylcyclopentanes+alkylcyclohexanes &gt; cyclic and acyclic isoprenoids. We developed a new quantitative index designed to characterize biodegradation of &gt;n-C22 saturates. These results shed new light onto the environmental fate of these persistent, hydrophobic, and mostly overlooked compounds in the unresolved complex mixtures (UCM) of weathered oils.", "author" : [ { "dropping-particle" : "", "family" : "Gros", "given" : "Jonas", "non-dropping-particle" : "", "parse-names" : false, "suffix" : "" }, { "dropping-particle" : "", "family" : "Reddy", "given" : "Christopher M.", "non-dropping-particle" : "", "parse-names" : false, "suffix" : "" }, { "dropping-particle" : "", "family" : "Aeppli", "given" : "Christoph", "non-dropping-particle" : "", "parse-names" : false, "suffix" : "" }, { "dropping-particle" : "", "family" : "Nelson", "given" : "Robert K.", "non-dropping-particle" : "", "parse-names" : false, "suffix" : "" }, { "dropping-particle" : "", "family" : "Carmichael", "given" : "Catherine a.", "non-dropping-particle" : "", "parse-names" : false, "suffix" : "" }, { "dropping-particle" : "", "family" : "Arey", "given" : "J. Samuel", "non-dropping-particle" : "", "parse-names" : false, "suffix" : "" } ], "container-title" : "Environmental Science and Technology", "id" : "ITEM-3", "issued" : { "date-parts" : [ [ "2014" ] ] }, "page" : "1628-1637", "title" : "Resolving biodegradation patterns of persistent saturated hydrocarbons in weathered oil samples from the Deepwater Horizon disaster", "type" : "article-journal", "volume" : "48" }, "uris" : [ "http://www.mendeley.com/documents/?uuid=431e7f0e-32c6-4c25-9bd2-1b85f28ab742" ] }, { "id" : "ITEM-4", "itemData" : { "DOI" : "10.1016/j.marpolbul.2014.11.016", "ISSN" : "0025-326X", "author" : [ { "dropping-particle" : "", "family" : "Hayworth", "given" : "Joel S", "non-dropping-particle" : "", "parse-names" : false, "suffix" : "" }, { "dropping-particle" : "", "family" : "Clement", "given" : "T Prabakhar", "non-dropping-particle" : "", "parse-names" : false, "suffix" : "" }, { "dropping-particle" : "", "family" : "John", "given" : "Gerald F", "non-dropping-particle" : "", "parse-names" : false, "suffix" : "" }, { "dropping-particle" : "", "family" : "Yin", "given" : "Fang", "non-dropping-particle" : "", "parse-names" : false, "suffix" : "" } ], "container-title" : "Marine Pollution Bulletin", "id" : "ITEM-4", "issue" : "1-2", "issued" : { "date-parts" : [ [ "2015" ] ] }, "page" : "95-105", "publisher" : "Elsevier Ltd", "title" : "Fate of Deepwater Horizon oil in Alabama \u2019 s beach system : Understanding physical evolution processes based on observational data", "type" : "article-journal", "volume" : "90" }, "uris" : [ "http://www.mendeley.com/documents/?uuid=b7199ebc-2673-485f-a174-deadb0f207aa" ] } ], "mendeley" : { "formattedCitation" : "&lt;sup&gt;15,18,20,23&lt;/sup&gt;", "plainTextFormattedCitation" : "15,18,20,23", "previouslyFormattedCitation" : "&lt;sup&gt;15,18,20,23&lt;/sup&gt;" }, "properties" : { "noteIndex" : 0 }, "schema" : "https://github.com/citation-style-language/schema/raw/master/csl-citation.json" }</w:instrText>
      </w:r>
      <w:r w:rsidRPr="00DA4CEC">
        <w:fldChar w:fldCharType="separate"/>
      </w:r>
      <w:r w:rsidR="000076A8" w:rsidRPr="00DA4CEC">
        <w:rPr>
          <w:noProof/>
          <w:vertAlign w:val="superscript"/>
        </w:rPr>
        <w:t>15,18,20,23</w:t>
      </w:r>
      <w:r w:rsidRPr="00DA4CEC">
        <w:fldChar w:fldCharType="end"/>
      </w:r>
      <w:r w:rsidRPr="00DA4CEC">
        <w:t xml:space="preserve">  The environmental fate of the sand patties was explored and documented in Chapter 1.  It was found that photooxidation and aerobic biodegradation were significant advanced weathering processes impacting the stability of these structures.  There is also no doubt that sand patties can also be buried in sediments where anaerobic conditions might prevail.</w:t>
      </w:r>
      <w:r w:rsidRPr="00DA4CEC">
        <w:fldChar w:fldCharType="begin" w:fldLock="1"/>
      </w:r>
      <w:r w:rsidR="00D34B4F" w:rsidRPr="00DA4CEC">
        <w:instrText>ADDIN CSL_CITATION { "citationItems" : [ { "id" : "ITEM-1", "itemData" : { "DOI" : "10.1128/AEM.05402-11", "author" : [ { "dropping-particle" : "", "family" : "Kostka", "given" : "Joel E", "non-dropping-particle" : "", "parse-names" : false, "suffix" : "" }, { "dropping-particle" : "", "family" : "Prakash", "given" : "Om", "non-dropping-particle" : "", "parse-names" : false, "suffix" : "" }, { "dropping-particle" : "", "family" : "Overholt", "given" : "Will A", "non-dropping-particle" : "", "parse-names" : false, "suffix" : "" }, { "dropping-particle" : "", "family" : "Green", "given" : "Stefan J", "non-dropping-particle" : "", "parse-names" : false, "suffix" : "" }, { "dropping-particle" : "", "family" : "Freyer", "given" : "Gina", "non-dropping-particle" : "", "parse-names" : false, "suffix" : "" }, { "dropping-particle" : "", "family" : "Canion", "given" : "Andy", "non-dropping-particle" : "", "parse-names" : false, "suffix" : "" }, { "dropping-particle" : "", "family" : "Delgardio", "given" : "Jonathan", "non-dropping-particle" : "", "parse-names" : false, "suffix" : "" }, { "dropping-particle" : "", "family" : "Norton", "given" : "Nikita", "non-dropping-particle" : "", "parse-names" : false, "suffix" : "" }, { "dropping-particle" : "", "family" : "Hazen", "given" : "Terry C", "non-dropping-particle" : "", "parse-names" : false, "suffix" : "" }, { "dropping-particle" : "", "family" : "Huettel", "given" : "Markus", "non-dropping-particle" : "", "parse-names" : false, "suffix" : "" } ], "container-title" : "Applied and Environmental Microbiology", "id" : "ITEM-1", "issue" : "22", "issued" : { "date-parts" : [ [ "2011" ] ] }, "page" : "7962-7974", "title" : "Hydrocarbon-Degrading Bacteria and the Bacterial Community Response in Gulf of Mexico Beach Sands Impacted by the Deepwater Horizon Oil Spill \u1c14 \u2020\u2021", "type" : "article-journal", "volume" : "77" }, "uris" : [ "http://www.mendeley.com/documents/?uuid=1a6f0dad-8f12-4613-b432-cd263b1bf457" ] }, { "id" : "ITEM-2", "itemData" : { "DOI" : "10.1016/j.marpolbul.2014.11.016", "ISSN" : "0025-326X", "author" : [ { "dropping-particle" : "", "family" : "Hayworth", "given" : "Joel S", "non-dropping-particle" : "", "parse-names" : false, "suffix" : "" }, { "dropping-particle" : "", "family" : "Clement", "given" : "T Prabakhar", "non-dropping-particle" : "", "parse-names" : false, "suffix" : "" }, { "dropping-particle" : "", "family" : "John", "given" : "Gerald F", "non-dropping-particle" : "", "parse-names" : false, "suffix" : "" }, { "dropping-particle" : "", "family" : "Yin", "given" : "Fang", "non-dropping-particle" : "", "parse-names" : false, "suffix" : "" } ], "container-title" : "Marine Pollution Bulletin", "id" : "ITEM-2", "issue" : "1-2", "issued" : { "date-parts" : [ [ "2015" ] ] }, "page" : "95-105", "publisher" : "Elsevier Ltd", "title" : "Fate of Deepwater Horizon oil in Alabama \u2019 s beach system : Understanding physical evolution processes based on observational data", "type" : "article-journal", "volume" : "90" }, "uris" : [ "http://www.mendeley.com/documents/?uuid=b7199ebc-2673-485f-a174-deadb0f207aa" ] } ], "mendeley" : { "formattedCitation" : "&lt;sup&gt;16,18&lt;/sup&gt;", "plainTextFormattedCitation" : "16,18", "previouslyFormattedCitation" : "&lt;sup&gt;16,18&lt;/sup&gt;" }, "properties" : { "noteIndex" : 0 }, "schema" : "https://github.com/citation-style-language/schema/raw/master/csl-citation.json" }</w:instrText>
      </w:r>
      <w:r w:rsidRPr="00DA4CEC">
        <w:fldChar w:fldCharType="separate"/>
      </w:r>
      <w:r w:rsidR="00D34B4F" w:rsidRPr="00DA4CEC">
        <w:rPr>
          <w:noProof/>
          <w:vertAlign w:val="superscript"/>
        </w:rPr>
        <w:t>16,18</w:t>
      </w:r>
      <w:r w:rsidRPr="00DA4CEC">
        <w:fldChar w:fldCharType="end"/>
      </w:r>
      <w:r w:rsidRPr="00DA4CEC">
        <w:t xml:space="preserve">  Given this prospect, an assessment of the potential for anaerobic biodegradation of sand patties and sand patty-derived organic material under sulfate reducing conditions was also conducted.  More specifically, the fate of the sand patty-derived organic carbon was evaluated under sulfate reducing conditions by monitoring both sulfate depletion and sulfide formation in separate experiments.  In both cases, the ability of whole sand patties or sand patty-derived organic material to serve as suitable electron donors for the indigenous anaerobic microflora was marginal at best.  In contrast, the same forms of organic matter significantly stimulated microbial respiratory processes when oxygen was available as an electron acceptor (Chapter 1).</w:t>
      </w:r>
    </w:p>
    <w:p w14:paraId="516A02C8" w14:textId="77777777" w:rsidR="00DD1530" w:rsidRPr="00DA4CEC" w:rsidRDefault="00DD1530" w:rsidP="00DD1530">
      <w:r w:rsidRPr="00DA4CEC">
        <w:tab/>
        <w:t xml:space="preserve">It is important to recognize the interpretational limits of these findings.  While tempting to conclude that sand patty-derived organic matter is recalcitrant under anaerobic conditions, the only source of inoculum evaluated in this study was a shallow surficial sediment in the northern Gulf of Mexico.  These sediments likely represent a very oxidizing habitat given the constant impact of wind, wave and tidal actions.  Weathered residual oil fractions, including sand patties, oil mats, and marine snow are </w:t>
      </w:r>
      <w:r w:rsidRPr="00DA4CEC">
        <w:lastRenderedPageBreak/>
        <w:t>also known to be deposited in deeper sedimentary regions of the Gulf of Mexico where oxygen is essentially unavailable past the first few centimeters.</w:t>
      </w:r>
      <w:r w:rsidRPr="00DA4CEC">
        <w:fldChar w:fldCharType="begin" w:fldLock="1"/>
      </w:r>
      <w:r w:rsidR="001317C1" w:rsidRPr="00DA4CEC">
        <w:instrText>ADDIN CSL_CITATION { "citationItems" : [ { "id" : "ITEM-1", "itemData" : { "DOI" : "10.1016/j.dsr2.2008.07.018", "ISBN" : "0967-0645", "ISSN" : "09670645", "abstract" : "Sediment community oxygen consumption (SCOC) has been measured from the continental shelf out to the Sigsbee Abyssal Plain in the NE Gulf of Mexico (GoM). SCOC rates on the continental shelf were an order of magnitude higher than those on the adjacent continental slope (450-2750 m depth) and two orders of magnitude higher than those on the abyssal plain at depths of 3.4-3.65 km. Oxygen penetration depth into the sediment was inversely correlated with SCOC measured within incubation chambers, but rates of SCOC calculated from either the gradient of the [O2] profiles or the total oxygen penetration depth were generally lower than those derived from chamber incubations. SCOC rates seaward of the continental shelf were lower than at equivalent depths on most continental margins where similar studies have been conducted, and this is presumed to be related to the relatively low rates of pelagic production in the GoM. The SCOC, however, was considerably higher than the input of organic detritus from the surface-water plankton estimated from surface-water pigment concentrations, suggesting that a significant fraction of the organic matter nourishing the deep GoM biota is imported laterally down slope from the continental margin. ?? 2008 Elsevier Ltd.", "author" : [ { "dropping-particle" : "", "family" : "Rowe", "given" : "Gilbert T.", "non-dropping-particle" : "", "parse-names" : false, "suffix" : "" }, { "dropping-particle" : "", "family" : "Morse", "given" : "John", "non-dropping-particle" : "", "parse-names" : false, "suffix" : "" }, { "dropping-particle" : "", "family" : "Nunnally", "given" : "Clifton", "non-dropping-particle" : "", "parse-names" : false, "suffix" : "" }, { "dropping-particle" : "", "family" : "Boland", "given" : "Gregory S.", "non-dropping-particle" : "", "parse-names" : false, "suffix" : "" } ], "container-title" : "Deep-Sea Research Part II: Topical Studies in Oceanography", "id" : "ITEM-1", "issue" : "24-26", "issued" : { "date-parts" : [ [ "2008" ] ] }, "page" : "2686-2691", "title" : "Sediment community oxygen consumption in the deep Gulf of Mexico", "type" : "article-journal", "volume" : "55" }, "uris" : [ "http://www.mendeley.com/documents/?uuid=f0a81e4a-ea41-4428-8777-640fd8a65148" ] } ], "mendeley" : { "formattedCitation" : "&lt;sup&gt;57&lt;/sup&gt;", "plainTextFormattedCitation" : "57", "previouslyFormattedCitation" : "&lt;sup&gt;57&lt;/sup&gt;" }, "properties" : { "noteIndex" : 0 }, "schema" : "https://github.com/citation-style-language/schema/raw/master/csl-citation.json" }</w:instrText>
      </w:r>
      <w:r w:rsidRPr="00DA4CEC">
        <w:fldChar w:fldCharType="separate"/>
      </w:r>
      <w:r w:rsidR="000076A8" w:rsidRPr="00DA4CEC">
        <w:rPr>
          <w:noProof/>
          <w:vertAlign w:val="superscript"/>
        </w:rPr>
        <w:t>57</w:t>
      </w:r>
      <w:r w:rsidRPr="00DA4CEC">
        <w:fldChar w:fldCharType="end"/>
      </w:r>
      <w:r w:rsidRPr="00DA4CEC">
        <w:t xml:space="preserve">  There is no </w:t>
      </w:r>
      <w:r w:rsidRPr="00DA4CEC">
        <w:rPr>
          <w:i/>
        </w:rPr>
        <w:t>a priori</w:t>
      </w:r>
      <w:r w:rsidRPr="00DA4CEC">
        <w:t xml:space="preserve"> reason to suspect that the anaerobic metabolic potential available in other regions of the Gulf are necessarily as restricted as the marine coastal areas that were the source of inoculum used in these experiments.   That is, the lessons learned relative to the toxicological impact of sand patty-derived organic matter and to the susceptibility of such highly weathered residual oil material to anaerobic biodegradation should not be extrapolated broadly.</w:t>
      </w:r>
    </w:p>
    <w:p w14:paraId="6AF991AA" w14:textId="77777777" w:rsidR="00DD1530" w:rsidRPr="00DA4CEC" w:rsidRDefault="00DD1530" w:rsidP="00DD1530"/>
    <w:p w14:paraId="03560CE4" w14:textId="77777777" w:rsidR="00CA174C" w:rsidRPr="00DA4CEC" w:rsidRDefault="00CA174C" w:rsidP="00DD1530">
      <w:pPr>
        <w:jc w:val="center"/>
        <w:rPr>
          <w:b/>
        </w:rPr>
      </w:pPr>
    </w:p>
    <w:p w14:paraId="17392A1F" w14:textId="77777777" w:rsidR="001D5EB9" w:rsidRPr="00DA4CEC" w:rsidRDefault="001D5EB9" w:rsidP="006328C6">
      <w:pPr>
        <w:widowControl w:val="0"/>
        <w:autoSpaceDE w:val="0"/>
        <w:autoSpaceDN w:val="0"/>
        <w:adjustRightInd w:val="0"/>
        <w:ind w:left="640" w:hanging="640"/>
      </w:pPr>
    </w:p>
    <w:p w14:paraId="0711AFF2" w14:textId="77777777" w:rsidR="001D5EB9" w:rsidRPr="00DA4CEC" w:rsidRDefault="001D5EB9" w:rsidP="00DD1530"/>
    <w:p w14:paraId="4C9791BB" w14:textId="77777777" w:rsidR="00FB6691" w:rsidRPr="00DA4CEC" w:rsidRDefault="00FB6691" w:rsidP="00DD1530"/>
    <w:p w14:paraId="6DBEA353" w14:textId="77777777" w:rsidR="00FB6691" w:rsidRPr="00DA4CEC" w:rsidRDefault="00FB6691" w:rsidP="00DD1530"/>
    <w:p w14:paraId="458C92AD" w14:textId="77777777" w:rsidR="0055733E" w:rsidRPr="00DA4CEC" w:rsidRDefault="0055733E" w:rsidP="00DD1530"/>
    <w:p w14:paraId="3CE3C380" w14:textId="77777777" w:rsidR="0055733E" w:rsidRPr="00DA4CEC" w:rsidRDefault="0055733E" w:rsidP="001D5EB9">
      <w:pPr>
        <w:keepNext/>
        <w:rPr>
          <w:noProof/>
          <w:lang w:bidi="ar-SA"/>
        </w:rPr>
      </w:pPr>
    </w:p>
    <w:p w14:paraId="08CFD860" w14:textId="77777777" w:rsidR="0055733E" w:rsidRPr="00DA4CEC" w:rsidRDefault="0055733E" w:rsidP="001D5EB9">
      <w:pPr>
        <w:keepNext/>
        <w:rPr>
          <w:noProof/>
          <w:lang w:bidi="ar-SA"/>
        </w:rPr>
      </w:pPr>
    </w:p>
    <w:p w14:paraId="28AC8A4E" w14:textId="77777777" w:rsidR="0055733E" w:rsidRPr="00DA4CEC" w:rsidRDefault="0055733E" w:rsidP="001D5EB9">
      <w:pPr>
        <w:keepNext/>
        <w:rPr>
          <w:noProof/>
          <w:lang w:bidi="ar-SA"/>
        </w:rPr>
      </w:pPr>
    </w:p>
    <w:p w14:paraId="7E42AB59" w14:textId="77777777" w:rsidR="0055733E" w:rsidRPr="00DA4CEC" w:rsidRDefault="0055733E" w:rsidP="001D5EB9">
      <w:pPr>
        <w:keepNext/>
        <w:rPr>
          <w:noProof/>
          <w:lang w:bidi="ar-SA"/>
        </w:rPr>
      </w:pPr>
    </w:p>
    <w:p w14:paraId="5EB46D71" w14:textId="77777777" w:rsidR="0055733E" w:rsidRPr="00DA4CEC" w:rsidRDefault="0055733E" w:rsidP="001D5EB9">
      <w:pPr>
        <w:keepNext/>
        <w:rPr>
          <w:noProof/>
          <w:lang w:bidi="ar-SA"/>
        </w:rPr>
      </w:pPr>
    </w:p>
    <w:p w14:paraId="4AD7687C" w14:textId="77777777" w:rsidR="0055733E" w:rsidRPr="00DA4CEC" w:rsidRDefault="0055733E" w:rsidP="001D5EB9">
      <w:pPr>
        <w:keepNext/>
        <w:rPr>
          <w:noProof/>
          <w:lang w:bidi="ar-SA"/>
        </w:rPr>
      </w:pPr>
    </w:p>
    <w:p w14:paraId="44D02E1F" w14:textId="77777777" w:rsidR="001D5EB9" w:rsidRPr="00DA4CEC" w:rsidRDefault="00983BA2" w:rsidP="001D5EB9">
      <w:pPr>
        <w:keepNext/>
      </w:pPr>
      <w:r>
        <w:rPr>
          <w:noProof/>
          <w:lang w:bidi="ar-SA"/>
        </w:rPr>
        <w:drawing>
          <wp:inline distT="0" distB="0" distL="0" distR="0" wp14:anchorId="58D5C7A1" wp14:editId="1C584541">
            <wp:extent cx="5380990" cy="4066540"/>
            <wp:effectExtent l="0" t="0" r="29210" b="2286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1862346" w14:textId="77777777" w:rsidR="001D5EB9" w:rsidRPr="00DA4CEC" w:rsidRDefault="001D5EB9" w:rsidP="001D5EB9">
      <w:pPr>
        <w:pStyle w:val="Caption"/>
        <w:rPr>
          <w:b w:val="0"/>
        </w:rPr>
      </w:pPr>
      <w:r w:rsidRPr="00DA4CEC">
        <w:t>Figure A1. Total amount of SO</w:t>
      </w:r>
      <w:r w:rsidRPr="00DA4CEC">
        <w:rPr>
          <w:vertAlign w:val="subscript"/>
        </w:rPr>
        <w:t>4</w:t>
      </w:r>
      <w:r w:rsidR="00C82794" w:rsidRPr="00DA4CEC">
        <w:rPr>
          <w:vertAlign w:val="superscript"/>
        </w:rPr>
        <w:t>2-</w:t>
      </w:r>
      <w:r w:rsidRPr="00DA4CEC">
        <w:t xml:space="preserve"> reduced over the course of 507 days in anaerobic GoM sediment incubations.</w:t>
      </w:r>
      <w:r w:rsidRPr="00DA4CEC">
        <w:rPr>
          <w:b w:val="0"/>
        </w:rPr>
        <w:t xml:space="preserve"> Standard deviations for triplicate measurements are indicated.</w:t>
      </w:r>
    </w:p>
    <w:p w14:paraId="1203D6E6" w14:textId="77777777" w:rsidR="001D5EB9" w:rsidRPr="00DA4CEC" w:rsidRDefault="001D5EB9" w:rsidP="001D5EB9">
      <w:r w:rsidRPr="00DA4CEC">
        <w:br w:type="page"/>
      </w:r>
    </w:p>
    <w:p w14:paraId="3857FE50" w14:textId="77777777" w:rsidR="001D5EB9" w:rsidRPr="00DA4CEC" w:rsidRDefault="001D5EB9" w:rsidP="001D5EB9"/>
    <w:p w14:paraId="22C4105A" w14:textId="77777777" w:rsidR="001D5EB9" w:rsidRPr="00DA4CEC" w:rsidRDefault="001D5EB9" w:rsidP="001D5EB9"/>
    <w:p w14:paraId="56B42137" w14:textId="77777777" w:rsidR="001D5EB9" w:rsidRPr="00DA4CEC" w:rsidRDefault="001D5EB9" w:rsidP="001D5EB9"/>
    <w:p w14:paraId="576B109F" w14:textId="77777777" w:rsidR="001D5EB9" w:rsidRPr="00DA4CEC" w:rsidRDefault="00983BA2" w:rsidP="001D5EB9">
      <w:pPr>
        <w:keepNext/>
      </w:pPr>
      <w:r>
        <w:rPr>
          <w:noProof/>
          <w:color w:val="000000"/>
          <w:lang w:bidi="ar-SA"/>
        </w:rPr>
        <w:drawing>
          <wp:inline distT="0" distB="0" distL="0" distR="0" wp14:anchorId="01659952" wp14:editId="31B795F0">
            <wp:extent cx="5380990" cy="4034790"/>
            <wp:effectExtent l="0" t="0" r="29210" b="29210"/>
            <wp:docPr id="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1699534" w14:textId="77777777" w:rsidR="00A94EF3" w:rsidRPr="001D5EB9" w:rsidRDefault="001D5EB9" w:rsidP="001D5EB9">
      <w:pPr>
        <w:pStyle w:val="Caption"/>
        <w:rPr>
          <w:b w:val="0"/>
        </w:rPr>
      </w:pPr>
      <w:r w:rsidRPr="00DA4CEC">
        <w:t>Figure A2. Total amount of SO</w:t>
      </w:r>
      <w:r w:rsidRPr="00DA4CEC">
        <w:rPr>
          <w:vertAlign w:val="subscript"/>
        </w:rPr>
        <w:t>4</w:t>
      </w:r>
      <w:r w:rsidRPr="00DA4CEC">
        <w:t xml:space="preserve"> reduced and the associated sulfate reduction rate as measured by </w:t>
      </w:r>
      <w:r w:rsidRPr="00DA4CEC">
        <w:rPr>
          <w:vertAlign w:val="superscript"/>
        </w:rPr>
        <w:t>35</w:t>
      </w:r>
      <w:r w:rsidRPr="00DA4CEC">
        <w:t>SO</w:t>
      </w:r>
      <w:r w:rsidRPr="00DA4CEC">
        <w:rPr>
          <w:vertAlign w:val="subscript"/>
        </w:rPr>
        <w:t>4</w:t>
      </w:r>
      <w:r w:rsidRPr="00DA4CEC">
        <w:rPr>
          <w:vertAlign w:val="superscript"/>
        </w:rPr>
        <w:t xml:space="preserve">2- </w:t>
      </w:r>
      <w:r w:rsidRPr="00DA4CEC">
        <w:t xml:space="preserve">tracer. </w:t>
      </w:r>
      <w:r w:rsidRPr="00DA4CEC">
        <w:rPr>
          <w:b w:val="0"/>
        </w:rPr>
        <w:t>Standard deviations for triplicate measurements are</w:t>
      </w:r>
      <w:r>
        <w:rPr>
          <w:b w:val="0"/>
        </w:rPr>
        <w:t xml:space="preserve"> indicated. </w:t>
      </w:r>
    </w:p>
    <w:sectPr w:rsidR="00A94EF3" w:rsidRPr="001D5EB9" w:rsidSect="00A94EF3">
      <w:footerReference w:type="default" r:id="rId19"/>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101C3D" w14:textId="77777777" w:rsidR="00567F95" w:rsidRDefault="00567F95" w:rsidP="00A94EF3">
      <w:pPr>
        <w:spacing w:line="240" w:lineRule="auto"/>
      </w:pPr>
      <w:r>
        <w:separator/>
      </w:r>
    </w:p>
  </w:endnote>
  <w:endnote w:type="continuationSeparator" w:id="0">
    <w:p w14:paraId="386E15DB" w14:textId="77777777" w:rsidR="00567F95" w:rsidRDefault="00567F95" w:rsidP="00A94E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Baoli SC Regular">
    <w:panose1 w:val="02010800040101010101"/>
    <w:charset w:val="00"/>
    <w:family w:val="auto"/>
    <w:pitch w:val="variable"/>
    <w:sig w:usb0="00000003" w:usb1="080F0000" w:usb2="00000000" w:usb3="00000000" w:csb0="00040001" w:csb1="00000000"/>
  </w:font>
  <w:font w:name="Menlo Regular">
    <w:panose1 w:val="020B0609030804020204"/>
    <w:charset w:val="00"/>
    <w:family w:val="auto"/>
    <w:pitch w:val="variable"/>
    <w:sig w:usb0="E60022FF" w:usb1="D200F9FB" w:usb2="02000028" w:usb3="00000000" w:csb0="000001D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3CE85" w14:textId="77777777" w:rsidR="00FA0133" w:rsidRDefault="00FA0133" w:rsidP="00A94EF3">
    <w:pPr>
      <w:pStyle w:val="Footer"/>
      <w:jc w:val="center"/>
    </w:pPr>
    <w:r>
      <w:fldChar w:fldCharType="begin"/>
    </w:r>
    <w:r>
      <w:instrText xml:space="preserve"> PAGE   \* MERGEFORMAT </w:instrText>
    </w:r>
    <w:r>
      <w:fldChar w:fldCharType="separate"/>
    </w:r>
    <w:r w:rsidR="00ED06D5">
      <w:rPr>
        <w:noProof/>
      </w:rPr>
      <w:t>ix</w:t>
    </w:r>
    <w: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89841A" w14:textId="77777777" w:rsidR="00FA0133" w:rsidRDefault="00FA0133" w:rsidP="00A94EF3">
    <w:pPr>
      <w:pStyle w:val="Footer"/>
      <w:jc w:val="center"/>
    </w:pPr>
    <w:r>
      <w:fldChar w:fldCharType="begin"/>
    </w:r>
    <w:r>
      <w:instrText xml:space="preserve"> PAGE   \* MERGEFORMAT </w:instrText>
    </w:r>
    <w:r>
      <w:fldChar w:fldCharType="separate"/>
    </w:r>
    <w:r w:rsidR="00ED06D5">
      <w:rPr>
        <w:noProof/>
      </w:rPr>
      <w:t>45</w:t>
    </w:r>
    <w: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FFE609" w14:textId="77777777" w:rsidR="00567F95" w:rsidRDefault="00567F95" w:rsidP="00A94EF3">
      <w:pPr>
        <w:spacing w:line="240" w:lineRule="auto"/>
      </w:pPr>
      <w:r>
        <w:separator/>
      </w:r>
    </w:p>
  </w:footnote>
  <w:footnote w:type="continuationSeparator" w:id="0">
    <w:p w14:paraId="1A68CD0D" w14:textId="77777777" w:rsidR="00567F95" w:rsidRDefault="00567F95" w:rsidP="00A94EF3">
      <w:pPr>
        <w:spacing w:line="240" w:lineRule="auto"/>
      </w:pPr>
      <w:r>
        <w:continuationSeparator/>
      </w:r>
    </w:p>
  </w:footnote>
  <w:footnote w:type="continuationNotice" w:id="1">
    <w:p w14:paraId="2EEB4851" w14:textId="77777777" w:rsidR="00567F95" w:rsidRDefault="00567F95">
      <w:pPr>
        <w:spacing w:line="240" w:lineRule="auto"/>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95A5A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Symbo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Symbo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6CB0CAE"/>
    <w:multiLevelType w:val="hybridMultilevel"/>
    <w:tmpl w:val="1DAA5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81D87"/>
    <w:multiLevelType w:val="hybridMultilevel"/>
    <w:tmpl w:val="112AC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E719D8"/>
    <w:multiLevelType w:val="hybridMultilevel"/>
    <w:tmpl w:val="585E8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C2249D7"/>
    <w:multiLevelType w:val="hybridMultilevel"/>
    <w:tmpl w:val="18D03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29B6FF6"/>
    <w:multiLevelType w:val="hybridMultilevel"/>
    <w:tmpl w:val="073CD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Symbo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Symbol"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4"/>
  </w:num>
  <w:num w:numId="3">
    <w:abstractNumId w:val="6"/>
  </w:num>
  <w:num w:numId="4">
    <w:abstractNumId w:val="3"/>
  </w:num>
  <w:num w:numId="5">
    <w:abstractNumId w:val="2"/>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0D"/>
    <w:rsid w:val="000076A8"/>
    <w:rsid w:val="000207D2"/>
    <w:rsid w:val="000209E4"/>
    <w:rsid w:val="000235FD"/>
    <w:rsid w:val="0003440D"/>
    <w:rsid w:val="00095D63"/>
    <w:rsid w:val="000A6D47"/>
    <w:rsid w:val="0011150E"/>
    <w:rsid w:val="00111A86"/>
    <w:rsid w:val="001176E4"/>
    <w:rsid w:val="001317C1"/>
    <w:rsid w:val="00140871"/>
    <w:rsid w:val="0016315D"/>
    <w:rsid w:val="001709E0"/>
    <w:rsid w:val="00176069"/>
    <w:rsid w:val="00184642"/>
    <w:rsid w:val="0019735C"/>
    <w:rsid w:val="001D0323"/>
    <w:rsid w:val="001D48AB"/>
    <w:rsid w:val="001D5EB9"/>
    <w:rsid w:val="001E2B2B"/>
    <w:rsid w:val="00280E8A"/>
    <w:rsid w:val="002934DF"/>
    <w:rsid w:val="002E5B6B"/>
    <w:rsid w:val="002F5E8C"/>
    <w:rsid w:val="003A060D"/>
    <w:rsid w:val="003D6C3D"/>
    <w:rsid w:val="00430B3F"/>
    <w:rsid w:val="004546C9"/>
    <w:rsid w:val="00456842"/>
    <w:rsid w:val="004A08F2"/>
    <w:rsid w:val="004A531D"/>
    <w:rsid w:val="004C15AE"/>
    <w:rsid w:val="004C18D0"/>
    <w:rsid w:val="004C74EA"/>
    <w:rsid w:val="004D4432"/>
    <w:rsid w:val="00505532"/>
    <w:rsid w:val="0055733E"/>
    <w:rsid w:val="00562A90"/>
    <w:rsid w:val="00567F95"/>
    <w:rsid w:val="00581237"/>
    <w:rsid w:val="005A51AF"/>
    <w:rsid w:val="005C3A6C"/>
    <w:rsid w:val="005D2D1A"/>
    <w:rsid w:val="005E0802"/>
    <w:rsid w:val="006122E5"/>
    <w:rsid w:val="006328C6"/>
    <w:rsid w:val="00642FEC"/>
    <w:rsid w:val="00646945"/>
    <w:rsid w:val="00650935"/>
    <w:rsid w:val="006B3CFE"/>
    <w:rsid w:val="006C7483"/>
    <w:rsid w:val="007A0897"/>
    <w:rsid w:val="007E57DB"/>
    <w:rsid w:val="007E646B"/>
    <w:rsid w:val="007F6E7D"/>
    <w:rsid w:val="007F7F9C"/>
    <w:rsid w:val="00816F1B"/>
    <w:rsid w:val="00860862"/>
    <w:rsid w:val="00863D6C"/>
    <w:rsid w:val="008A1DB4"/>
    <w:rsid w:val="008B7FD2"/>
    <w:rsid w:val="008C1564"/>
    <w:rsid w:val="008D5D5B"/>
    <w:rsid w:val="008E5448"/>
    <w:rsid w:val="00904924"/>
    <w:rsid w:val="00946E12"/>
    <w:rsid w:val="00983BA2"/>
    <w:rsid w:val="009D66E7"/>
    <w:rsid w:val="009D6EBE"/>
    <w:rsid w:val="009D71F2"/>
    <w:rsid w:val="009F246C"/>
    <w:rsid w:val="009F7D22"/>
    <w:rsid w:val="00A540FB"/>
    <w:rsid w:val="00A61904"/>
    <w:rsid w:val="00A828B1"/>
    <w:rsid w:val="00A94EF3"/>
    <w:rsid w:val="00AB42BE"/>
    <w:rsid w:val="00AD0B29"/>
    <w:rsid w:val="00AD7E9E"/>
    <w:rsid w:val="00AE29CD"/>
    <w:rsid w:val="00B4439E"/>
    <w:rsid w:val="00BC2B66"/>
    <w:rsid w:val="00BD19F9"/>
    <w:rsid w:val="00BF11AC"/>
    <w:rsid w:val="00BF1287"/>
    <w:rsid w:val="00BF545F"/>
    <w:rsid w:val="00C46E30"/>
    <w:rsid w:val="00C65F17"/>
    <w:rsid w:val="00C82794"/>
    <w:rsid w:val="00CA174C"/>
    <w:rsid w:val="00CA1AB9"/>
    <w:rsid w:val="00CE3311"/>
    <w:rsid w:val="00D34B4F"/>
    <w:rsid w:val="00D47AA3"/>
    <w:rsid w:val="00D531D6"/>
    <w:rsid w:val="00D83A6F"/>
    <w:rsid w:val="00D90FDC"/>
    <w:rsid w:val="00DA4CEC"/>
    <w:rsid w:val="00DA5C5E"/>
    <w:rsid w:val="00DC42AB"/>
    <w:rsid w:val="00DD1530"/>
    <w:rsid w:val="00DD3FCB"/>
    <w:rsid w:val="00DE3157"/>
    <w:rsid w:val="00DF1B8A"/>
    <w:rsid w:val="00E01B4D"/>
    <w:rsid w:val="00E261D1"/>
    <w:rsid w:val="00E563A3"/>
    <w:rsid w:val="00E81023"/>
    <w:rsid w:val="00EA2AD0"/>
    <w:rsid w:val="00EC480B"/>
    <w:rsid w:val="00ED06D5"/>
    <w:rsid w:val="00F05B31"/>
    <w:rsid w:val="00F279ED"/>
    <w:rsid w:val="00F3726F"/>
    <w:rsid w:val="00F44CEA"/>
    <w:rsid w:val="00F774D8"/>
    <w:rsid w:val="00F8360A"/>
    <w:rsid w:val="00F97094"/>
    <w:rsid w:val="00FA0133"/>
    <w:rsid w:val="00FB2102"/>
    <w:rsid w:val="00FB6691"/>
    <w:rsid w:val="00FD07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6A4BB3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style w:type="paragraph" w:default="1" w:styleId="Normal">
    <w:name w:val="Normal"/>
    <w:qFormat/>
    <w:rsid w:val="00695E7A"/>
    <w:pPr>
      <w:spacing w:line="480" w:lineRule="auto"/>
    </w:pPr>
    <w:rPr>
      <w:sz w:val="24"/>
      <w:szCs w:val="24"/>
      <w:lang w:bidi="en-US"/>
    </w:rPr>
  </w:style>
  <w:style w:type="paragraph" w:styleId="Heading1">
    <w:name w:val="heading 1"/>
    <w:basedOn w:val="Normal"/>
    <w:next w:val="Normal"/>
    <w:link w:val="Heading1Char"/>
    <w:autoRedefine/>
    <w:uiPriority w:val="9"/>
    <w:qFormat/>
    <w:rsid w:val="00863D6C"/>
    <w:pPr>
      <w:jc w:val="center"/>
      <w:outlineLvl w:val="0"/>
    </w:pPr>
    <w:rPr>
      <w:rFonts w:eastAsia="ＭＳ 明朝"/>
      <w:bCs/>
      <w:lang w:val="x-none" w:eastAsia="x-none"/>
    </w:rPr>
  </w:style>
  <w:style w:type="paragraph" w:styleId="Heading2">
    <w:name w:val="heading 2"/>
    <w:basedOn w:val="Normal"/>
    <w:next w:val="Normal"/>
    <w:link w:val="Heading2Char"/>
    <w:autoRedefine/>
    <w:uiPriority w:val="9"/>
    <w:unhideWhenUsed/>
    <w:qFormat/>
    <w:rsid w:val="001318C8"/>
    <w:pPr>
      <w:keepNext/>
      <w:jc w:val="center"/>
      <w:outlineLvl w:val="1"/>
    </w:pPr>
    <w:rPr>
      <w:b/>
      <w:bCs/>
      <w:iCs/>
      <w:szCs w:val="28"/>
      <w:lang w:val="x-none" w:eastAsia="x-none"/>
    </w:rPr>
  </w:style>
  <w:style w:type="paragraph" w:styleId="Heading3">
    <w:name w:val="heading 3"/>
    <w:basedOn w:val="Normal"/>
    <w:next w:val="Normal"/>
    <w:link w:val="Heading3Char"/>
    <w:autoRedefine/>
    <w:uiPriority w:val="9"/>
    <w:unhideWhenUsed/>
    <w:qFormat/>
    <w:rsid w:val="001318C8"/>
    <w:pPr>
      <w:keepNext/>
      <w:jc w:val="center"/>
      <w:outlineLvl w:val="2"/>
    </w:pPr>
    <w:rPr>
      <w:bCs/>
      <w:i/>
      <w:szCs w:val="26"/>
      <w:lang w:val="x-none" w:eastAsia="x-none"/>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lang w:val="x-none" w:eastAsia="x-none"/>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lang w:val="x-none" w:eastAsia="x-none" w:bidi="ar-SA"/>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0"/>
      <w:szCs w:val="20"/>
      <w:lang w:val="x-none" w:eastAsia="x-none" w:bidi="ar-SA"/>
    </w:rPr>
  </w:style>
  <w:style w:type="paragraph" w:styleId="Heading7">
    <w:name w:val="heading 7"/>
    <w:basedOn w:val="Normal"/>
    <w:next w:val="Normal"/>
    <w:link w:val="Heading7Char"/>
    <w:uiPriority w:val="9"/>
    <w:semiHidden/>
    <w:unhideWhenUsed/>
    <w:qFormat/>
    <w:rsid w:val="003A060D"/>
    <w:pPr>
      <w:spacing w:before="240" w:after="60"/>
      <w:outlineLvl w:val="6"/>
    </w:pPr>
    <w:rPr>
      <w:lang w:val="x-none" w:eastAsia="x-none" w:bidi="ar-SA"/>
    </w:rPr>
  </w:style>
  <w:style w:type="paragraph" w:styleId="Heading8">
    <w:name w:val="heading 8"/>
    <w:basedOn w:val="Normal"/>
    <w:next w:val="Normal"/>
    <w:link w:val="Heading8Char"/>
    <w:uiPriority w:val="9"/>
    <w:semiHidden/>
    <w:unhideWhenUsed/>
    <w:qFormat/>
    <w:rsid w:val="003A060D"/>
    <w:pPr>
      <w:spacing w:before="240" w:after="60"/>
      <w:outlineLvl w:val="7"/>
    </w:pPr>
    <w:rPr>
      <w:i/>
      <w:iCs/>
      <w:lang w:val="x-none" w:eastAsia="x-none" w:bidi="ar-SA"/>
    </w:rPr>
  </w:style>
  <w:style w:type="paragraph" w:styleId="Heading9">
    <w:name w:val="heading 9"/>
    <w:basedOn w:val="Normal"/>
    <w:next w:val="Normal"/>
    <w:link w:val="Heading9Char"/>
    <w:uiPriority w:val="9"/>
    <w:semiHidden/>
    <w:unhideWhenUsed/>
    <w:qFormat/>
    <w:rsid w:val="003A060D"/>
    <w:pPr>
      <w:spacing w:before="240" w:after="60"/>
      <w:outlineLvl w:val="8"/>
    </w:pPr>
    <w:rPr>
      <w:sz w:val="20"/>
      <w:szCs w:val="20"/>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63D6C"/>
    <w:rPr>
      <w:rFonts w:eastAsia="ＭＳ 明朝"/>
      <w:bCs/>
      <w:sz w:val="24"/>
      <w:szCs w:val="24"/>
      <w:lang w:val="x-none" w:eastAsia="x-none" w:bidi="en-US"/>
    </w:rPr>
  </w:style>
  <w:style w:type="character" w:customStyle="1" w:styleId="Heading2Char">
    <w:name w:val="Heading 2 Char"/>
    <w:link w:val="Heading2"/>
    <w:uiPriority w:val="9"/>
    <w:rsid w:val="001318C8"/>
    <w:rPr>
      <w:b/>
      <w:bCs/>
      <w:iCs/>
      <w:sz w:val="24"/>
      <w:szCs w:val="28"/>
      <w:lang w:bidi="en-US"/>
    </w:rPr>
  </w:style>
  <w:style w:type="character" w:customStyle="1" w:styleId="Heading3Char">
    <w:name w:val="Heading 3 Char"/>
    <w:link w:val="Heading3"/>
    <w:uiPriority w:val="9"/>
    <w:rsid w:val="001318C8"/>
    <w:rPr>
      <w:bCs/>
      <w:i/>
      <w:sz w:val="24"/>
      <w:szCs w:val="26"/>
      <w:lang w:bidi="en-US"/>
    </w:rPr>
  </w:style>
  <w:style w:type="character" w:customStyle="1" w:styleId="Heading4Char">
    <w:name w:val="Heading 4 Char"/>
    <w:link w:val="Heading4"/>
    <w:uiPriority w:val="9"/>
    <w:semiHidden/>
    <w:rsid w:val="0088426C"/>
    <w:rPr>
      <w:b/>
      <w:bCs/>
      <w:sz w:val="28"/>
      <w:szCs w:val="28"/>
      <w:lang w:bidi="en-US"/>
    </w:rPr>
  </w:style>
  <w:style w:type="character" w:customStyle="1" w:styleId="Heading5Char">
    <w:name w:val="Heading 5 Char"/>
    <w:link w:val="Heading5"/>
    <w:uiPriority w:val="9"/>
    <w:semiHidden/>
    <w:rsid w:val="003A060D"/>
    <w:rPr>
      <w:rFonts w:cs="Times New Roman"/>
      <w:b/>
      <w:bCs/>
      <w:i/>
      <w:iCs/>
      <w:sz w:val="26"/>
      <w:szCs w:val="26"/>
    </w:rPr>
  </w:style>
  <w:style w:type="character" w:customStyle="1" w:styleId="Heading6Char">
    <w:name w:val="Heading 6 Char"/>
    <w:link w:val="Heading6"/>
    <w:uiPriority w:val="9"/>
    <w:semiHidden/>
    <w:rsid w:val="003A060D"/>
    <w:rPr>
      <w:rFonts w:cs="Times New Roman"/>
      <w:b/>
      <w:bCs/>
    </w:rPr>
  </w:style>
  <w:style w:type="character" w:customStyle="1" w:styleId="Heading7Char">
    <w:name w:val="Heading 7 Char"/>
    <w:link w:val="Heading7"/>
    <w:uiPriority w:val="9"/>
    <w:semiHidden/>
    <w:rsid w:val="003A060D"/>
    <w:rPr>
      <w:rFonts w:cs="Times New Roman"/>
      <w:sz w:val="24"/>
      <w:szCs w:val="24"/>
    </w:rPr>
  </w:style>
  <w:style w:type="character" w:customStyle="1" w:styleId="Heading8Char">
    <w:name w:val="Heading 8 Char"/>
    <w:link w:val="Heading8"/>
    <w:uiPriority w:val="9"/>
    <w:semiHidden/>
    <w:rsid w:val="003A060D"/>
    <w:rPr>
      <w:rFonts w:cs="Times New Roman"/>
      <w:i/>
      <w:iCs/>
      <w:sz w:val="24"/>
      <w:szCs w:val="24"/>
    </w:rPr>
  </w:style>
  <w:style w:type="character" w:customStyle="1" w:styleId="Heading9Char">
    <w:name w:val="Heading 9 Char"/>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qFormat/>
    <w:rsid w:val="00EE3EDB"/>
    <w:pPr>
      <w:spacing w:line="240" w:lineRule="auto"/>
    </w:pPr>
    <w:rPr>
      <w:b/>
      <w:bCs/>
      <w:szCs w:val="18"/>
    </w:rPr>
  </w:style>
  <w:style w:type="paragraph" w:styleId="Title">
    <w:name w:val="Title"/>
    <w:basedOn w:val="Heading1"/>
    <w:next w:val="Normal"/>
    <w:link w:val="TitleChar"/>
    <w:autoRedefine/>
    <w:uiPriority w:val="10"/>
    <w:semiHidden/>
    <w:qFormat/>
    <w:rsid w:val="00DE0B7C"/>
    <w:pPr>
      <w:keepNext/>
    </w:pPr>
    <w:rPr>
      <w:b/>
      <w:bCs w:val="0"/>
      <w:caps/>
    </w:rPr>
  </w:style>
  <w:style w:type="character" w:customStyle="1" w:styleId="TitleChar">
    <w:name w:val="Title Char"/>
    <w:link w:val="Title"/>
    <w:uiPriority w:val="10"/>
    <w:semiHidden/>
    <w:rsid w:val="00B75C76"/>
    <w:rPr>
      <w:caps/>
      <w:sz w:val="24"/>
      <w:szCs w:val="24"/>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lang w:val="x-none" w:eastAsia="x-none"/>
    </w:rPr>
  </w:style>
  <w:style w:type="character" w:customStyle="1" w:styleId="SubtitleChar">
    <w:name w:val="Subtitle Char"/>
    <w:link w:val="Subtitle"/>
    <w:uiPriority w:val="11"/>
    <w:semiHidden/>
    <w:rsid w:val="00077F0A"/>
    <w:rPr>
      <w:sz w:val="24"/>
      <w:szCs w:val="24"/>
      <w:lang w:bidi="en-US"/>
    </w:rPr>
  </w:style>
  <w:style w:type="character" w:styleId="Strong">
    <w:name w:val="Strong"/>
    <w:uiPriority w:val="22"/>
    <w:semiHidden/>
    <w:unhideWhenUsed/>
    <w:qFormat/>
    <w:rsid w:val="003A060D"/>
    <w:rPr>
      <w:b/>
      <w:bCs/>
    </w:rPr>
  </w:style>
  <w:style w:type="character" w:styleId="Emphasis">
    <w:name w:val="Emphasis"/>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8E1C26"/>
    <w:pPr>
      <w:spacing w:line="240" w:lineRule="auto"/>
    </w:pPr>
    <w:rPr>
      <w:szCs w:val="32"/>
      <w:lang w:val="x-none" w:eastAsia="x-none"/>
    </w:rPr>
  </w:style>
  <w:style w:type="paragraph" w:styleId="FootnoteText">
    <w:name w:val="footnote text"/>
    <w:basedOn w:val="Normal"/>
    <w:link w:val="FootnoteTextChar"/>
    <w:uiPriority w:val="99"/>
    <w:semiHidden/>
    <w:unhideWhenUsed/>
    <w:rsid w:val="00096000"/>
    <w:pPr>
      <w:spacing w:line="240" w:lineRule="auto"/>
    </w:pPr>
    <w:rPr>
      <w:sz w:val="20"/>
      <w:szCs w:val="20"/>
      <w:lang w:val="x-none" w:eastAsia="x-none"/>
    </w:rPr>
  </w:style>
  <w:style w:type="paragraph" w:styleId="Quote">
    <w:name w:val="Quote"/>
    <w:basedOn w:val="Normal"/>
    <w:next w:val="Normal"/>
    <w:link w:val="QuoteChar"/>
    <w:uiPriority w:val="29"/>
    <w:semiHidden/>
    <w:unhideWhenUsed/>
    <w:qFormat/>
    <w:rsid w:val="003A060D"/>
    <w:rPr>
      <w:i/>
      <w:lang w:val="x-none" w:eastAsia="x-none"/>
    </w:rPr>
  </w:style>
  <w:style w:type="character" w:customStyle="1" w:styleId="QuoteChar">
    <w:name w:val="Quote Char"/>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lang w:val="x-none" w:eastAsia="x-none"/>
    </w:rPr>
  </w:style>
  <w:style w:type="character" w:customStyle="1" w:styleId="IntenseQuoteChar">
    <w:name w:val="Intense Quote Char"/>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uiPriority w:val="21"/>
    <w:semiHidden/>
    <w:unhideWhenUsed/>
    <w:qFormat/>
    <w:rsid w:val="003A060D"/>
    <w:rPr>
      <w:b/>
      <w:i/>
      <w:sz w:val="24"/>
      <w:szCs w:val="24"/>
      <w:u w:val="single"/>
    </w:rPr>
  </w:style>
  <w:style w:type="character" w:styleId="SubtleReference">
    <w:name w:val="Subtle Reference"/>
    <w:uiPriority w:val="31"/>
    <w:semiHidden/>
    <w:unhideWhenUsed/>
    <w:qFormat/>
    <w:rsid w:val="003A060D"/>
    <w:rPr>
      <w:sz w:val="24"/>
      <w:szCs w:val="24"/>
      <w:u w:val="single"/>
    </w:rPr>
  </w:style>
  <w:style w:type="character" w:styleId="IntenseReference">
    <w:name w:val="Intense Reference"/>
    <w:uiPriority w:val="32"/>
    <w:semiHidden/>
    <w:unhideWhenUsed/>
    <w:qFormat/>
    <w:rsid w:val="003A060D"/>
    <w:rPr>
      <w:b/>
      <w:sz w:val="24"/>
      <w:u w:val="single"/>
    </w:rPr>
  </w:style>
  <w:style w:type="character" w:styleId="BookTitle">
    <w:name w:val="Book Title"/>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link w:val="NoSpacing"/>
    <w:uiPriority w:val="1"/>
    <w:semiHidden/>
    <w:rsid w:val="008D7A36"/>
    <w:rPr>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lang w:val="x-none" w:eastAsia="x-none"/>
    </w:rPr>
  </w:style>
  <w:style w:type="character" w:customStyle="1" w:styleId="BalloonTextChar">
    <w:name w:val="Balloon Text Char"/>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rPr>
      <w:lang w:val="x-none" w:eastAsia="x-none"/>
    </w:rPr>
  </w:style>
  <w:style w:type="character" w:customStyle="1" w:styleId="HeaderChar">
    <w:name w:val="Header Char"/>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rPr>
      <w:lang w:val="x-none" w:eastAsia="x-none"/>
    </w:rPr>
  </w:style>
  <w:style w:type="character" w:customStyle="1" w:styleId="FooterChar">
    <w:name w:val="Footer Char"/>
    <w:link w:val="Footer"/>
    <w:uiPriority w:val="99"/>
    <w:rsid w:val="008E1C26"/>
    <w:rPr>
      <w:sz w:val="24"/>
      <w:szCs w:val="24"/>
      <w:lang w:bidi="en-US"/>
    </w:rPr>
  </w:style>
  <w:style w:type="character" w:styleId="Hyperlink">
    <w:name w:val="Hyperlink"/>
    <w:uiPriority w:val="99"/>
    <w:unhideWhenUsed/>
    <w:rsid w:val="00DA1971"/>
    <w:rPr>
      <w:color w:val="0000FF"/>
      <w:u w:val="single"/>
    </w:rPr>
  </w:style>
  <w:style w:type="paragraph" w:styleId="TOC1">
    <w:name w:val="toc 1"/>
    <w:basedOn w:val="Normal"/>
    <w:next w:val="Normal"/>
    <w:autoRedefine/>
    <w:uiPriority w:val="39"/>
    <w:unhideWhenUsed/>
    <w:rsid w:val="003E1DDB"/>
    <w:pPr>
      <w:tabs>
        <w:tab w:val="right" w:leader="dot" w:pos="8486"/>
      </w:tabs>
      <w:ind w:left="720" w:hanging="720"/>
    </w:pPr>
  </w:style>
  <w:style w:type="paragraph" w:styleId="TOC2">
    <w:name w:val="toc 2"/>
    <w:basedOn w:val="Normal"/>
    <w:next w:val="Normal"/>
    <w:autoRedefine/>
    <w:uiPriority w:val="39"/>
    <w:unhideWhenUsed/>
    <w:rsid w:val="003E1DDB"/>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3E1DDB"/>
    <w:pPr>
      <w:ind w:left="1440" w:hanging="720"/>
    </w:pPr>
  </w:style>
  <w:style w:type="paragraph" w:customStyle="1" w:styleId="BlockQuotation">
    <w:name w:val="Block Quotation"/>
    <w:basedOn w:val="Normal"/>
    <w:next w:val="Normal"/>
    <w:qFormat/>
    <w:rsid w:val="001318C8"/>
    <w:pPr>
      <w:spacing w:after="240" w:line="240" w:lineRule="auto"/>
      <w:ind w:left="720"/>
    </w:pPr>
  </w:style>
  <w:style w:type="paragraph" w:customStyle="1" w:styleId="Chapter">
    <w:name w:val="Chapter"/>
    <w:basedOn w:val="Normal"/>
    <w:next w:val="Normal"/>
    <w:autoRedefine/>
    <w:qFormat/>
    <w:rsid w:val="001318C8"/>
    <w:pPr>
      <w:keepNext/>
      <w:pBdr>
        <w:bottom w:val="single" w:sz="4" w:space="1" w:color="auto"/>
      </w:pBdr>
      <w:spacing w:after="240" w:line="240" w:lineRule="auto"/>
    </w:pPr>
    <w:rPr>
      <w:b/>
      <w:sz w:val="28"/>
    </w:rPr>
  </w:style>
  <w:style w:type="character" w:customStyle="1" w:styleId="FootnoteTextChar">
    <w:name w:val="Footnote Text Char"/>
    <w:link w:val="FootnoteText"/>
    <w:uiPriority w:val="99"/>
    <w:semiHidden/>
    <w:rsid w:val="00096000"/>
    <w:rPr>
      <w:lang w:bidi="en-US"/>
    </w:rPr>
  </w:style>
  <w:style w:type="paragraph" w:styleId="TableofFigures">
    <w:name w:val="table of figures"/>
    <w:basedOn w:val="Normal"/>
    <w:next w:val="Normal"/>
    <w:uiPriority w:val="99"/>
    <w:unhideWhenUsed/>
    <w:rsid w:val="00EE3EDB"/>
    <w:pPr>
      <w:ind w:left="720" w:hanging="720"/>
    </w:pPr>
  </w:style>
  <w:style w:type="character" w:styleId="FootnoteReference">
    <w:name w:val="footnote reference"/>
    <w:uiPriority w:val="99"/>
    <w:semiHidden/>
    <w:unhideWhenUsed/>
    <w:rsid w:val="00096000"/>
    <w:rPr>
      <w:vertAlign w:val="superscript"/>
    </w:rPr>
  </w:style>
  <w:style w:type="paragraph" w:styleId="EndnoteText">
    <w:name w:val="endnote text"/>
    <w:basedOn w:val="Normal"/>
    <w:link w:val="EndnoteTextChar"/>
    <w:uiPriority w:val="99"/>
    <w:semiHidden/>
    <w:unhideWhenUsed/>
    <w:rsid w:val="00695E7A"/>
    <w:pPr>
      <w:spacing w:line="240" w:lineRule="auto"/>
    </w:pPr>
    <w:rPr>
      <w:sz w:val="20"/>
      <w:szCs w:val="20"/>
      <w:lang w:val="x-none" w:eastAsia="x-none"/>
    </w:rPr>
  </w:style>
  <w:style w:type="character" w:customStyle="1" w:styleId="EndnoteTextChar">
    <w:name w:val="Endnote Text Char"/>
    <w:link w:val="EndnoteText"/>
    <w:uiPriority w:val="99"/>
    <w:semiHidden/>
    <w:rsid w:val="00695E7A"/>
    <w:rPr>
      <w:lang w:bidi="en-US"/>
    </w:rPr>
  </w:style>
  <w:style w:type="character" w:styleId="EndnoteReference">
    <w:name w:val="endnote reference"/>
    <w:uiPriority w:val="99"/>
    <w:semiHidden/>
    <w:unhideWhenUsed/>
    <w:rsid w:val="00695E7A"/>
    <w:rPr>
      <w:vertAlign w:val="superscript"/>
    </w:rPr>
  </w:style>
  <w:style w:type="character" w:styleId="CommentReference">
    <w:name w:val="annotation reference"/>
    <w:uiPriority w:val="99"/>
    <w:semiHidden/>
    <w:unhideWhenUsed/>
    <w:rsid w:val="0003333A"/>
    <w:rPr>
      <w:sz w:val="18"/>
      <w:szCs w:val="18"/>
    </w:rPr>
  </w:style>
  <w:style w:type="table" w:customStyle="1" w:styleId="TableGrid1">
    <w:name w:val="Table Grid1"/>
    <w:basedOn w:val="TableNormal"/>
    <w:next w:val="TableGrid"/>
    <w:uiPriority w:val="59"/>
    <w:rsid w:val="003D5188"/>
    <w:rPr>
      <w:rFonts w:ascii="Cambria" w:eastAsia="ＭＳ 明朝" w:hAnsi="Cambria"/>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sid w:val="00C77EEF"/>
  </w:style>
  <w:style w:type="character" w:customStyle="1" w:styleId="CommentTextChar">
    <w:name w:val="Comment Text Char"/>
    <w:link w:val="CommentText"/>
    <w:uiPriority w:val="99"/>
    <w:semiHidden/>
    <w:rsid w:val="00C77EEF"/>
    <w:rPr>
      <w:sz w:val="24"/>
      <w:szCs w:val="24"/>
      <w:lang w:bidi="en-US"/>
    </w:rPr>
  </w:style>
  <w:style w:type="paragraph" w:styleId="CommentSubject">
    <w:name w:val="annotation subject"/>
    <w:basedOn w:val="CommentText"/>
    <w:next w:val="CommentText"/>
    <w:link w:val="CommentSubjectChar"/>
    <w:uiPriority w:val="99"/>
    <w:semiHidden/>
    <w:unhideWhenUsed/>
    <w:rsid w:val="00C77EEF"/>
    <w:rPr>
      <w:b/>
      <w:bCs/>
      <w:sz w:val="20"/>
      <w:szCs w:val="20"/>
    </w:rPr>
  </w:style>
  <w:style w:type="character" w:customStyle="1" w:styleId="CommentSubjectChar">
    <w:name w:val="Comment Subject Char"/>
    <w:link w:val="CommentSubject"/>
    <w:uiPriority w:val="99"/>
    <w:semiHidden/>
    <w:rsid w:val="00C77EEF"/>
    <w:rPr>
      <w:b/>
      <w:bCs/>
      <w:sz w:val="24"/>
      <w:szCs w:val="24"/>
      <w:lang w:bidi="en-US"/>
    </w:rPr>
  </w:style>
  <w:style w:type="character" w:styleId="FollowedHyperlink">
    <w:name w:val="FollowedHyperlink"/>
    <w:rsid w:val="00860862"/>
    <w:rPr>
      <w:color w:val="800080"/>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style w:type="paragraph" w:default="1" w:styleId="Normal">
    <w:name w:val="Normal"/>
    <w:qFormat/>
    <w:rsid w:val="00695E7A"/>
    <w:pPr>
      <w:spacing w:line="480" w:lineRule="auto"/>
    </w:pPr>
    <w:rPr>
      <w:sz w:val="24"/>
      <w:szCs w:val="24"/>
      <w:lang w:bidi="en-US"/>
    </w:rPr>
  </w:style>
  <w:style w:type="paragraph" w:styleId="Heading1">
    <w:name w:val="heading 1"/>
    <w:basedOn w:val="Normal"/>
    <w:next w:val="Normal"/>
    <w:link w:val="Heading1Char"/>
    <w:autoRedefine/>
    <w:uiPriority w:val="9"/>
    <w:qFormat/>
    <w:rsid w:val="00863D6C"/>
    <w:pPr>
      <w:jc w:val="center"/>
      <w:outlineLvl w:val="0"/>
    </w:pPr>
    <w:rPr>
      <w:rFonts w:eastAsia="ＭＳ 明朝"/>
      <w:bCs/>
      <w:lang w:val="x-none" w:eastAsia="x-none"/>
    </w:rPr>
  </w:style>
  <w:style w:type="paragraph" w:styleId="Heading2">
    <w:name w:val="heading 2"/>
    <w:basedOn w:val="Normal"/>
    <w:next w:val="Normal"/>
    <w:link w:val="Heading2Char"/>
    <w:autoRedefine/>
    <w:uiPriority w:val="9"/>
    <w:unhideWhenUsed/>
    <w:qFormat/>
    <w:rsid w:val="001318C8"/>
    <w:pPr>
      <w:keepNext/>
      <w:jc w:val="center"/>
      <w:outlineLvl w:val="1"/>
    </w:pPr>
    <w:rPr>
      <w:b/>
      <w:bCs/>
      <w:iCs/>
      <w:szCs w:val="28"/>
      <w:lang w:val="x-none" w:eastAsia="x-none"/>
    </w:rPr>
  </w:style>
  <w:style w:type="paragraph" w:styleId="Heading3">
    <w:name w:val="heading 3"/>
    <w:basedOn w:val="Normal"/>
    <w:next w:val="Normal"/>
    <w:link w:val="Heading3Char"/>
    <w:autoRedefine/>
    <w:uiPriority w:val="9"/>
    <w:unhideWhenUsed/>
    <w:qFormat/>
    <w:rsid w:val="001318C8"/>
    <w:pPr>
      <w:keepNext/>
      <w:jc w:val="center"/>
      <w:outlineLvl w:val="2"/>
    </w:pPr>
    <w:rPr>
      <w:bCs/>
      <w:i/>
      <w:szCs w:val="26"/>
      <w:lang w:val="x-none" w:eastAsia="x-none"/>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lang w:val="x-none" w:eastAsia="x-none"/>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lang w:val="x-none" w:eastAsia="x-none" w:bidi="ar-SA"/>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0"/>
      <w:szCs w:val="20"/>
      <w:lang w:val="x-none" w:eastAsia="x-none" w:bidi="ar-SA"/>
    </w:rPr>
  </w:style>
  <w:style w:type="paragraph" w:styleId="Heading7">
    <w:name w:val="heading 7"/>
    <w:basedOn w:val="Normal"/>
    <w:next w:val="Normal"/>
    <w:link w:val="Heading7Char"/>
    <w:uiPriority w:val="9"/>
    <w:semiHidden/>
    <w:unhideWhenUsed/>
    <w:qFormat/>
    <w:rsid w:val="003A060D"/>
    <w:pPr>
      <w:spacing w:before="240" w:after="60"/>
      <w:outlineLvl w:val="6"/>
    </w:pPr>
    <w:rPr>
      <w:lang w:val="x-none" w:eastAsia="x-none" w:bidi="ar-SA"/>
    </w:rPr>
  </w:style>
  <w:style w:type="paragraph" w:styleId="Heading8">
    <w:name w:val="heading 8"/>
    <w:basedOn w:val="Normal"/>
    <w:next w:val="Normal"/>
    <w:link w:val="Heading8Char"/>
    <w:uiPriority w:val="9"/>
    <w:semiHidden/>
    <w:unhideWhenUsed/>
    <w:qFormat/>
    <w:rsid w:val="003A060D"/>
    <w:pPr>
      <w:spacing w:before="240" w:after="60"/>
      <w:outlineLvl w:val="7"/>
    </w:pPr>
    <w:rPr>
      <w:i/>
      <w:iCs/>
      <w:lang w:val="x-none" w:eastAsia="x-none" w:bidi="ar-SA"/>
    </w:rPr>
  </w:style>
  <w:style w:type="paragraph" w:styleId="Heading9">
    <w:name w:val="heading 9"/>
    <w:basedOn w:val="Normal"/>
    <w:next w:val="Normal"/>
    <w:link w:val="Heading9Char"/>
    <w:uiPriority w:val="9"/>
    <w:semiHidden/>
    <w:unhideWhenUsed/>
    <w:qFormat/>
    <w:rsid w:val="003A060D"/>
    <w:pPr>
      <w:spacing w:before="240" w:after="60"/>
      <w:outlineLvl w:val="8"/>
    </w:pPr>
    <w:rPr>
      <w:sz w:val="20"/>
      <w:szCs w:val="20"/>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63D6C"/>
    <w:rPr>
      <w:rFonts w:eastAsia="ＭＳ 明朝"/>
      <w:bCs/>
      <w:sz w:val="24"/>
      <w:szCs w:val="24"/>
      <w:lang w:val="x-none" w:eastAsia="x-none" w:bidi="en-US"/>
    </w:rPr>
  </w:style>
  <w:style w:type="character" w:customStyle="1" w:styleId="Heading2Char">
    <w:name w:val="Heading 2 Char"/>
    <w:link w:val="Heading2"/>
    <w:uiPriority w:val="9"/>
    <w:rsid w:val="001318C8"/>
    <w:rPr>
      <w:b/>
      <w:bCs/>
      <w:iCs/>
      <w:sz w:val="24"/>
      <w:szCs w:val="28"/>
      <w:lang w:bidi="en-US"/>
    </w:rPr>
  </w:style>
  <w:style w:type="character" w:customStyle="1" w:styleId="Heading3Char">
    <w:name w:val="Heading 3 Char"/>
    <w:link w:val="Heading3"/>
    <w:uiPriority w:val="9"/>
    <w:rsid w:val="001318C8"/>
    <w:rPr>
      <w:bCs/>
      <w:i/>
      <w:sz w:val="24"/>
      <w:szCs w:val="26"/>
      <w:lang w:bidi="en-US"/>
    </w:rPr>
  </w:style>
  <w:style w:type="character" w:customStyle="1" w:styleId="Heading4Char">
    <w:name w:val="Heading 4 Char"/>
    <w:link w:val="Heading4"/>
    <w:uiPriority w:val="9"/>
    <w:semiHidden/>
    <w:rsid w:val="0088426C"/>
    <w:rPr>
      <w:b/>
      <w:bCs/>
      <w:sz w:val="28"/>
      <w:szCs w:val="28"/>
      <w:lang w:bidi="en-US"/>
    </w:rPr>
  </w:style>
  <w:style w:type="character" w:customStyle="1" w:styleId="Heading5Char">
    <w:name w:val="Heading 5 Char"/>
    <w:link w:val="Heading5"/>
    <w:uiPriority w:val="9"/>
    <w:semiHidden/>
    <w:rsid w:val="003A060D"/>
    <w:rPr>
      <w:rFonts w:cs="Times New Roman"/>
      <w:b/>
      <w:bCs/>
      <w:i/>
      <w:iCs/>
      <w:sz w:val="26"/>
      <w:szCs w:val="26"/>
    </w:rPr>
  </w:style>
  <w:style w:type="character" w:customStyle="1" w:styleId="Heading6Char">
    <w:name w:val="Heading 6 Char"/>
    <w:link w:val="Heading6"/>
    <w:uiPriority w:val="9"/>
    <w:semiHidden/>
    <w:rsid w:val="003A060D"/>
    <w:rPr>
      <w:rFonts w:cs="Times New Roman"/>
      <w:b/>
      <w:bCs/>
    </w:rPr>
  </w:style>
  <w:style w:type="character" w:customStyle="1" w:styleId="Heading7Char">
    <w:name w:val="Heading 7 Char"/>
    <w:link w:val="Heading7"/>
    <w:uiPriority w:val="9"/>
    <w:semiHidden/>
    <w:rsid w:val="003A060D"/>
    <w:rPr>
      <w:rFonts w:cs="Times New Roman"/>
      <w:sz w:val="24"/>
      <w:szCs w:val="24"/>
    </w:rPr>
  </w:style>
  <w:style w:type="character" w:customStyle="1" w:styleId="Heading8Char">
    <w:name w:val="Heading 8 Char"/>
    <w:link w:val="Heading8"/>
    <w:uiPriority w:val="9"/>
    <w:semiHidden/>
    <w:rsid w:val="003A060D"/>
    <w:rPr>
      <w:rFonts w:cs="Times New Roman"/>
      <w:i/>
      <w:iCs/>
      <w:sz w:val="24"/>
      <w:szCs w:val="24"/>
    </w:rPr>
  </w:style>
  <w:style w:type="character" w:customStyle="1" w:styleId="Heading9Char">
    <w:name w:val="Heading 9 Char"/>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qFormat/>
    <w:rsid w:val="00EE3EDB"/>
    <w:pPr>
      <w:spacing w:line="240" w:lineRule="auto"/>
    </w:pPr>
    <w:rPr>
      <w:b/>
      <w:bCs/>
      <w:szCs w:val="18"/>
    </w:rPr>
  </w:style>
  <w:style w:type="paragraph" w:styleId="Title">
    <w:name w:val="Title"/>
    <w:basedOn w:val="Heading1"/>
    <w:next w:val="Normal"/>
    <w:link w:val="TitleChar"/>
    <w:autoRedefine/>
    <w:uiPriority w:val="10"/>
    <w:semiHidden/>
    <w:qFormat/>
    <w:rsid w:val="00DE0B7C"/>
    <w:pPr>
      <w:keepNext/>
    </w:pPr>
    <w:rPr>
      <w:b/>
      <w:bCs w:val="0"/>
      <w:caps/>
    </w:rPr>
  </w:style>
  <w:style w:type="character" w:customStyle="1" w:styleId="TitleChar">
    <w:name w:val="Title Char"/>
    <w:link w:val="Title"/>
    <w:uiPriority w:val="10"/>
    <w:semiHidden/>
    <w:rsid w:val="00B75C76"/>
    <w:rPr>
      <w:caps/>
      <w:sz w:val="24"/>
      <w:szCs w:val="24"/>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lang w:val="x-none" w:eastAsia="x-none"/>
    </w:rPr>
  </w:style>
  <w:style w:type="character" w:customStyle="1" w:styleId="SubtitleChar">
    <w:name w:val="Subtitle Char"/>
    <w:link w:val="Subtitle"/>
    <w:uiPriority w:val="11"/>
    <w:semiHidden/>
    <w:rsid w:val="00077F0A"/>
    <w:rPr>
      <w:sz w:val="24"/>
      <w:szCs w:val="24"/>
      <w:lang w:bidi="en-US"/>
    </w:rPr>
  </w:style>
  <w:style w:type="character" w:styleId="Strong">
    <w:name w:val="Strong"/>
    <w:uiPriority w:val="22"/>
    <w:semiHidden/>
    <w:unhideWhenUsed/>
    <w:qFormat/>
    <w:rsid w:val="003A060D"/>
    <w:rPr>
      <w:b/>
      <w:bCs/>
    </w:rPr>
  </w:style>
  <w:style w:type="character" w:styleId="Emphasis">
    <w:name w:val="Emphasis"/>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8E1C26"/>
    <w:pPr>
      <w:spacing w:line="240" w:lineRule="auto"/>
    </w:pPr>
    <w:rPr>
      <w:szCs w:val="32"/>
      <w:lang w:val="x-none" w:eastAsia="x-none"/>
    </w:rPr>
  </w:style>
  <w:style w:type="paragraph" w:styleId="FootnoteText">
    <w:name w:val="footnote text"/>
    <w:basedOn w:val="Normal"/>
    <w:link w:val="FootnoteTextChar"/>
    <w:uiPriority w:val="99"/>
    <w:semiHidden/>
    <w:unhideWhenUsed/>
    <w:rsid w:val="00096000"/>
    <w:pPr>
      <w:spacing w:line="240" w:lineRule="auto"/>
    </w:pPr>
    <w:rPr>
      <w:sz w:val="20"/>
      <w:szCs w:val="20"/>
      <w:lang w:val="x-none" w:eastAsia="x-none"/>
    </w:rPr>
  </w:style>
  <w:style w:type="paragraph" w:styleId="Quote">
    <w:name w:val="Quote"/>
    <w:basedOn w:val="Normal"/>
    <w:next w:val="Normal"/>
    <w:link w:val="QuoteChar"/>
    <w:uiPriority w:val="29"/>
    <w:semiHidden/>
    <w:unhideWhenUsed/>
    <w:qFormat/>
    <w:rsid w:val="003A060D"/>
    <w:rPr>
      <w:i/>
      <w:lang w:val="x-none" w:eastAsia="x-none"/>
    </w:rPr>
  </w:style>
  <w:style w:type="character" w:customStyle="1" w:styleId="QuoteChar">
    <w:name w:val="Quote Char"/>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lang w:val="x-none" w:eastAsia="x-none"/>
    </w:rPr>
  </w:style>
  <w:style w:type="character" w:customStyle="1" w:styleId="IntenseQuoteChar">
    <w:name w:val="Intense Quote Char"/>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uiPriority w:val="21"/>
    <w:semiHidden/>
    <w:unhideWhenUsed/>
    <w:qFormat/>
    <w:rsid w:val="003A060D"/>
    <w:rPr>
      <w:b/>
      <w:i/>
      <w:sz w:val="24"/>
      <w:szCs w:val="24"/>
      <w:u w:val="single"/>
    </w:rPr>
  </w:style>
  <w:style w:type="character" w:styleId="SubtleReference">
    <w:name w:val="Subtle Reference"/>
    <w:uiPriority w:val="31"/>
    <w:semiHidden/>
    <w:unhideWhenUsed/>
    <w:qFormat/>
    <w:rsid w:val="003A060D"/>
    <w:rPr>
      <w:sz w:val="24"/>
      <w:szCs w:val="24"/>
      <w:u w:val="single"/>
    </w:rPr>
  </w:style>
  <w:style w:type="character" w:styleId="IntenseReference">
    <w:name w:val="Intense Reference"/>
    <w:uiPriority w:val="32"/>
    <w:semiHidden/>
    <w:unhideWhenUsed/>
    <w:qFormat/>
    <w:rsid w:val="003A060D"/>
    <w:rPr>
      <w:b/>
      <w:sz w:val="24"/>
      <w:u w:val="single"/>
    </w:rPr>
  </w:style>
  <w:style w:type="character" w:styleId="BookTitle">
    <w:name w:val="Book Title"/>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link w:val="NoSpacing"/>
    <w:uiPriority w:val="1"/>
    <w:semiHidden/>
    <w:rsid w:val="008D7A36"/>
    <w:rPr>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lang w:val="x-none" w:eastAsia="x-none"/>
    </w:rPr>
  </w:style>
  <w:style w:type="character" w:customStyle="1" w:styleId="BalloonTextChar">
    <w:name w:val="Balloon Text Char"/>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rPr>
      <w:lang w:val="x-none" w:eastAsia="x-none"/>
    </w:rPr>
  </w:style>
  <w:style w:type="character" w:customStyle="1" w:styleId="HeaderChar">
    <w:name w:val="Header Char"/>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rPr>
      <w:lang w:val="x-none" w:eastAsia="x-none"/>
    </w:rPr>
  </w:style>
  <w:style w:type="character" w:customStyle="1" w:styleId="FooterChar">
    <w:name w:val="Footer Char"/>
    <w:link w:val="Footer"/>
    <w:uiPriority w:val="99"/>
    <w:rsid w:val="008E1C26"/>
    <w:rPr>
      <w:sz w:val="24"/>
      <w:szCs w:val="24"/>
      <w:lang w:bidi="en-US"/>
    </w:rPr>
  </w:style>
  <w:style w:type="character" w:styleId="Hyperlink">
    <w:name w:val="Hyperlink"/>
    <w:uiPriority w:val="99"/>
    <w:unhideWhenUsed/>
    <w:rsid w:val="00DA1971"/>
    <w:rPr>
      <w:color w:val="0000FF"/>
      <w:u w:val="single"/>
    </w:rPr>
  </w:style>
  <w:style w:type="paragraph" w:styleId="TOC1">
    <w:name w:val="toc 1"/>
    <w:basedOn w:val="Normal"/>
    <w:next w:val="Normal"/>
    <w:autoRedefine/>
    <w:uiPriority w:val="39"/>
    <w:unhideWhenUsed/>
    <w:rsid w:val="003E1DDB"/>
    <w:pPr>
      <w:tabs>
        <w:tab w:val="right" w:leader="dot" w:pos="8486"/>
      </w:tabs>
      <w:ind w:left="720" w:hanging="720"/>
    </w:pPr>
  </w:style>
  <w:style w:type="paragraph" w:styleId="TOC2">
    <w:name w:val="toc 2"/>
    <w:basedOn w:val="Normal"/>
    <w:next w:val="Normal"/>
    <w:autoRedefine/>
    <w:uiPriority w:val="39"/>
    <w:unhideWhenUsed/>
    <w:rsid w:val="003E1DDB"/>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3E1DDB"/>
    <w:pPr>
      <w:ind w:left="1440" w:hanging="720"/>
    </w:pPr>
  </w:style>
  <w:style w:type="paragraph" w:customStyle="1" w:styleId="BlockQuotation">
    <w:name w:val="Block Quotation"/>
    <w:basedOn w:val="Normal"/>
    <w:next w:val="Normal"/>
    <w:qFormat/>
    <w:rsid w:val="001318C8"/>
    <w:pPr>
      <w:spacing w:after="240" w:line="240" w:lineRule="auto"/>
      <w:ind w:left="720"/>
    </w:pPr>
  </w:style>
  <w:style w:type="paragraph" w:customStyle="1" w:styleId="Chapter">
    <w:name w:val="Chapter"/>
    <w:basedOn w:val="Normal"/>
    <w:next w:val="Normal"/>
    <w:autoRedefine/>
    <w:qFormat/>
    <w:rsid w:val="001318C8"/>
    <w:pPr>
      <w:keepNext/>
      <w:pBdr>
        <w:bottom w:val="single" w:sz="4" w:space="1" w:color="auto"/>
      </w:pBdr>
      <w:spacing w:after="240" w:line="240" w:lineRule="auto"/>
    </w:pPr>
    <w:rPr>
      <w:b/>
      <w:sz w:val="28"/>
    </w:rPr>
  </w:style>
  <w:style w:type="character" w:customStyle="1" w:styleId="FootnoteTextChar">
    <w:name w:val="Footnote Text Char"/>
    <w:link w:val="FootnoteText"/>
    <w:uiPriority w:val="99"/>
    <w:semiHidden/>
    <w:rsid w:val="00096000"/>
    <w:rPr>
      <w:lang w:bidi="en-US"/>
    </w:rPr>
  </w:style>
  <w:style w:type="paragraph" w:styleId="TableofFigures">
    <w:name w:val="table of figures"/>
    <w:basedOn w:val="Normal"/>
    <w:next w:val="Normal"/>
    <w:uiPriority w:val="99"/>
    <w:unhideWhenUsed/>
    <w:rsid w:val="00EE3EDB"/>
    <w:pPr>
      <w:ind w:left="720" w:hanging="720"/>
    </w:pPr>
  </w:style>
  <w:style w:type="character" w:styleId="FootnoteReference">
    <w:name w:val="footnote reference"/>
    <w:uiPriority w:val="99"/>
    <w:semiHidden/>
    <w:unhideWhenUsed/>
    <w:rsid w:val="00096000"/>
    <w:rPr>
      <w:vertAlign w:val="superscript"/>
    </w:rPr>
  </w:style>
  <w:style w:type="paragraph" w:styleId="EndnoteText">
    <w:name w:val="endnote text"/>
    <w:basedOn w:val="Normal"/>
    <w:link w:val="EndnoteTextChar"/>
    <w:uiPriority w:val="99"/>
    <w:semiHidden/>
    <w:unhideWhenUsed/>
    <w:rsid w:val="00695E7A"/>
    <w:pPr>
      <w:spacing w:line="240" w:lineRule="auto"/>
    </w:pPr>
    <w:rPr>
      <w:sz w:val="20"/>
      <w:szCs w:val="20"/>
      <w:lang w:val="x-none" w:eastAsia="x-none"/>
    </w:rPr>
  </w:style>
  <w:style w:type="character" w:customStyle="1" w:styleId="EndnoteTextChar">
    <w:name w:val="Endnote Text Char"/>
    <w:link w:val="EndnoteText"/>
    <w:uiPriority w:val="99"/>
    <w:semiHidden/>
    <w:rsid w:val="00695E7A"/>
    <w:rPr>
      <w:lang w:bidi="en-US"/>
    </w:rPr>
  </w:style>
  <w:style w:type="character" w:styleId="EndnoteReference">
    <w:name w:val="endnote reference"/>
    <w:uiPriority w:val="99"/>
    <w:semiHidden/>
    <w:unhideWhenUsed/>
    <w:rsid w:val="00695E7A"/>
    <w:rPr>
      <w:vertAlign w:val="superscript"/>
    </w:rPr>
  </w:style>
  <w:style w:type="character" w:styleId="CommentReference">
    <w:name w:val="annotation reference"/>
    <w:uiPriority w:val="99"/>
    <w:semiHidden/>
    <w:unhideWhenUsed/>
    <w:rsid w:val="0003333A"/>
    <w:rPr>
      <w:sz w:val="18"/>
      <w:szCs w:val="18"/>
    </w:rPr>
  </w:style>
  <w:style w:type="table" w:customStyle="1" w:styleId="TableGrid1">
    <w:name w:val="Table Grid1"/>
    <w:basedOn w:val="TableNormal"/>
    <w:next w:val="TableGrid"/>
    <w:uiPriority w:val="59"/>
    <w:rsid w:val="003D5188"/>
    <w:rPr>
      <w:rFonts w:ascii="Cambria" w:eastAsia="ＭＳ 明朝" w:hAnsi="Cambria"/>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sid w:val="00C77EEF"/>
  </w:style>
  <w:style w:type="character" w:customStyle="1" w:styleId="CommentTextChar">
    <w:name w:val="Comment Text Char"/>
    <w:link w:val="CommentText"/>
    <w:uiPriority w:val="99"/>
    <w:semiHidden/>
    <w:rsid w:val="00C77EEF"/>
    <w:rPr>
      <w:sz w:val="24"/>
      <w:szCs w:val="24"/>
      <w:lang w:bidi="en-US"/>
    </w:rPr>
  </w:style>
  <w:style w:type="paragraph" w:styleId="CommentSubject">
    <w:name w:val="annotation subject"/>
    <w:basedOn w:val="CommentText"/>
    <w:next w:val="CommentText"/>
    <w:link w:val="CommentSubjectChar"/>
    <w:uiPriority w:val="99"/>
    <w:semiHidden/>
    <w:unhideWhenUsed/>
    <w:rsid w:val="00C77EEF"/>
    <w:rPr>
      <w:b/>
      <w:bCs/>
      <w:sz w:val="20"/>
      <w:szCs w:val="20"/>
    </w:rPr>
  </w:style>
  <w:style w:type="character" w:customStyle="1" w:styleId="CommentSubjectChar">
    <w:name w:val="Comment Subject Char"/>
    <w:link w:val="CommentSubject"/>
    <w:uiPriority w:val="99"/>
    <w:semiHidden/>
    <w:rsid w:val="00C77EEF"/>
    <w:rPr>
      <w:b/>
      <w:bCs/>
      <w:sz w:val="24"/>
      <w:szCs w:val="24"/>
      <w:lang w:bidi="en-US"/>
    </w:rPr>
  </w:style>
  <w:style w:type="character" w:styleId="FollowedHyperlink">
    <w:name w:val="FollowedHyperlink"/>
    <w:rsid w:val="0086086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63477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1.png"/><Relationship Id="rId11" Type="http://schemas.openxmlformats.org/officeDocument/2006/relationships/chart" Target="charts/chart1.xml"/><Relationship Id="rId12" Type="http://schemas.openxmlformats.org/officeDocument/2006/relationships/chart" Target="charts/chart2.xml"/><Relationship Id="rId13" Type="http://schemas.openxmlformats.org/officeDocument/2006/relationships/image" Target="media/image2.jpeg"/><Relationship Id="rId14" Type="http://schemas.openxmlformats.org/officeDocument/2006/relationships/image" Target="media/image3.jpeg"/><Relationship Id="rId15" Type="http://schemas.openxmlformats.org/officeDocument/2006/relationships/image" Target="media/image4.jpeg"/><Relationship Id="rId16" Type="http://schemas.openxmlformats.org/officeDocument/2006/relationships/chart" Target="charts/chart3.xml"/><Relationship Id="rId17" Type="http://schemas.openxmlformats.org/officeDocument/2006/relationships/chart" Target="charts/chart4.xml"/><Relationship Id="rId18" Type="http://schemas.openxmlformats.org/officeDocument/2006/relationships/chart" Target="charts/chart5.xml"/><Relationship Id="rId19" Type="http://schemas.openxmlformats.org/officeDocument/2006/relationships/footer" Target="footer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Macintosh%20HD:Users:Brian:Desktop:GoMRI:Tar%20Balls:Tarball%20Irradiation.xlsx" TargetMode="External"/><Relationship Id="rId3"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1" Type="http://schemas.openxmlformats.org/officeDocument/2006/relationships/themeOverride" Target="../theme/themeOverride2.xml"/><Relationship Id="rId2" Type="http://schemas.openxmlformats.org/officeDocument/2006/relationships/oleObject" Target="Macintosh%20HD:Users:Brian:Desktop:GoMRI:Biodegradation:Aerobic%20Biodeg%20Data%20Combined.xlsx" TargetMode="External"/></Relationships>
</file>

<file path=word/charts/_rels/chart3.xml.rels><?xml version="1.0" encoding="UTF-8" standalone="yes"?>
<Relationships xmlns="http://schemas.openxmlformats.org/package/2006/relationships"><Relationship Id="rId1" Type="http://schemas.openxmlformats.org/officeDocument/2006/relationships/themeOverride" Target="../theme/themeOverride3.xml"/><Relationship Id="rId2" Type="http://schemas.openxmlformats.org/officeDocument/2006/relationships/oleObject" Target="Macintosh%20HD:Users:Brian:Desktop:GoMRI:Biodegradation:Gom%20TB%20Irr%20.xlsx" TargetMode="External"/></Relationships>
</file>

<file path=word/charts/_rels/chart4.xml.rels><?xml version="1.0" encoding="UTF-8" standalone="yes"?>
<Relationships xmlns="http://schemas.openxmlformats.org/package/2006/relationships"><Relationship Id="rId1" Type="http://schemas.openxmlformats.org/officeDocument/2006/relationships/themeOverride" Target="../theme/themeOverride4.xml"/><Relationship Id="rId2" Type="http://schemas.openxmlformats.org/officeDocument/2006/relationships/oleObject" Target="Macintosh%20HD:Users:Brian:Desktop:GoMRI:GoM%20Sand%20Patty%20SO4.xlsx" TargetMode="External"/></Relationships>
</file>

<file path=word/charts/_rels/chart5.xml.rels><?xml version="1.0" encoding="UTF-8" standalone="yes"?>
<Relationships xmlns="http://schemas.openxmlformats.org/package/2006/relationships"><Relationship Id="rId1" Type="http://schemas.openxmlformats.org/officeDocument/2006/relationships/themeOverride" Target="../theme/themeOverride5.xml"/><Relationship Id="rId2" Type="http://schemas.openxmlformats.org/officeDocument/2006/relationships/oleObject" Target="Macintosh%20HD:Users:Brian:Desktop:GoMRI:Biodegradation:Gom%20TB%20Irr%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scatterChart>
        <c:scatterStyle val="smoothMarker"/>
        <c:varyColors val="0"/>
        <c:ser>
          <c:idx val="0"/>
          <c:order val="0"/>
          <c:tx>
            <c:v>Dark</c:v>
          </c:tx>
          <c:spPr>
            <a:ln w="25400">
              <a:solidFill>
                <a:schemeClr val="tx1"/>
              </a:solidFill>
            </a:ln>
          </c:spPr>
          <c:marker>
            <c:symbol val="diamond"/>
            <c:size val="5"/>
            <c:spPr>
              <a:solidFill>
                <a:schemeClr val="bg1"/>
              </a:solidFill>
              <a:ln>
                <a:solidFill>
                  <a:schemeClr val="tx1"/>
                </a:solidFill>
              </a:ln>
            </c:spPr>
          </c:marker>
          <c:errBars>
            <c:errDir val="y"/>
            <c:errBarType val="both"/>
            <c:errValType val="cust"/>
            <c:noEndCap val="0"/>
            <c:plus>
              <c:numRef>
                <c:f>'254'!$D$22:$D$31</c:f>
                <c:numCache>
                  <c:formatCode>General</c:formatCode>
                  <c:ptCount val="10"/>
                  <c:pt idx="0">
                    <c:v>0.00704520000000001</c:v>
                  </c:pt>
                  <c:pt idx="1">
                    <c:v>0.0142058970140338</c:v>
                  </c:pt>
                  <c:pt idx="2">
                    <c:v>0.0102663257536472</c:v>
                  </c:pt>
                  <c:pt idx="3">
                    <c:v>0.0619006246133268</c:v>
                  </c:pt>
                  <c:pt idx="4">
                    <c:v>0.0619006246133268</c:v>
                  </c:pt>
                  <c:pt idx="5">
                    <c:v>0.0170127732922453</c:v>
                  </c:pt>
                  <c:pt idx="6">
                    <c:v>0.0184636839675438</c:v>
                  </c:pt>
                  <c:pt idx="7">
                    <c:v>0.00386146070462116</c:v>
                  </c:pt>
                  <c:pt idx="8">
                    <c:v>0.0121775101428822</c:v>
                  </c:pt>
                  <c:pt idx="9">
                    <c:v>0.00221409275325132</c:v>
                  </c:pt>
                </c:numCache>
              </c:numRef>
            </c:plus>
            <c:minus>
              <c:numRef>
                <c:f>'254'!$D$22:$D$31</c:f>
                <c:numCache>
                  <c:formatCode>General</c:formatCode>
                  <c:ptCount val="10"/>
                  <c:pt idx="0">
                    <c:v>0.00704520000000001</c:v>
                  </c:pt>
                  <c:pt idx="1">
                    <c:v>0.0142058970140338</c:v>
                  </c:pt>
                  <c:pt idx="2">
                    <c:v>0.0102663257536472</c:v>
                  </c:pt>
                  <c:pt idx="3">
                    <c:v>0.0619006246133268</c:v>
                  </c:pt>
                  <c:pt idx="4">
                    <c:v>0.0619006246133268</c:v>
                  </c:pt>
                  <c:pt idx="5">
                    <c:v>0.0170127732922453</c:v>
                  </c:pt>
                  <c:pt idx="6">
                    <c:v>0.0184636839675438</c:v>
                  </c:pt>
                  <c:pt idx="7">
                    <c:v>0.00386146070462116</c:v>
                  </c:pt>
                  <c:pt idx="8">
                    <c:v>0.0121775101428822</c:v>
                  </c:pt>
                  <c:pt idx="9">
                    <c:v>0.00221409275325132</c:v>
                  </c:pt>
                </c:numCache>
              </c:numRef>
            </c:minus>
          </c:errBars>
          <c:xVal>
            <c:numRef>
              <c:f>'254'!$A$22:$A$31</c:f>
              <c:numCache>
                <c:formatCode>General</c:formatCode>
                <c:ptCount val="10"/>
                <c:pt idx="0">
                  <c:v>3.0</c:v>
                </c:pt>
                <c:pt idx="1">
                  <c:v>6.0</c:v>
                </c:pt>
                <c:pt idx="2">
                  <c:v>9.0</c:v>
                </c:pt>
                <c:pt idx="3">
                  <c:v>12.0</c:v>
                </c:pt>
                <c:pt idx="4">
                  <c:v>24.0</c:v>
                </c:pt>
                <c:pt idx="5">
                  <c:v>36.0</c:v>
                </c:pt>
                <c:pt idx="6">
                  <c:v>48.0</c:v>
                </c:pt>
                <c:pt idx="7">
                  <c:v>60.0</c:v>
                </c:pt>
                <c:pt idx="8">
                  <c:v>72.0</c:v>
                </c:pt>
                <c:pt idx="9">
                  <c:v>84.0</c:v>
                </c:pt>
              </c:numCache>
            </c:numRef>
          </c:xVal>
          <c:yVal>
            <c:numRef>
              <c:f>'254'!$C$22:$C$31</c:f>
              <c:numCache>
                <c:formatCode>General</c:formatCode>
                <c:ptCount val="10"/>
                <c:pt idx="0">
                  <c:v>0.1113468</c:v>
                </c:pt>
                <c:pt idx="1">
                  <c:v>0.389501733333333</c:v>
                </c:pt>
                <c:pt idx="2">
                  <c:v>0.3978516</c:v>
                </c:pt>
                <c:pt idx="3">
                  <c:v>0.230593333333333</c:v>
                </c:pt>
                <c:pt idx="4">
                  <c:v>0.1598804</c:v>
                </c:pt>
                <c:pt idx="5">
                  <c:v>0.0513321333333333</c:v>
                </c:pt>
                <c:pt idx="6">
                  <c:v>0.0654225333333333</c:v>
                </c:pt>
                <c:pt idx="7">
                  <c:v>0.0348933333333333</c:v>
                </c:pt>
                <c:pt idx="8">
                  <c:v>0.032284</c:v>
                </c:pt>
                <c:pt idx="9">
                  <c:v>0.0463744</c:v>
                </c:pt>
              </c:numCache>
            </c:numRef>
          </c:yVal>
          <c:smooth val="1"/>
        </c:ser>
        <c:ser>
          <c:idx val="1"/>
          <c:order val="1"/>
          <c:tx>
            <c:v>Irradiated</c:v>
          </c:tx>
          <c:spPr>
            <a:ln w="25400">
              <a:solidFill>
                <a:schemeClr val="tx1"/>
              </a:solidFill>
            </a:ln>
          </c:spPr>
          <c:marker>
            <c:symbol val="square"/>
            <c:size val="5"/>
            <c:spPr>
              <a:solidFill>
                <a:schemeClr val="bg1"/>
              </a:solidFill>
              <a:ln>
                <a:solidFill>
                  <a:schemeClr val="tx1"/>
                </a:solidFill>
              </a:ln>
            </c:spPr>
          </c:marker>
          <c:errBars>
            <c:errDir val="y"/>
            <c:errBarType val="both"/>
            <c:errValType val="cust"/>
            <c:noEndCap val="0"/>
            <c:plus>
              <c:numRef>
                <c:f>'254'!$G$22:$G$31</c:f>
                <c:numCache>
                  <c:formatCode>General</c:formatCode>
                  <c:ptCount val="10"/>
                  <c:pt idx="0">
                    <c:v>0.0195543377325851</c:v>
                  </c:pt>
                  <c:pt idx="1">
                    <c:v>0.0226381284750602</c:v>
                  </c:pt>
                  <c:pt idx="2">
                    <c:v>0.0227056984048792</c:v>
                  </c:pt>
                  <c:pt idx="3">
                    <c:v>0.127664496634556</c:v>
                  </c:pt>
                  <c:pt idx="4">
                    <c:v>0.0176393635285026</c:v>
                  </c:pt>
                  <c:pt idx="5">
                    <c:v>0.0202299915391645</c:v>
                  </c:pt>
                  <c:pt idx="6">
                    <c:v>0.02105959940575</c:v>
                  </c:pt>
                  <c:pt idx="7">
                    <c:v>0.0606212773508445</c:v>
                  </c:pt>
                  <c:pt idx="8">
                    <c:v>0.0266640801146411</c:v>
                  </c:pt>
                  <c:pt idx="9">
                    <c:v>0.0279067559559808</c:v>
                  </c:pt>
                </c:numCache>
              </c:numRef>
            </c:plus>
            <c:minus>
              <c:numRef>
                <c:f>'254'!$G$22:$G$31</c:f>
                <c:numCache>
                  <c:formatCode>General</c:formatCode>
                  <c:ptCount val="10"/>
                  <c:pt idx="0">
                    <c:v>0.0195543377325851</c:v>
                  </c:pt>
                  <c:pt idx="1">
                    <c:v>0.0226381284750602</c:v>
                  </c:pt>
                  <c:pt idx="2">
                    <c:v>0.0227056984048792</c:v>
                  </c:pt>
                  <c:pt idx="3">
                    <c:v>0.127664496634556</c:v>
                  </c:pt>
                  <c:pt idx="4">
                    <c:v>0.0176393635285026</c:v>
                  </c:pt>
                  <c:pt idx="5">
                    <c:v>0.0202299915391645</c:v>
                  </c:pt>
                  <c:pt idx="6">
                    <c:v>0.02105959940575</c:v>
                  </c:pt>
                  <c:pt idx="7">
                    <c:v>0.0606212773508445</c:v>
                  </c:pt>
                  <c:pt idx="8">
                    <c:v>0.0266640801146411</c:v>
                  </c:pt>
                  <c:pt idx="9">
                    <c:v>0.0279067559559808</c:v>
                  </c:pt>
                </c:numCache>
              </c:numRef>
            </c:minus>
          </c:errBars>
          <c:xVal>
            <c:numRef>
              <c:f>'254'!$A$22:$A$31</c:f>
              <c:numCache>
                <c:formatCode>General</c:formatCode>
                <c:ptCount val="10"/>
                <c:pt idx="0">
                  <c:v>3.0</c:v>
                </c:pt>
                <c:pt idx="1">
                  <c:v>6.0</c:v>
                </c:pt>
                <c:pt idx="2">
                  <c:v>9.0</c:v>
                </c:pt>
                <c:pt idx="3">
                  <c:v>12.0</c:v>
                </c:pt>
                <c:pt idx="4">
                  <c:v>24.0</c:v>
                </c:pt>
                <c:pt idx="5">
                  <c:v>36.0</c:v>
                </c:pt>
                <c:pt idx="6">
                  <c:v>48.0</c:v>
                </c:pt>
                <c:pt idx="7">
                  <c:v>60.0</c:v>
                </c:pt>
                <c:pt idx="8">
                  <c:v>72.0</c:v>
                </c:pt>
                <c:pt idx="9">
                  <c:v>84.0</c:v>
                </c:pt>
              </c:numCache>
            </c:numRef>
          </c:xVal>
          <c:yVal>
            <c:numRef>
              <c:f>'254'!$F$22:$F$31</c:f>
              <c:numCache>
                <c:formatCode>General</c:formatCode>
                <c:ptCount val="10"/>
                <c:pt idx="0">
                  <c:v>0.2976532</c:v>
                </c:pt>
                <c:pt idx="1">
                  <c:v>0.523621466666667</c:v>
                </c:pt>
                <c:pt idx="2">
                  <c:v>0.447689866666667</c:v>
                </c:pt>
                <c:pt idx="3">
                  <c:v>0.539407933333333</c:v>
                </c:pt>
                <c:pt idx="4">
                  <c:v>0.273255933333333</c:v>
                </c:pt>
                <c:pt idx="5">
                  <c:v>0.228505866666667</c:v>
                </c:pt>
                <c:pt idx="6">
                  <c:v>0.257078066666667</c:v>
                </c:pt>
                <c:pt idx="7">
                  <c:v>0.1872784</c:v>
                </c:pt>
                <c:pt idx="8">
                  <c:v>0.2336593</c:v>
                </c:pt>
                <c:pt idx="9">
                  <c:v>0.2234829</c:v>
                </c:pt>
              </c:numCache>
            </c:numRef>
          </c:yVal>
          <c:smooth val="1"/>
        </c:ser>
        <c:dLbls>
          <c:showLegendKey val="0"/>
          <c:showVal val="0"/>
          <c:showCatName val="0"/>
          <c:showSerName val="0"/>
          <c:showPercent val="0"/>
          <c:showBubbleSize val="0"/>
        </c:dLbls>
        <c:axId val="2098251288"/>
        <c:axId val="2098244392"/>
      </c:scatterChart>
      <c:valAx>
        <c:axId val="2098251288"/>
        <c:scaling>
          <c:orientation val="minMax"/>
        </c:scaling>
        <c:delete val="0"/>
        <c:axPos val="b"/>
        <c:title>
          <c:tx>
            <c:rich>
              <a:bodyPr/>
              <a:lstStyle/>
              <a:p>
                <a:pPr>
                  <a:defRPr sz="1400"/>
                </a:pPr>
                <a:r>
                  <a:rPr lang="en-US" sz="1400"/>
                  <a:t>Time (Hours)</a:t>
                </a:r>
              </a:p>
            </c:rich>
          </c:tx>
          <c:overlay val="0"/>
        </c:title>
        <c:numFmt formatCode="General" sourceLinked="1"/>
        <c:majorTickMark val="out"/>
        <c:minorTickMark val="none"/>
        <c:tickLblPos val="nextTo"/>
        <c:txPr>
          <a:bodyPr/>
          <a:lstStyle/>
          <a:p>
            <a:pPr>
              <a:defRPr sz="1000"/>
            </a:pPr>
            <a:endParaRPr lang="en-US"/>
          </a:p>
        </c:txPr>
        <c:crossAx val="2098244392"/>
        <c:crosses val="autoZero"/>
        <c:crossBetween val="midCat"/>
      </c:valAx>
      <c:valAx>
        <c:axId val="2098244392"/>
        <c:scaling>
          <c:orientation val="minMax"/>
          <c:max val="0.7"/>
        </c:scaling>
        <c:delete val="0"/>
        <c:axPos val="l"/>
        <c:title>
          <c:tx>
            <c:rich>
              <a:bodyPr rot="-5400000" vert="horz"/>
              <a:lstStyle/>
              <a:p>
                <a:pPr>
                  <a:defRPr sz="1400"/>
                </a:pPr>
                <a:r>
                  <a:rPr lang="en-US" sz="1400" dirty="0"/>
                  <a:t>Abs</a:t>
                </a:r>
                <a:r>
                  <a:rPr lang="en-US" sz="1400" baseline="-25000" dirty="0"/>
                  <a:t>254</a:t>
                </a:r>
              </a:p>
            </c:rich>
          </c:tx>
          <c:overlay val="0"/>
        </c:title>
        <c:numFmt formatCode="General" sourceLinked="1"/>
        <c:majorTickMark val="out"/>
        <c:minorTickMark val="none"/>
        <c:tickLblPos val="nextTo"/>
        <c:txPr>
          <a:bodyPr/>
          <a:lstStyle/>
          <a:p>
            <a:pPr>
              <a:defRPr sz="1000"/>
            </a:pPr>
            <a:endParaRPr lang="en-US"/>
          </a:p>
        </c:txPr>
        <c:crossAx val="2098251288"/>
        <c:crosses val="autoZero"/>
        <c:crossBetween val="midCat"/>
      </c:valAx>
    </c:plotArea>
    <c:plotVisOnly val="1"/>
    <c:dispBlanksAs val="gap"/>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4"/>
          <c:order val="0"/>
          <c:tx>
            <c:v>Endogenous</c:v>
          </c:tx>
          <c:spPr>
            <a:ln w="31750">
              <a:solidFill>
                <a:srgbClr val="660066"/>
              </a:solidFill>
            </a:ln>
          </c:spPr>
          <c:marker>
            <c:symbol val="triangle"/>
            <c:size val="5"/>
            <c:spPr>
              <a:solidFill>
                <a:schemeClr val="bg1"/>
              </a:solidFill>
              <a:ln>
                <a:solidFill>
                  <a:srgbClr val="660066"/>
                </a:solidFill>
              </a:ln>
            </c:spPr>
          </c:marker>
          <c:errBars>
            <c:errDir val="y"/>
            <c:errBarType val="both"/>
            <c:errValType val="cust"/>
            <c:noEndCap val="0"/>
            <c:plus>
              <c:numRef>
                <c:f>'Total O2'!$C$49:$C$71</c:f>
                <c:numCache>
                  <c:formatCode>General</c:formatCode>
                  <c:ptCount val="23"/>
                  <c:pt idx="0">
                    <c:v>0.0</c:v>
                  </c:pt>
                  <c:pt idx="1">
                    <c:v>2.036716065958467</c:v>
                  </c:pt>
                  <c:pt idx="2">
                    <c:v>1.828710565763028</c:v>
                  </c:pt>
                  <c:pt idx="3">
                    <c:v>1.62951536762724</c:v>
                  </c:pt>
                  <c:pt idx="4">
                    <c:v>1.206341714993446</c:v>
                  </c:pt>
                  <c:pt idx="5">
                    <c:v>1.087198387293384</c:v>
                  </c:pt>
                  <c:pt idx="6">
                    <c:v>1.790709635870651</c:v>
                  </c:pt>
                  <c:pt idx="7">
                    <c:v>2.525411121646005</c:v>
                  </c:pt>
                  <c:pt idx="8">
                    <c:v>2.891876726280012</c:v>
                  </c:pt>
                  <c:pt idx="9">
                    <c:v>3.188136289433063</c:v>
                  </c:pt>
                  <c:pt idx="10">
                    <c:v>3.35759690850462</c:v>
                  </c:pt>
                  <c:pt idx="11">
                    <c:v>3.52710849469269</c:v>
                  </c:pt>
                  <c:pt idx="12">
                    <c:v>3.72960913948544</c:v>
                  </c:pt>
                  <c:pt idx="13">
                    <c:v>3.71627667610114</c:v>
                  </c:pt>
                  <c:pt idx="14">
                    <c:v>3.854808728501756</c:v>
                  </c:pt>
                  <c:pt idx="15">
                    <c:v>3.980304552836797</c:v>
                  </c:pt>
                  <c:pt idx="16">
                    <c:v>4.016608312162558</c:v>
                  </c:pt>
                  <c:pt idx="17">
                    <c:v>4.148654520845684</c:v>
                  </c:pt>
                  <c:pt idx="18">
                    <c:v>4.201896873238722</c:v>
                  </c:pt>
                  <c:pt idx="19">
                    <c:v>4.370244996946202</c:v>
                  </c:pt>
                  <c:pt idx="20">
                    <c:v>4.394663164946014</c:v>
                  </c:pt>
                  <c:pt idx="21">
                    <c:v>4.48324941681069</c:v>
                  </c:pt>
                  <c:pt idx="22">
                    <c:v>4.491795298096296</c:v>
                  </c:pt>
                </c:numCache>
              </c:numRef>
            </c:plus>
            <c:minus>
              <c:numRef>
                <c:f>'Total O2'!$C$49:$C$71</c:f>
                <c:numCache>
                  <c:formatCode>General</c:formatCode>
                  <c:ptCount val="23"/>
                  <c:pt idx="0">
                    <c:v>0.0</c:v>
                  </c:pt>
                  <c:pt idx="1">
                    <c:v>2.036716065958467</c:v>
                  </c:pt>
                  <c:pt idx="2">
                    <c:v>1.828710565763028</c:v>
                  </c:pt>
                  <c:pt idx="3">
                    <c:v>1.62951536762724</c:v>
                  </c:pt>
                  <c:pt idx="4">
                    <c:v>1.206341714993446</c:v>
                  </c:pt>
                  <c:pt idx="5">
                    <c:v>1.087198387293384</c:v>
                  </c:pt>
                  <c:pt idx="6">
                    <c:v>1.790709635870651</c:v>
                  </c:pt>
                  <c:pt idx="7">
                    <c:v>2.525411121646005</c:v>
                  </c:pt>
                  <c:pt idx="8">
                    <c:v>2.891876726280012</c:v>
                  </c:pt>
                  <c:pt idx="9">
                    <c:v>3.188136289433063</c:v>
                  </c:pt>
                  <c:pt idx="10">
                    <c:v>3.35759690850462</c:v>
                  </c:pt>
                  <c:pt idx="11">
                    <c:v>3.52710849469269</c:v>
                  </c:pt>
                  <c:pt idx="12">
                    <c:v>3.72960913948544</c:v>
                  </c:pt>
                  <c:pt idx="13">
                    <c:v>3.71627667610114</c:v>
                  </c:pt>
                  <c:pt idx="14">
                    <c:v>3.854808728501756</c:v>
                  </c:pt>
                  <c:pt idx="15">
                    <c:v>3.980304552836797</c:v>
                  </c:pt>
                  <c:pt idx="16">
                    <c:v>4.016608312162558</c:v>
                  </c:pt>
                  <c:pt idx="17">
                    <c:v>4.148654520845684</c:v>
                  </c:pt>
                  <c:pt idx="18">
                    <c:v>4.201896873238722</c:v>
                  </c:pt>
                  <c:pt idx="19">
                    <c:v>4.370244996946202</c:v>
                  </c:pt>
                  <c:pt idx="20">
                    <c:v>4.394663164946014</c:v>
                  </c:pt>
                  <c:pt idx="21">
                    <c:v>4.48324941681069</c:v>
                  </c:pt>
                  <c:pt idx="22">
                    <c:v>4.491795298096296</c:v>
                  </c:pt>
                </c:numCache>
              </c:numRef>
            </c:minus>
          </c:errBars>
          <c:xVal>
            <c:numRef>
              <c:f>'Total O2'!$A$27:$A$44</c:f>
              <c:numCache>
                <c:formatCode>General</c:formatCode>
                <c:ptCount val="18"/>
                <c:pt idx="0">
                  <c:v>0.0</c:v>
                </c:pt>
                <c:pt idx="1">
                  <c:v>4.0</c:v>
                </c:pt>
                <c:pt idx="2">
                  <c:v>8.0</c:v>
                </c:pt>
                <c:pt idx="3">
                  <c:v>12.0</c:v>
                </c:pt>
                <c:pt idx="4">
                  <c:v>16.0</c:v>
                </c:pt>
                <c:pt idx="5">
                  <c:v>20.0</c:v>
                </c:pt>
                <c:pt idx="6">
                  <c:v>24.0</c:v>
                </c:pt>
                <c:pt idx="7">
                  <c:v>28.0</c:v>
                </c:pt>
                <c:pt idx="8">
                  <c:v>32.0</c:v>
                </c:pt>
                <c:pt idx="9">
                  <c:v>36.0</c:v>
                </c:pt>
                <c:pt idx="10">
                  <c:v>40.0</c:v>
                </c:pt>
                <c:pt idx="11">
                  <c:v>44.0</c:v>
                </c:pt>
                <c:pt idx="12">
                  <c:v>48.0</c:v>
                </c:pt>
                <c:pt idx="13">
                  <c:v>52.0</c:v>
                </c:pt>
                <c:pt idx="14">
                  <c:v>56.0</c:v>
                </c:pt>
                <c:pt idx="15">
                  <c:v>60.0</c:v>
                </c:pt>
                <c:pt idx="16">
                  <c:v>64.0</c:v>
                </c:pt>
                <c:pt idx="17">
                  <c:v>68.0</c:v>
                </c:pt>
              </c:numCache>
            </c:numRef>
          </c:xVal>
          <c:yVal>
            <c:numRef>
              <c:f>'Total O2'!$B$49:$B$71</c:f>
              <c:numCache>
                <c:formatCode>General</c:formatCode>
                <c:ptCount val="23"/>
                <c:pt idx="0">
                  <c:v>0.0</c:v>
                </c:pt>
                <c:pt idx="1">
                  <c:v>1.652666666666667</c:v>
                </c:pt>
                <c:pt idx="2">
                  <c:v>2.392333333333334</c:v>
                </c:pt>
                <c:pt idx="3">
                  <c:v>4.222666666666666</c:v>
                </c:pt>
                <c:pt idx="4">
                  <c:v>6.604333333333333</c:v>
                </c:pt>
                <c:pt idx="5">
                  <c:v>10.89866666666667</c:v>
                </c:pt>
                <c:pt idx="6">
                  <c:v>15.436</c:v>
                </c:pt>
                <c:pt idx="7">
                  <c:v>21.33833333333321</c:v>
                </c:pt>
                <c:pt idx="8">
                  <c:v>23.623</c:v>
                </c:pt>
                <c:pt idx="9">
                  <c:v>25.113</c:v>
                </c:pt>
                <c:pt idx="10">
                  <c:v>26.887</c:v>
                </c:pt>
                <c:pt idx="11">
                  <c:v>28.76333333333322</c:v>
                </c:pt>
                <c:pt idx="12">
                  <c:v>30.46366666666666</c:v>
                </c:pt>
                <c:pt idx="13">
                  <c:v>31.97066666666667</c:v>
                </c:pt>
                <c:pt idx="14">
                  <c:v>33.29066666666654</c:v>
                </c:pt>
                <c:pt idx="15">
                  <c:v>34.85866666666643</c:v>
                </c:pt>
                <c:pt idx="16">
                  <c:v>36.39733333333333</c:v>
                </c:pt>
                <c:pt idx="17">
                  <c:v>37.93166666666642</c:v>
                </c:pt>
                <c:pt idx="18">
                  <c:v>39.00633333333333</c:v>
                </c:pt>
                <c:pt idx="19">
                  <c:v>40.44933333333334</c:v>
                </c:pt>
                <c:pt idx="20">
                  <c:v>42.29966666666654</c:v>
                </c:pt>
                <c:pt idx="21">
                  <c:v>43.63333333333333</c:v>
                </c:pt>
                <c:pt idx="22">
                  <c:v>45.115</c:v>
                </c:pt>
              </c:numCache>
            </c:numRef>
          </c:yVal>
          <c:smooth val="1"/>
        </c:ser>
        <c:ser>
          <c:idx val="5"/>
          <c:order val="1"/>
          <c:tx>
            <c:v>Sand Patty</c:v>
          </c:tx>
          <c:spPr>
            <a:ln w="31750">
              <a:solidFill>
                <a:schemeClr val="accent6"/>
              </a:solidFill>
            </a:ln>
          </c:spPr>
          <c:marker>
            <c:symbol val="circle"/>
            <c:size val="5"/>
            <c:spPr>
              <a:solidFill>
                <a:schemeClr val="bg1"/>
              </a:solidFill>
              <a:ln>
                <a:solidFill>
                  <a:schemeClr val="accent6"/>
                </a:solidFill>
              </a:ln>
            </c:spPr>
          </c:marker>
          <c:errBars>
            <c:errDir val="y"/>
            <c:errBarType val="both"/>
            <c:errValType val="cust"/>
            <c:noEndCap val="0"/>
            <c:plus>
              <c:numRef>
                <c:f>'Total O2'!$G$27:$G$44</c:f>
                <c:numCache>
                  <c:formatCode>General</c:formatCode>
                  <c:ptCount val="18"/>
                  <c:pt idx="0">
                    <c:v>0.0</c:v>
                  </c:pt>
                  <c:pt idx="1">
                    <c:v>0.218250620464943</c:v>
                  </c:pt>
                  <c:pt idx="2">
                    <c:v>0.331605689537037</c:v>
                  </c:pt>
                  <c:pt idx="3">
                    <c:v>0.433595817938011</c:v>
                  </c:pt>
                  <c:pt idx="4">
                    <c:v>0.604076430042866</c:v>
                  </c:pt>
                  <c:pt idx="5">
                    <c:v>0.612428771368557</c:v>
                  </c:pt>
                  <c:pt idx="6">
                    <c:v>0.731866791158063</c:v>
                  </c:pt>
                  <c:pt idx="7">
                    <c:v>0.641647878512818</c:v>
                  </c:pt>
                  <c:pt idx="8">
                    <c:v>0.371276626430123</c:v>
                  </c:pt>
                  <c:pt idx="9">
                    <c:v>0.356000000000002</c:v>
                  </c:pt>
                  <c:pt idx="10">
                    <c:v>0.659918176746178</c:v>
                  </c:pt>
                  <c:pt idx="11">
                    <c:v>0.931494140257111</c:v>
                  </c:pt>
                  <c:pt idx="12">
                    <c:v>1.173437684753646</c:v>
                  </c:pt>
                  <c:pt idx="13">
                    <c:v>1.348982703126077</c:v>
                  </c:pt>
                  <c:pt idx="14">
                    <c:v>1.567991390282474</c:v>
                  </c:pt>
                  <c:pt idx="15">
                    <c:v>1.742441486344182</c:v>
                  </c:pt>
                  <c:pt idx="16">
                    <c:v>1.872170487250916</c:v>
                  </c:pt>
                  <c:pt idx="17">
                    <c:v>2.132914047338366</c:v>
                  </c:pt>
                </c:numCache>
              </c:numRef>
            </c:plus>
            <c:minus>
              <c:numRef>
                <c:f>'Total O2'!$G$27:$G$44</c:f>
                <c:numCache>
                  <c:formatCode>General</c:formatCode>
                  <c:ptCount val="18"/>
                  <c:pt idx="0">
                    <c:v>0.0</c:v>
                  </c:pt>
                  <c:pt idx="1">
                    <c:v>0.218250620464943</c:v>
                  </c:pt>
                  <c:pt idx="2">
                    <c:v>0.331605689537037</c:v>
                  </c:pt>
                  <c:pt idx="3">
                    <c:v>0.433595817938011</c:v>
                  </c:pt>
                  <c:pt idx="4">
                    <c:v>0.604076430042866</c:v>
                  </c:pt>
                  <c:pt idx="5">
                    <c:v>0.612428771368557</c:v>
                  </c:pt>
                  <c:pt idx="6">
                    <c:v>0.731866791158063</c:v>
                  </c:pt>
                  <c:pt idx="7">
                    <c:v>0.641647878512818</c:v>
                  </c:pt>
                  <c:pt idx="8">
                    <c:v>0.371276626430123</c:v>
                  </c:pt>
                  <c:pt idx="9">
                    <c:v>0.356000000000002</c:v>
                  </c:pt>
                  <c:pt idx="10">
                    <c:v>0.659918176746178</c:v>
                  </c:pt>
                  <c:pt idx="11">
                    <c:v>0.931494140257111</c:v>
                  </c:pt>
                  <c:pt idx="12">
                    <c:v>1.173437684753646</c:v>
                  </c:pt>
                  <c:pt idx="13">
                    <c:v>1.348982703126077</c:v>
                  </c:pt>
                  <c:pt idx="14">
                    <c:v>1.567991390282474</c:v>
                  </c:pt>
                  <c:pt idx="15">
                    <c:v>1.742441486344182</c:v>
                  </c:pt>
                  <c:pt idx="16">
                    <c:v>1.872170487250916</c:v>
                  </c:pt>
                  <c:pt idx="17">
                    <c:v>2.132914047338366</c:v>
                  </c:pt>
                </c:numCache>
              </c:numRef>
            </c:minus>
          </c:errBars>
          <c:xVal>
            <c:numRef>
              <c:f>Rate!$A$26:$A$43</c:f>
              <c:numCache>
                <c:formatCode>General</c:formatCode>
                <c:ptCount val="18"/>
                <c:pt idx="0">
                  <c:v>0.0</c:v>
                </c:pt>
                <c:pt idx="1">
                  <c:v>4.0</c:v>
                </c:pt>
                <c:pt idx="2">
                  <c:v>8.0</c:v>
                </c:pt>
                <c:pt idx="3">
                  <c:v>12.0</c:v>
                </c:pt>
                <c:pt idx="4">
                  <c:v>16.0</c:v>
                </c:pt>
                <c:pt idx="5">
                  <c:v>20.0</c:v>
                </c:pt>
                <c:pt idx="6">
                  <c:v>24.0</c:v>
                </c:pt>
                <c:pt idx="7">
                  <c:v>28.0</c:v>
                </c:pt>
                <c:pt idx="8">
                  <c:v>32.0</c:v>
                </c:pt>
                <c:pt idx="9">
                  <c:v>36.0</c:v>
                </c:pt>
                <c:pt idx="10">
                  <c:v>40.0</c:v>
                </c:pt>
                <c:pt idx="11">
                  <c:v>44.0</c:v>
                </c:pt>
                <c:pt idx="12">
                  <c:v>48.0</c:v>
                </c:pt>
                <c:pt idx="13">
                  <c:v>52.0</c:v>
                </c:pt>
                <c:pt idx="14">
                  <c:v>56.0</c:v>
                </c:pt>
                <c:pt idx="15">
                  <c:v>60.0</c:v>
                </c:pt>
                <c:pt idx="16">
                  <c:v>64.0</c:v>
                </c:pt>
                <c:pt idx="17">
                  <c:v>68.0</c:v>
                </c:pt>
              </c:numCache>
            </c:numRef>
          </c:xVal>
          <c:yVal>
            <c:numRef>
              <c:f>'Total O2'!$C$27:$C$44</c:f>
              <c:numCache>
                <c:formatCode>General</c:formatCode>
                <c:ptCount val="18"/>
                <c:pt idx="0">
                  <c:v>0.0</c:v>
                </c:pt>
                <c:pt idx="1">
                  <c:v>1.128</c:v>
                </c:pt>
                <c:pt idx="2">
                  <c:v>1.537666666666667</c:v>
                </c:pt>
                <c:pt idx="3">
                  <c:v>2.566333333333333</c:v>
                </c:pt>
                <c:pt idx="4">
                  <c:v>4.428999999999998</c:v>
                </c:pt>
                <c:pt idx="5">
                  <c:v>8.34266666666667</c:v>
                </c:pt>
                <c:pt idx="6">
                  <c:v>13.60066666666667</c:v>
                </c:pt>
                <c:pt idx="7">
                  <c:v>18.89966666666666</c:v>
                </c:pt>
                <c:pt idx="8">
                  <c:v>24.268</c:v>
                </c:pt>
                <c:pt idx="9">
                  <c:v>29.86933333333321</c:v>
                </c:pt>
                <c:pt idx="10">
                  <c:v>34.71700000000001</c:v>
                </c:pt>
                <c:pt idx="11">
                  <c:v>40.18533333333334</c:v>
                </c:pt>
                <c:pt idx="12">
                  <c:v>45.038</c:v>
                </c:pt>
                <c:pt idx="13">
                  <c:v>49.65333333333334</c:v>
                </c:pt>
                <c:pt idx="14">
                  <c:v>54.48266666666643</c:v>
                </c:pt>
                <c:pt idx="15">
                  <c:v>58.68533333333332</c:v>
                </c:pt>
                <c:pt idx="16">
                  <c:v>63.29166666666648</c:v>
                </c:pt>
                <c:pt idx="17">
                  <c:v>67.66533333333307</c:v>
                </c:pt>
              </c:numCache>
            </c:numRef>
          </c:yVal>
          <c:smooth val="1"/>
        </c:ser>
        <c:ser>
          <c:idx val="1"/>
          <c:order val="2"/>
          <c:tx>
            <c:v>Dark</c:v>
          </c:tx>
          <c:spPr>
            <a:ln w="31750">
              <a:solidFill>
                <a:srgbClr val="000090"/>
              </a:solidFill>
            </a:ln>
          </c:spPr>
          <c:marker>
            <c:symbol val="diamond"/>
            <c:size val="5"/>
            <c:spPr>
              <a:solidFill>
                <a:schemeClr val="bg1"/>
              </a:solidFill>
              <a:ln>
                <a:solidFill>
                  <a:srgbClr val="000090"/>
                </a:solidFill>
              </a:ln>
            </c:spPr>
          </c:marker>
          <c:errBars>
            <c:errDir val="y"/>
            <c:errBarType val="both"/>
            <c:errValType val="cust"/>
            <c:noEndCap val="0"/>
            <c:plus>
              <c:numRef>
                <c:f>'Total O2'!$H$27:$H$44</c:f>
                <c:numCache>
                  <c:formatCode>General</c:formatCode>
                  <c:ptCount val="18"/>
                  <c:pt idx="0">
                    <c:v>0.0</c:v>
                  </c:pt>
                  <c:pt idx="1">
                    <c:v>0.243554921937537</c:v>
                  </c:pt>
                  <c:pt idx="2">
                    <c:v>0.195663827350208</c:v>
                  </c:pt>
                  <c:pt idx="3">
                    <c:v>0.184380946231798</c:v>
                  </c:pt>
                  <c:pt idx="4">
                    <c:v>0.248843324202198</c:v>
                  </c:pt>
                  <c:pt idx="5">
                    <c:v>0.531535825070458</c:v>
                  </c:pt>
                  <c:pt idx="6">
                    <c:v>0.815019222677192</c:v>
                  </c:pt>
                  <c:pt idx="7">
                    <c:v>0.933731403206154</c:v>
                  </c:pt>
                  <c:pt idx="8">
                    <c:v>1.047152328937867</c:v>
                  </c:pt>
                  <c:pt idx="9">
                    <c:v>1.183150173618436</c:v>
                  </c:pt>
                  <c:pt idx="10">
                    <c:v>1.265514519869289</c:v>
                  </c:pt>
                  <c:pt idx="11">
                    <c:v>1.359250283550951</c:v>
                  </c:pt>
                  <c:pt idx="12">
                    <c:v>1.3620818624444</c:v>
                  </c:pt>
                  <c:pt idx="13">
                    <c:v>1.572930492212971</c:v>
                  </c:pt>
                  <c:pt idx="14">
                    <c:v>1.683732262960277</c:v>
                  </c:pt>
                  <c:pt idx="15">
                    <c:v>1.831458526238946</c:v>
                  </c:pt>
                  <c:pt idx="16">
                    <c:v>2.020568319392675</c:v>
                  </c:pt>
                  <c:pt idx="17">
                    <c:v>2.198328986601712</c:v>
                  </c:pt>
                </c:numCache>
              </c:numRef>
            </c:plus>
            <c:minus>
              <c:numRef>
                <c:f>'Total O2'!$H$27:$H$44</c:f>
                <c:numCache>
                  <c:formatCode>General</c:formatCode>
                  <c:ptCount val="18"/>
                  <c:pt idx="0">
                    <c:v>0.0</c:v>
                  </c:pt>
                  <c:pt idx="1">
                    <c:v>0.243554921937537</c:v>
                  </c:pt>
                  <c:pt idx="2">
                    <c:v>0.195663827350208</c:v>
                  </c:pt>
                  <c:pt idx="3">
                    <c:v>0.184380946231798</c:v>
                  </c:pt>
                  <c:pt idx="4">
                    <c:v>0.248843324202198</c:v>
                  </c:pt>
                  <c:pt idx="5">
                    <c:v>0.531535825070458</c:v>
                  </c:pt>
                  <c:pt idx="6">
                    <c:v>0.815019222677192</c:v>
                  </c:pt>
                  <c:pt idx="7">
                    <c:v>0.933731403206154</c:v>
                  </c:pt>
                  <c:pt idx="8">
                    <c:v>1.047152328937867</c:v>
                  </c:pt>
                  <c:pt idx="9">
                    <c:v>1.183150173618436</c:v>
                  </c:pt>
                  <c:pt idx="10">
                    <c:v>1.265514519869289</c:v>
                  </c:pt>
                  <c:pt idx="11">
                    <c:v>1.359250283550951</c:v>
                  </c:pt>
                  <c:pt idx="12">
                    <c:v>1.3620818624444</c:v>
                  </c:pt>
                  <c:pt idx="13">
                    <c:v>1.572930492212971</c:v>
                  </c:pt>
                  <c:pt idx="14">
                    <c:v>1.683732262960277</c:v>
                  </c:pt>
                  <c:pt idx="15">
                    <c:v>1.831458526238946</c:v>
                  </c:pt>
                  <c:pt idx="16">
                    <c:v>2.020568319392675</c:v>
                  </c:pt>
                  <c:pt idx="17">
                    <c:v>2.198328986601712</c:v>
                  </c:pt>
                </c:numCache>
              </c:numRef>
            </c:minus>
          </c:errBars>
          <c:xVal>
            <c:numRef>
              <c:f>'Total O2'!$A$27:$A$44</c:f>
              <c:numCache>
                <c:formatCode>General</c:formatCode>
                <c:ptCount val="18"/>
                <c:pt idx="0">
                  <c:v>0.0</c:v>
                </c:pt>
                <c:pt idx="1">
                  <c:v>4.0</c:v>
                </c:pt>
                <c:pt idx="2">
                  <c:v>8.0</c:v>
                </c:pt>
                <c:pt idx="3">
                  <c:v>12.0</c:v>
                </c:pt>
                <c:pt idx="4">
                  <c:v>16.0</c:v>
                </c:pt>
                <c:pt idx="5">
                  <c:v>20.0</c:v>
                </c:pt>
                <c:pt idx="6">
                  <c:v>24.0</c:v>
                </c:pt>
                <c:pt idx="7">
                  <c:v>28.0</c:v>
                </c:pt>
                <c:pt idx="8">
                  <c:v>32.0</c:v>
                </c:pt>
                <c:pt idx="9">
                  <c:v>36.0</c:v>
                </c:pt>
                <c:pt idx="10">
                  <c:v>40.0</c:v>
                </c:pt>
                <c:pt idx="11">
                  <c:v>44.0</c:v>
                </c:pt>
                <c:pt idx="12">
                  <c:v>48.0</c:v>
                </c:pt>
                <c:pt idx="13">
                  <c:v>52.0</c:v>
                </c:pt>
                <c:pt idx="14">
                  <c:v>56.0</c:v>
                </c:pt>
                <c:pt idx="15">
                  <c:v>60.0</c:v>
                </c:pt>
                <c:pt idx="16">
                  <c:v>64.0</c:v>
                </c:pt>
                <c:pt idx="17">
                  <c:v>68.0</c:v>
                </c:pt>
              </c:numCache>
            </c:numRef>
          </c:xVal>
          <c:yVal>
            <c:numRef>
              <c:f>'Total O2'!$B$27:$B$44</c:f>
              <c:numCache>
                <c:formatCode>General</c:formatCode>
                <c:ptCount val="18"/>
                <c:pt idx="0">
                  <c:v>0.0</c:v>
                </c:pt>
                <c:pt idx="1">
                  <c:v>1.451666666666667</c:v>
                </c:pt>
                <c:pt idx="2">
                  <c:v>1.642333333333333</c:v>
                </c:pt>
                <c:pt idx="3">
                  <c:v>2.374333333333333</c:v>
                </c:pt>
                <c:pt idx="4">
                  <c:v>3.182666666666667</c:v>
                </c:pt>
                <c:pt idx="5">
                  <c:v>4.983</c:v>
                </c:pt>
                <c:pt idx="6">
                  <c:v>9.02</c:v>
                </c:pt>
                <c:pt idx="7">
                  <c:v>14.564</c:v>
                </c:pt>
                <c:pt idx="8">
                  <c:v>20.95766666666668</c:v>
                </c:pt>
                <c:pt idx="9">
                  <c:v>27.936</c:v>
                </c:pt>
                <c:pt idx="10">
                  <c:v>34.37</c:v>
                </c:pt>
                <c:pt idx="11">
                  <c:v>41.46566666666646</c:v>
                </c:pt>
                <c:pt idx="12">
                  <c:v>48.363</c:v>
                </c:pt>
                <c:pt idx="13">
                  <c:v>54.41633333333333</c:v>
                </c:pt>
                <c:pt idx="14">
                  <c:v>60.989</c:v>
                </c:pt>
                <c:pt idx="15">
                  <c:v>66.72533333333313</c:v>
                </c:pt>
                <c:pt idx="16">
                  <c:v>72.45733333333334</c:v>
                </c:pt>
                <c:pt idx="17">
                  <c:v>78.38066666666667</c:v>
                </c:pt>
              </c:numCache>
            </c:numRef>
          </c:yVal>
          <c:smooth val="1"/>
        </c:ser>
        <c:ser>
          <c:idx val="6"/>
          <c:order val="3"/>
          <c:tx>
            <c:v>Irradiated</c:v>
          </c:tx>
          <c:spPr>
            <a:ln w="31750">
              <a:solidFill>
                <a:schemeClr val="accent2">
                  <a:lumMod val="75000"/>
                </a:schemeClr>
              </a:solidFill>
            </a:ln>
          </c:spPr>
          <c:marker>
            <c:symbol val="square"/>
            <c:size val="5"/>
            <c:spPr>
              <a:solidFill>
                <a:schemeClr val="bg1"/>
              </a:solidFill>
              <a:ln>
                <a:solidFill>
                  <a:schemeClr val="accent2">
                    <a:lumMod val="50000"/>
                  </a:schemeClr>
                </a:solidFill>
              </a:ln>
            </c:spPr>
          </c:marker>
          <c:errBars>
            <c:errDir val="y"/>
            <c:errBarType val="both"/>
            <c:errValType val="cust"/>
            <c:noEndCap val="0"/>
            <c:plus>
              <c:numRef>
                <c:f>'Total O2'!$I$27:$I$44</c:f>
                <c:numCache>
                  <c:formatCode>General</c:formatCode>
                  <c:ptCount val="18"/>
                  <c:pt idx="0">
                    <c:v>0.0</c:v>
                  </c:pt>
                  <c:pt idx="1">
                    <c:v>0.317595654882114</c:v>
                  </c:pt>
                  <c:pt idx="2">
                    <c:v>1.364887296934565</c:v>
                  </c:pt>
                  <c:pt idx="3">
                    <c:v>1.660087447495864</c:v>
                  </c:pt>
                  <c:pt idx="4">
                    <c:v>1.483218235234901</c:v>
                  </c:pt>
                  <c:pt idx="5">
                    <c:v>1.273289178990121</c:v>
                  </c:pt>
                  <c:pt idx="6">
                    <c:v>1.284117206488566</c:v>
                  </c:pt>
                  <c:pt idx="7">
                    <c:v>1.401117173306121</c:v>
                  </c:pt>
                  <c:pt idx="8">
                    <c:v>1.459010052512779</c:v>
                  </c:pt>
                  <c:pt idx="9">
                    <c:v>1.457437477218151</c:v>
                  </c:pt>
                  <c:pt idx="10">
                    <c:v>1.552957286384056</c:v>
                  </c:pt>
                  <c:pt idx="11">
                    <c:v>1.679839377242153</c:v>
                  </c:pt>
                  <c:pt idx="12">
                    <c:v>2.009572176691682</c:v>
                  </c:pt>
                  <c:pt idx="13">
                    <c:v>2.224010116883458</c:v>
                  </c:pt>
                  <c:pt idx="14">
                    <c:v>2.734343492199421</c:v>
                  </c:pt>
                  <c:pt idx="15">
                    <c:v>3.256639372113526</c:v>
                  </c:pt>
                  <c:pt idx="16">
                    <c:v>3.659000455497831</c:v>
                  </c:pt>
                  <c:pt idx="17">
                    <c:v>4.225843860500906</c:v>
                  </c:pt>
                </c:numCache>
              </c:numRef>
            </c:plus>
            <c:minus>
              <c:numRef>
                <c:f>'Total O2'!$I$27:$I$44</c:f>
                <c:numCache>
                  <c:formatCode>General</c:formatCode>
                  <c:ptCount val="18"/>
                  <c:pt idx="0">
                    <c:v>0.0</c:v>
                  </c:pt>
                  <c:pt idx="1">
                    <c:v>0.317595654882114</c:v>
                  </c:pt>
                  <c:pt idx="2">
                    <c:v>1.364887296934565</c:v>
                  </c:pt>
                  <c:pt idx="3">
                    <c:v>1.660087447495864</c:v>
                  </c:pt>
                  <c:pt idx="4">
                    <c:v>1.483218235234901</c:v>
                  </c:pt>
                  <c:pt idx="5">
                    <c:v>1.273289178990121</c:v>
                  </c:pt>
                  <c:pt idx="6">
                    <c:v>1.284117206488566</c:v>
                  </c:pt>
                  <c:pt idx="7">
                    <c:v>1.401117173306121</c:v>
                  </c:pt>
                  <c:pt idx="8">
                    <c:v>1.459010052512779</c:v>
                  </c:pt>
                  <c:pt idx="9">
                    <c:v>1.457437477218151</c:v>
                  </c:pt>
                  <c:pt idx="10">
                    <c:v>1.552957286384056</c:v>
                  </c:pt>
                  <c:pt idx="11">
                    <c:v>1.679839377242153</c:v>
                  </c:pt>
                  <c:pt idx="12">
                    <c:v>2.009572176691682</c:v>
                  </c:pt>
                  <c:pt idx="13">
                    <c:v>2.224010116883458</c:v>
                  </c:pt>
                  <c:pt idx="14">
                    <c:v>2.734343492199421</c:v>
                  </c:pt>
                  <c:pt idx="15">
                    <c:v>3.256639372113526</c:v>
                  </c:pt>
                  <c:pt idx="16">
                    <c:v>3.659000455497831</c:v>
                  </c:pt>
                  <c:pt idx="17">
                    <c:v>4.225843860500906</c:v>
                  </c:pt>
                </c:numCache>
              </c:numRef>
            </c:minus>
          </c:errBars>
          <c:xVal>
            <c:numRef>
              <c:f>Rate!$A$26:$A$43</c:f>
              <c:numCache>
                <c:formatCode>General</c:formatCode>
                <c:ptCount val="18"/>
                <c:pt idx="0">
                  <c:v>0.0</c:v>
                </c:pt>
                <c:pt idx="1">
                  <c:v>4.0</c:v>
                </c:pt>
                <c:pt idx="2">
                  <c:v>8.0</c:v>
                </c:pt>
                <c:pt idx="3">
                  <c:v>12.0</c:v>
                </c:pt>
                <c:pt idx="4">
                  <c:v>16.0</c:v>
                </c:pt>
                <c:pt idx="5">
                  <c:v>20.0</c:v>
                </c:pt>
                <c:pt idx="6">
                  <c:v>24.0</c:v>
                </c:pt>
                <c:pt idx="7">
                  <c:v>28.0</c:v>
                </c:pt>
                <c:pt idx="8">
                  <c:v>32.0</c:v>
                </c:pt>
                <c:pt idx="9">
                  <c:v>36.0</c:v>
                </c:pt>
                <c:pt idx="10">
                  <c:v>40.0</c:v>
                </c:pt>
                <c:pt idx="11">
                  <c:v>44.0</c:v>
                </c:pt>
                <c:pt idx="12">
                  <c:v>48.0</c:v>
                </c:pt>
                <c:pt idx="13">
                  <c:v>52.0</c:v>
                </c:pt>
                <c:pt idx="14">
                  <c:v>56.0</c:v>
                </c:pt>
                <c:pt idx="15">
                  <c:v>60.0</c:v>
                </c:pt>
                <c:pt idx="16">
                  <c:v>64.0</c:v>
                </c:pt>
                <c:pt idx="17">
                  <c:v>68.0</c:v>
                </c:pt>
              </c:numCache>
            </c:numRef>
          </c:xVal>
          <c:yVal>
            <c:numRef>
              <c:f>'Total O2'!$D$27:$D$44</c:f>
              <c:numCache>
                <c:formatCode>General</c:formatCode>
                <c:ptCount val="18"/>
                <c:pt idx="0">
                  <c:v>0.0</c:v>
                </c:pt>
                <c:pt idx="1">
                  <c:v>2.481</c:v>
                </c:pt>
                <c:pt idx="2">
                  <c:v>7.017333333333333</c:v>
                </c:pt>
                <c:pt idx="3">
                  <c:v>13.94733333333333</c:v>
                </c:pt>
                <c:pt idx="4">
                  <c:v>21.51666666666667</c:v>
                </c:pt>
                <c:pt idx="5">
                  <c:v>29.50733333333321</c:v>
                </c:pt>
                <c:pt idx="6">
                  <c:v>37.12300000000001</c:v>
                </c:pt>
                <c:pt idx="7">
                  <c:v>44.85533333333333</c:v>
                </c:pt>
                <c:pt idx="8">
                  <c:v>52.3503333333333</c:v>
                </c:pt>
                <c:pt idx="9">
                  <c:v>59.986</c:v>
                </c:pt>
                <c:pt idx="10">
                  <c:v>67.08666666666664</c:v>
                </c:pt>
                <c:pt idx="11">
                  <c:v>74.27466666666667</c:v>
                </c:pt>
                <c:pt idx="12">
                  <c:v>81.28033333333325</c:v>
                </c:pt>
                <c:pt idx="13">
                  <c:v>87.80599999999998</c:v>
                </c:pt>
                <c:pt idx="14">
                  <c:v>94.40733333333334</c:v>
                </c:pt>
                <c:pt idx="15">
                  <c:v>100.863</c:v>
                </c:pt>
                <c:pt idx="16">
                  <c:v>107.2766666666667</c:v>
                </c:pt>
                <c:pt idx="17">
                  <c:v>113.6793333333333</c:v>
                </c:pt>
              </c:numCache>
            </c:numRef>
          </c:yVal>
          <c:smooth val="1"/>
        </c:ser>
        <c:ser>
          <c:idx val="0"/>
          <c:order val="4"/>
          <c:tx>
            <c:v>Sterile</c:v>
          </c:tx>
          <c:spPr>
            <a:ln w="31750"/>
          </c:spPr>
          <c:marker>
            <c:symbol val="diamond"/>
            <c:size val="5"/>
            <c:spPr>
              <a:solidFill>
                <a:schemeClr val="bg1"/>
              </a:solidFill>
            </c:spPr>
          </c:marker>
          <c:xVal>
            <c:numRef>
              <c:f>Rate!$A$26:$A$43</c:f>
              <c:numCache>
                <c:formatCode>General</c:formatCode>
                <c:ptCount val="18"/>
                <c:pt idx="0">
                  <c:v>0.0</c:v>
                </c:pt>
                <c:pt idx="1">
                  <c:v>4.0</c:v>
                </c:pt>
                <c:pt idx="2">
                  <c:v>8.0</c:v>
                </c:pt>
                <c:pt idx="3">
                  <c:v>12.0</c:v>
                </c:pt>
                <c:pt idx="4">
                  <c:v>16.0</c:v>
                </c:pt>
                <c:pt idx="5">
                  <c:v>20.0</c:v>
                </c:pt>
                <c:pt idx="6">
                  <c:v>24.0</c:v>
                </c:pt>
                <c:pt idx="7">
                  <c:v>28.0</c:v>
                </c:pt>
                <c:pt idx="8">
                  <c:v>32.0</c:v>
                </c:pt>
                <c:pt idx="9">
                  <c:v>36.0</c:v>
                </c:pt>
                <c:pt idx="10">
                  <c:v>40.0</c:v>
                </c:pt>
                <c:pt idx="11">
                  <c:v>44.0</c:v>
                </c:pt>
                <c:pt idx="12">
                  <c:v>48.0</c:v>
                </c:pt>
                <c:pt idx="13">
                  <c:v>52.0</c:v>
                </c:pt>
                <c:pt idx="14">
                  <c:v>56.0</c:v>
                </c:pt>
                <c:pt idx="15">
                  <c:v>60.0</c:v>
                </c:pt>
                <c:pt idx="16">
                  <c:v>64.0</c:v>
                </c:pt>
                <c:pt idx="17">
                  <c:v>68.0</c:v>
                </c:pt>
              </c:numCache>
            </c:numRef>
          </c:xVal>
          <c:yVal>
            <c:numRef>
              <c:f>'Total O2'!$E$27:$E$44</c:f>
              <c:numCache>
                <c:formatCode>General</c:formatCode>
                <c:ptCount val="18"/>
                <c:pt idx="0">
                  <c:v>0.0</c:v>
                </c:pt>
                <c:pt idx="1">
                  <c:v>0.835</c:v>
                </c:pt>
                <c:pt idx="2">
                  <c:v>1.409</c:v>
                </c:pt>
                <c:pt idx="3">
                  <c:v>2.223</c:v>
                </c:pt>
                <c:pt idx="4">
                  <c:v>2.833</c:v>
                </c:pt>
                <c:pt idx="5">
                  <c:v>3.674</c:v>
                </c:pt>
                <c:pt idx="6">
                  <c:v>4.387999999999995</c:v>
                </c:pt>
                <c:pt idx="7">
                  <c:v>5.173</c:v>
                </c:pt>
                <c:pt idx="8">
                  <c:v>5.846999999999999</c:v>
                </c:pt>
                <c:pt idx="9">
                  <c:v>6.814999999999987</c:v>
                </c:pt>
                <c:pt idx="10">
                  <c:v>7.478</c:v>
                </c:pt>
                <c:pt idx="11">
                  <c:v>8.32</c:v>
                </c:pt>
                <c:pt idx="12">
                  <c:v>9.125</c:v>
                </c:pt>
                <c:pt idx="13">
                  <c:v>9.766</c:v>
                </c:pt>
                <c:pt idx="14">
                  <c:v>10.556</c:v>
                </c:pt>
                <c:pt idx="15">
                  <c:v>11.219</c:v>
                </c:pt>
                <c:pt idx="16">
                  <c:v>12.048</c:v>
                </c:pt>
                <c:pt idx="17">
                  <c:v>12.68</c:v>
                </c:pt>
              </c:numCache>
            </c:numRef>
          </c:yVal>
          <c:smooth val="1"/>
        </c:ser>
        <c:dLbls>
          <c:showLegendKey val="0"/>
          <c:showVal val="0"/>
          <c:showCatName val="0"/>
          <c:showSerName val="0"/>
          <c:showPercent val="0"/>
          <c:showBubbleSize val="0"/>
        </c:dLbls>
        <c:axId val="2099402136"/>
        <c:axId val="2099409592"/>
      </c:scatterChart>
      <c:valAx>
        <c:axId val="2099402136"/>
        <c:scaling>
          <c:orientation val="minMax"/>
          <c:max val="70.0"/>
        </c:scaling>
        <c:delete val="0"/>
        <c:axPos val="b"/>
        <c:title>
          <c:tx>
            <c:rich>
              <a:bodyPr/>
              <a:lstStyle/>
              <a:p>
                <a:pPr>
                  <a:defRPr sz="1400"/>
                </a:pPr>
                <a:r>
                  <a:rPr lang="en-US" sz="1400"/>
                  <a:t>Time</a:t>
                </a:r>
                <a:r>
                  <a:rPr lang="en-US" sz="1400" baseline="0"/>
                  <a:t> (Hours)</a:t>
                </a:r>
                <a:endParaRPr lang="en-US" sz="1400"/>
              </a:p>
            </c:rich>
          </c:tx>
          <c:overlay val="0"/>
        </c:title>
        <c:numFmt formatCode="General" sourceLinked="1"/>
        <c:majorTickMark val="out"/>
        <c:minorTickMark val="none"/>
        <c:tickLblPos val="nextTo"/>
        <c:txPr>
          <a:bodyPr/>
          <a:lstStyle/>
          <a:p>
            <a:pPr>
              <a:defRPr sz="1200"/>
            </a:pPr>
            <a:endParaRPr lang="en-US"/>
          </a:p>
        </c:txPr>
        <c:crossAx val="2099409592"/>
        <c:crosses val="autoZero"/>
        <c:crossBetween val="midCat"/>
      </c:valAx>
      <c:valAx>
        <c:axId val="2099409592"/>
        <c:scaling>
          <c:orientation val="minMax"/>
          <c:max val="120.0"/>
          <c:min val="0.0"/>
        </c:scaling>
        <c:delete val="0"/>
        <c:axPos val="l"/>
        <c:title>
          <c:tx>
            <c:rich>
              <a:bodyPr rot="-5400000" vert="horz"/>
              <a:lstStyle/>
              <a:p>
                <a:pPr>
                  <a:defRPr/>
                </a:pPr>
                <a:r>
                  <a:rPr lang="en-US" sz="1400"/>
                  <a:t>Total O</a:t>
                </a:r>
                <a:r>
                  <a:rPr lang="en-US" sz="1400" baseline="-25000"/>
                  <a:t>2</a:t>
                </a:r>
                <a:r>
                  <a:rPr lang="en-US" sz="1400"/>
                  <a:t> Consumed (</a:t>
                </a:r>
                <a:r>
                  <a:rPr lang="en-US" sz="1400" b="1" i="0" u="none" strike="noStrike" baseline="0">
                    <a:effectLst/>
                  </a:rPr>
                  <a:t>µ</a:t>
                </a:r>
                <a:r>
                  <a:rPr lang="en-US" sz="1400"/>
                  <a:t>M)</a:t>
                </a:r>
              </a:p>
            </c:rich>
          </c:tx>
          <c:overlay val="0"/>
        </c:title>
        <c:numFmt formatCode="General" sourceLinked="1"/>
        <c:majorTickMark val="out"/>
        <c:minorTickMark val="none"/>
        <c:tickLblPos val="nextTo"/>
        <c:txPr>
          <a:bodyPr/>
          <a:lstStyle/>
          <a:p>
            <a:pPr>
              <a:defRPr sz="1200"/>
            </a:pPr>
            <a:endParaRPr lang="en-US"/>
          </a:p>
        </c:txPr>
        <c:crossAx val="2099402136"/>
        <c:crosses val="autoZero"/>
        <c:crossBetween val="midCat"/>
      </c:valAx>
    </c:plotArea>
    <c:legend>
      <c:legendPos val="r"/>
      <c:layout>
        <c:manualLayout>
          <c:xMode val="edge"/>
          <c:yMode val="edge"/>
          <c:x val="0.168614911064749"/>
          <c:y val="0.126755788777713"/>
          <c:w val="0.188254759471102"/>
          <c:h val="0.312626265573684"/>
        </c:manualLayout>
      </c:layout>
      <c:overlay val="1"/>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scatterChart>
        <c:scatterStyle val="smoothMarker"/>
        <c:varyColors val="0"/>
        <c:ser>
          <c:idx val="0"/>
          <c:order val="0"/>
          <c:tx>
            <c:strRef>
              <c:f>'Macintosh HD:Users:Brian:Desktop:GoMRI:Sand Patty Scans:[Composite.xlsx]12hdark1.asc'!$B$1</c:f>
              <c:strCache>
                <c:ptCount val="1"/>
                <c:pt idx="0">
                  <c:v>12 Hr Dark</c:v>
                </c:pt>
              </c:strCache>
            </c:strRef>
          </c:tx>
          <c:spPr>
            <a:ln w="19050" cmpd="sng"/>
          </c:spPr>
          <c:marker>
            <c:symbol val="none"/>
          </c:marker>
          <c:xVal>
            <c:numRef>
              <c:f>'Macintosh HD:Users:Brian:Desktop:GoMRI:Sand Patty Scans:[Composite.xlsx]12hdark1.asc'!$A$2:$A$802</c:f>
              <c:numCache>
                <c:formatCode>General</c:formatCode>
                <c:ptCount val="801"/>
                <c:pt idx="0">
                  <c:v>600.0</c:v>
                </c:pt>
                <c:pt idx="1">
                  <c:v>599.5</c:v>
                </c:pt>
                <c:pt idx="2">
                  <c:v>599.0</c:v>
                </c:pt>
                <c:pt idx="3">
                  <c:v>598.5</c:v>
                </c:pt>
                <c:pt idx="4">
                  <c:v>598.0</c:v>
                </c:pt>
                <c:pt idx="5">
                  <c:v>597.5</c:v>
                </c:pt>
                <c:pt idx="6">
                  <c:v>597.0</c:v>
                </c:pt>
                <c:pt idx="7">
                  <c:v>596.5</c:v>
                </c:pt>
                <c:pt idx="8">
                  <c:v>596.0</c:v>
                </c:pt>
                <c:pt idx="9">
                  <c:v>595.5</c:v>
                </c:pt>
                <c:pt idx="10">
                  <c:v>595.0</c:v>
                </c:pt>
                <c:pt idx="11">
                  <c:v>594.5</c:v>
                </c:pt>
                <c:pt idx="12">
                  <c:v>594.0</c:v>
                </c:pt>
                <c:pt idx="13">
                  <c:v>593.5</c:v>
                </c:pt>
                <c:pt idx="14">
                  <c:v>593.0</c:v>
                </c:pt>
                <c:pt idx="15">
                  <c:v>592.5</c:v>
                </c:pt>
                <c:pt idx="16">
                  <c:v>592.0</c:v>
                </c:pt>
                <c:pt idx="17">
                  <c:v>591.5</c:v>
                </c:pt>
                <c:pt idx="18">
                  <c:v>591.0</c:v>
                </c:pt>
                <c:pt idx="19">
                  <c:v>590.5</c:v>
                </c:pt>
                <c:pt idx="20">
                  <c:v>590.0</c:v>
                </c:pt>
                <c:pt idx="21">
                  <c:v>589.5</c:v>
                </c:pt>
                <c:pt idx="22">
                  <c:v>589.0</c:v>
                </c:pt>
                <c:pt idx="23">
                  <c:v>588.5</c:v>
                </c:pt>
                <c:pt idx="24">
                  <c:v>588.0</c:v>
                </c:pt>
                <c:pt idx="25">
                  <c:v>587.5</c:v>
                </c:pt>
                <c:pt idx="26">
                  <c:v>587.0</c:v>
                </c:pt>
                <c:pt idx="27">
                  <c:v>586.5</c:v>
                </c:pt>
                <c:pt idx="28">
                  <c:v>586.0</c:v>
                </c:pt>
                <c:pt idx="29">
                  <c:v>585.5</c:v>
                </c:pt>
                <c:pt idx="30">
                  <c:v>585.0</c:v>
                </c:pt>
                <c:pt idx="31">
                  <c:v>584.5</c:v>
                </c:pt>
                <c:pt idx="32">
                  <c:v>584.0</c:v>
                </c:pt>
                <c:pt idx="33">
                  <c:v>583.5</c:v>
                </c:pt>
                <c:pt idx="34">
                  <c:v>583.0</c:v>
                </c:pt>
                <c:pt idx="35">
                  <c:v>582.5</c:v>
                </c:pt>
                <c:pt idx="36">
                  <c:v>582.0</c:v>
                </c:pt>
                <c:pt idx="37">
                  <c:v>581.5</c:v>
                </c:pt>
                <c:pt idx="38">
                  <c:v>581.0</c:v>
                </c:pt>
                <c:pt idx="39">
                  <c:v>580.5</c:v>
                </c:pt>
                <c:pt idx="40">
                  <c:v>580.0</c:v>
                </c:pt>
                <c:pt idx="41">
                  <c:v>579.5</c:v>
                </c:pt>
                <c:pt idx="42">
                  <c:v>579.0</c:v>
                </c:pt>
                <c:pt idx="43">
                  <c:v>578.5</c:v>
                </c:pt>
                <c:pt idx="44">
                  <c:v>578.0</c:v>
                </c:pt>
                <c:pt idx="45">
                  <c:v>577.5</c:v>
                </c:pt>
                <c:pt idx="46">
                  <c:v>577.0</c:v>
                </c:pt>
                <c:pt idx="47">
                  <c:v>576.5</c:v>
                </c:pt>
                <c:pt idx="48">
                  <c:v>576.0</c:v>
                </c:pt>
                <c:pt idx="49">
                  <c:v>575.5</c:v>
                </c:pt>
                <c:pt idx="50">
                  <c:v>575.0</c:v>
                </c:pt>
                <c:pt idx="51">
                  <c:v>574.5</c:v>
                </c:pt>
                <c:pt idx="52">
                  <c:v>574.0</c:v>
                </c:pt>
                <c:pt idx="53">
                  <c:v>573.5</c:v>
                </c:pt>
                <c:pt idx="54">
                  <c:v>573.0</c:v>
                </c:pt>
                <c:pt idx="55">
                  <c:v>572.5</c:v>
                </c:pt>
                <c:pt idx="56">
                  <c:v>572.0</c:v>
                </c:pt>
                <c:pt idx="57">
                  <c:v>571.5</c:v>
                </c:pt>
                <c:pt idx="58">
                  <c:v>571.0</c:v>
                </c:pt>
                <c:pt idx="59">
                  <c:v>570.5</c:v>
                </c:pt>
                <c:pt idx="60">
                  <c:v>570.0</c:v>
                </c:pt>
                <c:pt idx="61">
                  <c:v>569.5</c:v>
                </c:pt>
                <c:pt idx="62">
                  <c:v>569.0</c:v>
                </c:pt>
                <c:pt idx="63">
                  <c:v>568.5</c:v>
                </c:pt>
                <c:pt idx="64">
                  <c:v>568.0</c:v>
                </c:pt>
                <c:pt idx="65">
                  <c:v>567.5</c:v>
                </c:pt>
                <c:pt idx="66">
                  <c:v>567.0</c:v>
                </c:pt>
                <c:pt idx="67">
                  <c:v>566.5</c:v>
                </c:pt>
                <c:pt idx="68">
                  <c:v>566.0</c:v>
                </c:pt>
                <c:pt idx="69">
                  <c:v>565.5</c:v>
                </c:pt>
                <c:pt idx="70">
                  <c:v>565.0</c:v>
                </c:pt>
                <c:pt idx="71">
                  <c:v>564.5</c:v>
                </c:pt>
                <c:pt idx="72">
                  <c:v>564.0</c:v>
                </c:pt>
                <c:pt idx="73">
                  <c:v>563.5</c:v>
                </c:pt>
                <c:pt idx="74">
                  <c:v>563.0</c:v>
                </c:pt>
                <c:pt idx="75">
                  <c:v>562.5</c:v>
                </c:pt>
                <c:pt idx="76">
                  <c:v>562.0</c:v>
                </c:pt>
                <c:pt idx="77">
                  <c:v>561.5</c:v>
                </c:pt>
                <c:pt idx="78">
                  <c:v>561.0</c:v>
                </c:pt>
                <c:pt idx="79">
                  <c:v>560.5</c:v>
                </c:pt>
                <c:pt idx="80">
                  <c:v>560.0</c:v>
                </c:pt>
                <c:pt idx="81">
                  <c:v>559.5</c:v>
                </c:pt>
                <c:pt idx="82">
                  <c:v>559.0</c:v>
                </c:pt>
                <c:pt idx="83">
                  <c:v>558.5</c:v>
                </c:pt>
                <c:pt idx="84">
                  <c:v>558.0</c:v>
                </c:pt>
                <c:pt idx="85">
                  <c:v>557.5</c:v>
                </c:pt>
                <c:pt idx="86">
                  <c:v>557.0</c:v>
                </c:pt>
                <c:pt idx="87">
                  <c:v>556.5</c:v>
                </c:pt>
                <c:pt idx="88">
                  <c:v>556.0</c:v>
                </c:pt>
                <c:pt idx="89">
                  <c:v>555.5</c:v>
                </c:pt>
                <c:pt idx="90">
                  <c:v>555.0</c:v>
                </c:pt>
                <c:pt idx="91">
                  <c:v>554.5</c:v>
                </c:pt>
                <c:pt idx="92">
                  <c:v>554.0</c:v>
                </c:pt>
                <c:pt idx="93">
                  <c:v>553.5</c:v>
                </c:pt>
                <c:pt idx="94">
                  <c:v>553.0</c:v>
                </c:pt>
                <c:pt idx="95">
                  <c:v>552.5</c:v>
                </c:pt>
                <c:pt idx="96">
                  <c:v>552.0</c:v>
                </c:pt>
                <c:pt idx="97">
                  <c:v>551.5</c:v>
                </c:pt>
                <c:pt idx="98">
                  <c:v>551.0</c:v>
                </c:pt>
                <c:pt idx="99">
                  <c:v>550.5</c:v>
                </c:pt>
                <c:pt idx="100">
                  <c:v>550.0</c:v>
                </c:pt>
                <c:pt idx="101">
                  <c:v>549.5</c:v>
                </c:pt>
                <c:pt idx="102">
                  <c:v>549.0</c:v>
                </c:pt>
                <c:pt idx="103">
                  <c:v>548.5</c:v>
                </c:pt>
                <c:pt idx="104">
                  <c:v>548.0</c:v>
                </c:pt>
                <c:pt idx="105">
                  <c:v>547.5</c:v>
                </c:pt>
                <c:pt idx="106">
                  <c:v>547.0</c:v>
                </c:pt>
                <c:pt idx="107">
                  <c:v>546.5</c:v>
                </c:pt>
                <c:pt idx="108">
                  <c:v>546.0</c:v>
                </c:pt>
                <c:pt idx="109">
                  <c:v>545.5</c:v>
                </c:pt>
                <c:pt idx="110">
                  <c:v>545.0</c:v>
                </c:pt>
                <c:pt idx="111">
                  <c:v>544.5</c:v>
                </c:pt>
                <c:pt idx="112">
                  <c:v>544.0</c:v>
                </c:pt>
                <c:pt idx="113">
                  <c:v>543.5</c:v>
                </c:pt>
                <c:pt idx="114">
                  <c:v>543.0</c:v>
                </c:pt>
                <c:pt idx="115">
                  <c:v>542.5</c:v>
                </c:pt>
                <c:pt idx="116">
                  <c:v>542.0</c:v>
                </c:pt>
                <c:pt idx="117">
                  <c:v>541.5</c:v>
                </c:pt>
                <c:pt idx="118">
                  <c:v>541.0</c:v>
                </c:pt>
                <c:pt idx="119">
                  <c:v>540.5</c:v>
                </c:pt>
                <c:pt idx="120">
                  <c:v>540.0</c:v>
                </c:pt>
                <c:pt idx="121">
                  <c:v>539.5</c:v>
                </c:pt>
                <c:pt idx="122">
                  <c:v>539.0</c:v>
                </c:pt>
                <c:pt idx="123">
                  <c:v>538.5</c:v>
                </c:pt>
                <c:pt idx="124">
                  <c:v>538.0</c:v>
                </c:pt>
                <c:pt idx="125">
                  <c:v>537.5</c:v>
                </c:pt>
                <c:pt idx="126">
                  <c:v>537.0</c:v>
                </c:pt>
                <c:pt idx="127">
                  <c:v>536.5</c:v>
                </c:pt>
                <c:pt idx="128">
                  <c:v>536.0</c:v>
                </c:pt>
                <c:pt idx="129">
                  <c:v>535.5</c:v>
                </c:pt>
                <c:pt idx="130">
                  <c:v>535.0</c:v>
                </c:pt>
                <c:pt idx="131">
                  <c:v>534.5</c:v>
                </c:pt>
                <c:pt idx="132">
                  <c:v>534.0</c:v>
                </c:pt>
                <c:pt idx="133">
                  <c:v>533.5</c:v>
                </c:pt>
                <c:pt idx="134">
                  <c:v>533.0</c:v>
                </c:pt>
                <c:pt idx="135">
                  <c:v>532.5</c:v>
                </c:pt>
                <c:pt idx="136">
                  <c:v>532.0</c:v>
                </c:pt>
                <c:pt idx="137">
                  <c:v>531.5</c:v>
                </c:pt>
                <c:pt idx="138">
                  <c:v>531.0</c:v>
                </c:pt>
                <c:pt idx="139">
                  <c:v>530.5</c:v>
                </c:pt>
                <c:pt idx="140">
                  <c:v>530.0</c:v>
                </c:pt>
                <c:pt idx="141">
                  <c:v>529.5</c:v>
                </c:pt>
                <c:pt idx="142">
                  <c:v>529.0</c:v>
                </c:pt>
                <c:pt idx="143">
                  <c:v>528.5</c:v>
                </c:pt>
                <c:pt idx="144">
                  <c:v>528.0</c:v>
                </c:pt>
                <c:pt idx="145">
                  <c:v>527.5</c:v>
                </c:pt>
                <c:pt idx="146">
                  <c:v>527.0</c:v>
                </c:pt>
                <c:pt idx="147">
                  <c:v>526.5</c:v>
                </c:pt>
                <c:pt idx="148">
                  <c:v>526.0</c:v>
                </c:pt>
                <c:pt idx="149">
                  <c:v>525.5</c:v>
                </c:pt>
                <c:pt idx="150">
                  <c:v>525.0</c:v>
                </c:pt>
                <c:pt idx="151">
                  <c:v>524.5</c:v>
                </c:pt>
                <c:pt idx="152">
                  <c:v>524.0</c:v>
                </c:pt>
                <c:pt idx="153">
                  <c:v>523.5</c:v>
                </c:pt>
                <c:pt idx="154">
                  <c:v>523.0</c:v>
                </c:pt>
                <c:pt idx="155">
                  <c:v>522.5</c:v>
                </c:pt>
                <c:pt idx="156">
                  <c:v>522.0</c:v>
                </c:pt>
                <c:pt idx="157">
                  <c:v>521.5</c:v>
                </c:pt>
                <c:pt idx="158">
                  <c:v>521.0</c:v>
                </c:pt>
                <c:pt idx="159">
                  <c:v>520.5</c:v>
                </c:pt>
                <c:pt idx="160">
                  <c:v>520.0</c:v>
                </c:pt>
                <c:pt idx="161">
                  <c:v>519.5</c:v>
                </c:pt>
                <c:pt idx="162">
                  <c:v>519.0</c:v>
                </c:pt>
                <c:pt idx="163">
                  <c:v>518.5</c:v>
                </c:pt>
                <c:pt idx="164">
                  <c:v>518.0</c:v>
                </c:pt>
                <c:pt idx="165">
                  <c:v>517.5</c:v>
                </c:pt>
                <c:pt idx="166">
                  <c:v>517.0</c:v>
                </c:pt>
                <c:pt idx="167">
                  <c:v>516.5</c:v>
                </c:pt>
                <c:pt idx="168">
                  <c:v>516.0</c:v>
                </c:pt>
                <c:pt idx="169">
                  <c:v>515.5</c:v>
                </c:pt>
                <c:pt idx="170">
                  <c:v>515.0</c:v>
                </c:pt>
                <c:pt idx="171">
                  <c:v>514.5</c:v>
                </c:pt>
                <c:pt idx="172">
                  <c:v>514.0</c:v>
                </c:pt>
                <c:pt idx="173">
                  <c:v>513.5</c:v>
                </c:pt>
                <c:pt idx="174">
                  <c:v>513.0</c:v>
                </c:pt>
                <c:pt idx="175">
                  <c:v>512.5</c:v>
                </c:pt>
                <c:pt idx="176">
                  <c:v>512.0</c:v>
                </c:pt>
                <c:pt idx="177">
                  <c:v>511.5</c:v>
                </c:pt>
                <c:pt idx="178">
                  <c:v>511.0</c:v>
                </c:pt>
                <c:pt idx="179">
                  <c:v>510.5</c:v>
                </c:pt>
                <c:pt idx="180">
                  <c:v>510.0</c:v>
                </c:pt>
                <c:pt idx="181">
                  <c:v>509.5</c:v>
                </c:pt>
                <c:pt idx="182">
                  <c:v>509.0</c:v>
                </c:pt>
                <c:pt idx="183">
                  <c:v>508.5</c:v>
                </c:pt>
                <c:pt idx="184">
                  <c:v>508.0</c:v>
                </c:pt>
                <c:pt idx="185">
                  <c:v>507.5</c:v>
                </c:pt>
                <c:pt idx="186">
                  <c:v>507.0</c:v>
                </c:pt>
                <c:pt idx="187">
                  <c:v>506.5</c:v>
                </c:pt>
                <c:pt idx="188">
                  <c:v>506.0</c:v>
                </c:pt>
                <c:pt idx="189">
                  <c:v>505.5</c:v>
                </c:pt>
                <c:pt idx="190">
                  <c:v>505.0</c:v>
                </c:pt>
                <c:pt idx="191">
                  <c:v>504.5</c:v>
                </c:pt>
                <c:pt idx="192">
                  <c:v>504.0</c:v>
                </c:pt>
                <c:pt idx="193">
                  <c:v>503.5</c:v>
                </c:pt>
                <c:pt idx="194">
                  <c:v>503.0</c:v>
                </c:pt>
                <c:pt idx="195">
                  <c:v>502.5</c:v>
                </c:pt>
                <c:pt idx="196">
                  <c:v>502.0</c:v>
                </c:pt>
                <c:pt idx="197">
                  <c:v>501.5</c:v>
                </c:pt>
                <c:pt idx="198">
                  <c:v>501.0</c:v>
                </c:pt>
                <c:pt idx="199">
                  <c:v>500.5</c:v>
                </c:pt>
                <c:pt idx="200">
                  <c:v>500.0</c:v>
                </c:pt>
                <c:pt idx="201">
                  <c:v>499.5</c:v>
                </c:pt>
                <c:pt idx="202">
                  <c:v>499.0</c:v>
                </c:pt>
                <c:pt idx="203">
                  <c:v>498.5</c:v>
                </c:pt>
                <c:pt idx="204">
                  <c:v>498.0</c:v>
                </c:pt>
                <c:pt idx="205">
                  <c:v>497.5</c:v>
                </c:pt>
                <c:pt idx="206">
                  <c:v>497.0</c:v>
                </c:pt>
                <c:pt idx="207">
                  <c:v>496.5</c:v>
                </c:pt>
                <c:pt idx="208">
                  <c:v>496.0</c:v>
                </c:pt>
                <c:pt idx="209">
                  <c:v>495.5</c:v>
                </c:pt>
                <c:pt idx="210">
                  <c:v>495.0</c:v>
                </c:pt>
                <c:pt idx="211">
                  <c:v>494.5</c:v>
                </c:pt>
                <c:pt idx="212">
                  <c:v>494.0</c:v>
                </c:pt>
                <c:pt idx="213">
                  <c:v>493.5</c:v>
                </c:pt>
                <c:pt idx="214">
                  <c:v>493.0</c:v>
                </c:pt>
                <c:pt idx="215">
                  <c:v>492.5</c:v>
                </c:pt>
                <c:pt idx="216">
                  <c:v>492.0</c:v>
                </c:pt>
                <c:pt idx="217">
                  <c:v>491.5</c:v>
                </c:pt>
                <c:pt idx="218">
                  <c:v>491.0</c:v>
                </c:pt>
                <c:pt idx="219">
                  <c:v>490.5</c:v>
                </c:pt>
                <c:pt idx="220">
                  <c:v>490.0</c:v>
                </c:pt>
                <c:pt idx="221">
                  <c:v>489.5</c:v>
                </c:pt>
                <c:pt idx="222">
                  <c:v>489.0</c:v>
                </c:pt>
                <c:pt idx="223">
                  <c:v>488.5</c:v>
                </c:pt>
                <c:pt idx="224">
                  <c:v>488.0</c:v>
                </c:pt>
                <c:pt idx="225">
                  <c:v>487.5</c:v>
                </c:pt>
                <c:pt idx="226">
                  <c:v>487.0</c:v>
                </c:pt>
                <c:pt idx="227">
                  <c:v>486.5</c:v>
                </c:pt>
                <c:pt idx="228">
                  <c:v>486.0</c:v>
                </c:pt>
                <c:pt idx="229">
                  <c:v>485.5</c:v>
                </c:pt>
                <c:pt idx="230">
                  <c:v>485.0</c:v>
                </c:pt>
                <c:pt idx="231">
                  <c:v>484.5</c:v>
                </c:pt>
                <c:pt idx="232">
                  <c:v>484.0</c:v>
                </c:pt>
                <c:pt idx="233">
                  <c:v>483.5</c:v>
                </c:pt>
                <c:pt idx="234">
                  <c:v>483.0</c:v>
                </c:pt>
                <c:pt idx="235">
                  <c:v>482.5</c:v>
                </c:pt>
                <c:pt idx="236">
                  <c:v>482.0</c:v>
                </c:pt>
                <c:pt idx="237">
                  <c:v>481.5</c:v>
                </c:pt>
                <c:pt idx="238">
                  <c:v>481.0</c:v>
                </c:pt>
                <c:pt idx="239">
                  <c:v>480.5</c:v>
                </c:pt>
                <c:pt idx="240">
                  <c:v>480.0</c:v>
                </c:pt>
                <c:pt idx="241">
                  <c:v>479.5</c:v>
                </c:pt>
                <c:pt idx="242">
                  <c:v>479.0</c:v>
                </c:pt>
                <c:pt idx="243">
                  <c:v>478.5</c:v>
                </c:pt>
                <c:pt idx="244">
                  <c:v>478.0</c:v>
                </c:pt>
                <c:pt idx="245">
                  <c:v>477.5</c:v>
                </c:pt>
                <c:pt idx="246">
                  <c:v>477.0</c:v>
                </c:pt>
                <c:pt idx="247">
                  <c:v>476.5</c:v>
                </c:pt>
                <c:pt idx="248">
                  <c:v>476.0</c:v>
                </c:pt>
                <c:pt idx="249">
                  <c:v>475.5</c:v>
                </c:pt>
                <c:pt idx="250">
                  <c:v>475.0</c:v>
                </c:pt>
                <c:pt idx="251">
                  <c:v>474.5</c:v>
                </c:pt>
                <c:pt idx="252">
                  <c:v>474.0</c:v>
                </c:pt>
                <c:pt idx="253">
                  <c:v>473.5</c:v>
                </c:pt>
                <c:pt idx="254">
                  <c:v>473.0</c:v>
                </c:pt>
                <c:pt idx="255">
                  <c:v>472.5</c:v>
                </c:pt>
                <c:pt idx="256">
                  <c:v>472.0</c:v>
                </c:pt>
                <c:pt idx="257">
                  <c:v>471.5</c:v>
                </c:pt>
                <c:pt idx="258">
                  <c:v>471.0</c:v>
                </c:pt>
                <c:pt idx="259">
                  <c:v>470.5</c:v>
                </c:pt>
                <c:pt idx="260">
                  <c:v>470.0</c:v>
                </c:pt>
                <c:pt idx="261">
                  <c:v>469.5</c:v>
                </c:pt>
                <c:pt idx="262">
                  <c:v>469.0</c:v>
                </c:pt>
                <c:pt idx="263">
                  <c:v>468.5</c:v>
                </c:pt>
                <c:pt idx="264">
                  <c:v>468.0</c:v>
                </c:pt>
                <c:pt idx="265">
                  <c:v>467.5</c:v>
                </c:pt>
                <c:pt idx="266">
                  <c:v>467.0</c:v>
                </c:pt>
                <c:pt idx="267">
                  <c:v>466.5</c:v>
                </c:pt>
                <c:pt idx="268">
                  <c:v>466.0</c:v>
                </c:pt>
                <c:pt idx="269">
                  <c:v>465.5</c:v>
                </c:pt>
                <c:pt idx="270">
                  <c:v>465.0</c:v>
                </c:pt>
                <c:pt idx="271">
                  <c:v>464.5</c:v>
                </c:pt>
                <c:pt idx="272">
                  <c:v>464.0</c:v>
                </c:pt>
                <c:pt idx="273">
                  <c:v>463.5</c:v>
                </c:pt>
                <c:pt idx="274">
                  <c:v>463.0</c:v>
                </c:pt>
                <c:pt idx="275">
                  <c:v>462.5</c:v>
                </c:pt>
                <c:pt idx="276">
                  <c:v>462.0</c:v>
                </c:pt>
                <c:pt idx="277">
                  <c:v>461.5</c:v>
                </c:pt>
                <c:pt idx="278">
                  <c:v>461.0</c:v>
                </c:pt>
                <c:pt idx="279">
                  <c:v>460.5</c:v>
                </c:pt>
                <c:pt idx="280">
                  <c:v>460.0</c:v>
                </c:pt>
                <c:pt idx="281">
                  <c:v>459.5</c:v>
                </c:pt>
                <c:pt idx="282">
                  <c:v>459.0</c:v>
                </c:pt>
                <c:pt idx="283">
                  <c:v>458.5</c:v>
                </c:pt>
                <c:pt idx="284">
                  <c:v>458.0</c:v>
                </c:pt>
                <c:pt idx="285">
                  <c:v>457.5</c:v>
                </c:pt>
                <c:pt idx="286">
                  <c:v>457.0</c:v>
                </c:pt>
                <c:pt idx="287">
                  <c:v>456.5</c:v>
                </c:pt>
                <c:pt idx="288">
                  <c:v>456.0</c:v>
                </c:pt>
                <c:pt idx="289">
                  <c:v>455.5</c:v>
                </c:pt>
                <c:pt idx="290">
                  <c:v>455.0</c:v>
                </c:pt>
                <c:pt idx="291">
                  <c:v>454.5</c:v>
                </c:pt>
                <c:pt idx="292">
                  <c:v>454.0</c:v>
                </c:pt>
                <c:pt idx="293">
                  <c:v>453.5</c:v>
                </c:pt>
                <c:pt idx="294">
                  <c:v>453.0</c:v>
                </c:pt>
                <c:pt idx="295">
                  <c:v>452.5</c:v>
                </c:pt>
                <c:pt idx="296">
                  <c:v>452.0</c:v>
                </c:pt>
                <c:pt idx="297">
                  <c:v>451.5</c:v>
                </c:pt>
                <c:pt idx="298">
                  <c:v>451.0</c:v>
                </c:pt>
                <c:pt idx="299">
                  <c:v>450.5</c:v>
                </c:pt>
                <c:pt idx="300">
                  <c:v>450.0</c:v>
                </c:pt>
                <c:pt idx="301">
                  <c:v>449.5</c:v>
                </c:pt>
                <c:pt idx="302">
                  <c:v>449.0</c:v>
                </c:pt>
                <c:pt idx="303">
                  <c:v>448.5</c:v>
                </c:pt>
                <c:pt idx="304">
                  <c:v>448.0</c:v>
                </c:pt>
                <c:pt idx="305">
                  <c:v>447.5</c:v>
                </c:pt>
                <c:pt idx="306">
                  <c:v>447.0</c:v>
                </c:pt>
                <c:pt idx="307">
                  <c:v>446.5</c:v>
                </c:pt>
                <c:pt idx="308">
                  <c:v>446.0</c:v>
                </c:pt>
                <c:pt idx="309">
                  <c:v>445.5</c:v>
                </c:pt>
                <c:pt idx="310">
                  <c:v>445.0</c:v>
                </c:pt>
                <c:pt idx="311">
                  <c:v>444.5</c:v>
                </c:pt>
                <c:pt idx="312">
                  <c:v>444.0</c:v>
                </c:pt>
                <c:pt idx="313">
                  <c:v>443.5</c:v>
                </c:pt>
                <c:pt idx="314">
                  <c:v>443.0</c:v>
                </c:pt>
                <c:pt idx="315">
                  <c:v>442.5</c:v>
                </c:pt>
                <c:pt idx="316">
                  <c:v>442.0</c:v>
                </c:pt>
                <c:pt idx="317">
                  <c:v>441.5</c:v>
                </c:pt>
                <c:pt idx="318">
                  <c:v>441.0</c:v>
                </c:pt>
                <c:pt idx="319">
                  <c:v>440.5</c:v>
                </c:pt>
                <c:pt idx="320">
                  <c:v>440.0</c:v>
                </c:pt>
                <c:pt idx="321">
                  <c:v>439.5</c:v>
                </c:pt>
                <c:pt idx="322">
                  <c:v>439.0</c:v>
                </c:pt>
                <c:pt idx="323">
                  <c:v>438.5</c:v>
                </c:pt>
                <c:pt idx="324">
                  <c:v>438.0</c:v>
                </c:pt>
                <c:pt idx="325">
                  <c:v>437.5</c:v>
                </c:pt>
                <c:pt idx="326">
                  <c:v>437.0</c:v>
                </c:pt>
                <c:pt idx="327">
                  <c:v>436.5</c:v>
                </c:pt>
                <c:pt idx="328">
                  <c:v>436.0</c:v>
                </c:pt>
                <c:pt idx="329">
                  <c:v>435.5</c:v>
                </c:pt>
                <c:pt idx="330">
                  <c:v>435.0</c:v>
                </c:pt>
                <c:pt idx="331">
                  <c:v>434.5</c:v>
                </c:pt>
                <c:pt idx="332">
                  <c:v>434.0</c:v>
                </c:pt>
                <c:pt idx="333">
                  <c:v>433.5</c:v>
                </c:pt>
                <c:pt idx="334">
                  <c:v>433.0</c:v>
                </c:pt>
                <c:pt idx="335">
                  <c:v>432.5</c:v>
                </c:pt>
                <c:pt idx="336">
                  <c:v>432.0</c:v>
                </c:pt>
                <c:pt idx="337">
                  <c:v>431.5</c:v>
                </c:pt>
                <c:pt idx="338">
                  <c:v>431.0</c:v>
                </c:pt>
                <c:pt idx="339">
                  <c:v>430.5</c:v>
                </c:pt>
                <c:pt idx="340">
                  <c:v>430.0</c:v>
                </c:pt>
                <c:pt idx="341">
                  <c:v>429.5</c:v>
                </c:pt>
                <c:pt idx="342">
                  <c:v>429.0</c:v>
                </c:pt>
                <c:pt idx="343">
                  <c:v>428.5</c:v>
                </c:pt>
                <c:pt idx="344">
                  <c:v>428.0</c:v>
                </c:pt>
                <c:pt idx="345">
                  <c:v>427.5</c:v>
                </c:pt>
                <c:pt idx="346">
                  <c:v>427.0</c:v>
                </c:pt>
                <c:pt idx="347">
                  <c:v>426.5</c:v>
                </c:pt>
                <c:pt idx="348">
                  <c:v>426.0</c:v>
                </c:pt>
                <c:pt idx="349">
                  <c:v>425.5</c:v>
                </c:pt>
                <c:pt idx="350">
                  <c:v>425.0</c:v>
                </c:pt>
                <c:pt idx="351">
                  <c:v>424.5</c:v>
                </c:pt>
                <c:pt idx="352">
                  <c:v>424.0</c:v>
                </c:pt>
                <c:pt idx="353">
                  <c:v>423.5</c:v>
                </c:pt>
                <c:pt idx="354">
                  <c:v>423.0</c:v>
                </c:pt>
                <c:pt idx="355">
                  <c:v>422.5</c:v>
                </c:pt>
                <c:pt idx="356">
                  <c:v>422.0</c:v>
                </c:pt>
                <c:pt idx="357">
                  <c:v>421.5</c:v>
                </c:pt>
                <c:pt idx="358">
                  <c:v>421.0</c:v>
                </c:pt>
                <c:pt idx="359">
                  <c:v>420.5</c:v>
                </c:pt>
                <c:pt idx="360">
                  <c:v>420.0</c:v>
                </c:pt>
                <c:pt idx="361">
                  <c:v>419.5</c:v>
                </c:pt>
                <c:pt idx="362">
                  <c:v>419.0</c:v>
                </c:pt>
                <c:pt idx="363">
                  <c:v>418.5</c:v>
                </c:pt>
                <c:pt idx="364">
                  <c:v>418.0</c:v>
                </c:pt>
                <c:pt idx="365">
                  <c:v>417.5</c:v>
                </c:pt>
                <c:pt idx="366">
                  <c:v>417.0</c:v>
                </c:pt>
                <c:pt idx="367">
                  <c:v>416.5</c:v>
                </c:pt>
                <c:pt idx="368">
                  <c:v>416.0</c:v>
                </c:pt>
                <c:pt idx="369">
                  <c:v>415.5</c:v>
                </c:pt>
                <c:pt idx="370">
                  <c:v>415.0</c:v>
                </c:pt>
                <c:pt idx="371">
                  <c:v>414.5</c:v>
                </c:pt>
                <c:pt idx="372">
                  <c:v>414.0</c:v>
                </c:pt>
                <c:pt idx="373">
                  <c:v>413.5</c:v>
                </c:pt>
                <c:pt idx="374">
                  <c:v>413.0</c:v>
                </c:pt>
                <c:pt idx="375">
                  <c:v>412.5</c:v>
                </c:pt>
                <c:pt idx="376">
                  <c:v>412.0</c:v>
                </c:pt>
                <c:pt idx="377">
                  <c:v>411.5</c:v>
                </c:pt>
                <c:pt idx="378">
                  <c:v>411.0</c:v>
                </c:pt>
                <c:pt idx="379">
                  <c:v>410.5</c:v>
                </c:pt>
                <c:pt idx="380">
                  <c:v>410.0</c:v>
                </c:pt>
                <c:pt idx="381">
                  <c:v>409.5</c:v>
                </c:pt>
                <c:pt idx="382">
                  <c:v>409.0</c:v>
                </c:pt>
                <c:pt idx="383">
                  <c:v>408.5</c:v>
                </c:pt>
                <c:pt idx="384">
                  <c:v>408.0</c:v>
                </c:pt>
                <c:pt idx="385">
                  <c:v>407.5</c:v>
                </c:pt>
                <c:pt idx="386">
                  <c:v>407.0</c:v>
                </c:pt>
                <c:pt idx="387">
                  <c:v>406.5</c:v>
                </c:pt>
                <c:pt idx="388">
                  <c:v>406.0</c:v>
                </c:pt>
                <c:pt idx="389">
                  <c:v>405.5</c:v>
                </c:pt>
                <c:pt idx="390">
                  <c:v>405.0</c:v>
                </c:pt>
                <c:pt idx="391">
                  <c:v>404.5</c:v>
                </c:pt>
                <c:pt idx="392">
                  <c:v>404.0</c:v>
                </c:pt>
                <c:pt idx="393">
                  <c:v>403.5</c:v>
                </c:pt>
                <c:pt idx="394">
                  <c:v>403.0</c:v>
                </c:pt>
                <c:pt idx="395">
                  <c:v>402.5</c:v>
                </c:pt>
                <c:pt idx="396">
                  <c:v>402.0</c:v>
                </c:pt>
                <c:pt idx="397">
                  <c:v>401.5</c:v>
                </c:pt>
                <c:pt idx="398">
                  <c:v>401.0</c:v>
                </c:pt>
                <c:pt idx="399">
                  <c:v>400.5</c:v>
                </c:pt>
                <c:pt idx="400">
                  <c:v>400.0</c:v>
                </c:pt>
                <c:pt idx="401">
                  <c:v>399.5</c:v>
                </c:pt>
                <c:pt idx="402">
                  <c:v>399.0</c:v>
                </c:pt>
                <c:pt idx="403">
                  <c:v>398.5</c:v>
                </c:pt>
                <c:pt idx="404">
                  <c:v>398.0</c:v>
                </c:pt>
                <c:pt idx="405">
                  <c:v>397.5</c:v>
                </c:pt>
                <c:pt idx="406">
                  <c:v>397.0</c:v>
                </c:pt>
                <c:pt idx="407">
                  <c:v>396.5</c:v>
                </c:pt>
                <c:pt idx="408">
                  <c:v>396.0</c:v>
                </c:pt>
                <c:pt idx="409">
                  <c:v>395.5</c:v>
                </c:pt>
                <c:pt idx="410">
                  <c:v>395.0</c:v>
                </c:pt>
                <c:pt idx="411">
                  <c:v>394.5</c:v>
                </c:pt>
                <c:pt idx="412">
                  <c:v>394.0</c:v>
                </c:pt>
                <c:pt idx="413">
                  <c:v>393.5</c:v>
                </c:pt>
                <c:pt idx="414">
                  <c:v>393.0</c:v>
                </c:pt>
                <c:pt idx="415">
                  <c:v>392.5</c:v>
                </c:pt>
                <c:pt idx="416">
                  <c:v>392.0</c:v>
                </c:pt>
                <c:pt idx="417">
                  <c:v>391.5</c:v>
                </c:pt>
                <c:pt idx="418">
                  <c:v>391.0</c:v>
                </c:pt>
                <c:pt idx="419">
                  <c:v>390.5</c:v>
                </c:pt>
                <c:pt idx="420">
                  <c:v>390.0</c:v>
                </c:pt>
                <c:pt idx="421">
                  <c:v>389.5</c:v>
                </c:pt>
                <c:pt idx="422">
                  <c:v>389.0</c:v>
                </c:pt>
                <c:pt idx="423">
                  <c:v>388.5</c:v>
                </c:pt>
                <c:pt idx="424">
                  <c:v>388.0</c:v>
                </c:pt>
                <c:pt idx="425">
                  <c:v>387.5</c:v>
                </c:pt>
                <c:pt idx="426">
                  <c:v>387.0</c:v>
                </c:pt>
                <c:pt idx="427">
                  <c:v>386.5</c:v>
                </c:pt>
                <c:pt idx="428">
                  <c:v>386.0</c:v>
                </c:pt>
                <c:pt idx="429">
                  <c:v>385.5</c:v>
                </c:pt>
                <c:pt idx="430">
                  <c:v>385.0</c:v>
                </c:pt>
                <c:pt idx="431">
                  <c:v>384.5</c:v>
                </c:pt>
                <c:pt idx="432">
                  <c:v>384.0</c:v>
                </c:pt>
                <c:pt idx="433">
                  <c:v>383.5</c:v>
                </c:pt>
                <c:pt idx="434">
                  <c:v>383.0</c:v>
                </c:pt>
                <c:pt idx="435">
                  <c:v>382.5</c:v>
                </c:pt>
                <c:pt idx="436">
                  <c:v>382.0</c:v>
                </c:pt>
                <c:pt idx="437">
                  <c:v>381.5</c:v>
                </c:pt>
                <c:pt idx="438">
                  <c:v>381.0</c:v>
                </c:pt>
                <c:pt idx="439">
                  <c:v>380.5</c:v>
                </c:pt>
                <c:pt idx="440">
                  <c:v>380.0</c:v>
                </c:pt>
                <c:pt idx="441">
                  <c:v>379.5</c:v>
                </c:pt>
                <c:pt idx="442">
                  <c:v>379.0</c:v>
                </c:pt>
                <c:pt idx="443">
                  <c:v>378.5</c:v>
                </c:pt>
                <c:pt idx="444">
                  <c:v>378.0</c:v>
                </c:pt>
                <c:pt idx="445">
                  <c:v>377.5</c:v>
                </c:pt>
                <c:pt idx="446">
                  <c:v>377.0</c:v>
                </c:pt>
                <c:pt idx="447">
                  <c:v>376.5</c:v>
                </c:pt>
                <c:pt idx="448">
                  <c:v>376.0</c:v>
                </c:pt>
                <c:pt idx="449">
                  <c:v>375.5</c:v>
                </c:pt>
                <c:pt idx="450">
                  <c:v>375.0</c:v>
                </c:pt>
                <c:pt idx="451">
                  <c:v>374.5</c:v>
                </c:pt>
                <c:pt idx="452">
                  <c:v>374.0</c:v>
                </c:pt>
                <c:pt idx="453">
                  <c:v>373.5</c:v>
                </c:pt>
                <c:pt idx="454">
                  <c:v>373.0</c:v>
                </c:pt>
                <c:pt idx="455">
                  <c:v>372.5</c:v>
                </c:pt>
                <c:pt idx="456">
                  <c:v>372.0</c:v>
                </c:pt>
                <c:pt idx="457">
                  <c:v>371.5</c:v>
                </c:pt>
                <c:pt idx="458">
                  <c:v>371.0</c:v>
                </c:pt>
                <c:pt idx="459">
                  <c:v>370.5</c:v>
                </c:pt>
                <c:pt idx="460">
                  <c:v>370.0</c:v>
                </c:pt>
                <c:pt idx="461">
                  <c:v>369.5</c:v>
                </c:pt>
                <c:pt idx="462">
                  <c:v>369.0</c:v>
                </c:pt>
                <c:pt idx="463">
                  <c:v>368.5</c:v>
                </c:pt>
                <c:pt idx="464">
                  <c:v>368.0</c:v>
                </c:pt>
                <c:pt idx="465">
                  <c:v>367.5</c:v>
                </c:pt>
                <c:pt idx="466">
                  <c:v>367.0</c:v>
                </c:pt>
                <c:pt idx="467">
                  <c:v>366.5</c:v>
                </c:pt>
                <c:pt idx="468">
                  <c:v>366.0</c:v>
                </c:pt>
                <c:pt idx="469">
                  <c:v>365.5</c:v>
                </c:pt>
                <c:pt idx="470">
                  <c:v>365.0</c:v>
                </c:pt>
                <c:pt idx="471">
                  <c:v>364.5</c:v>
                </c:pt>
                <c:pt idx="472">
                  <c:v>364.0</c:v>
                </c:pt>
                <c:pt idx="473">
                  <c:v>363.5</c:v>
                </c:pt>
                <c:pt idx="474">
                  <c:v>363.0</c:v>
                </c:pt>
                <c:pt idx="475">
                  <c:v>362.5</c:v>
                </c:pt>
                <c:pt idx="476">
                  <c:v>362.0</c:v>
                </c:pt>
                <c:pt idx="477">
                  <c:v>361.5</c:v>
                </c:pt>
                <c:pt idx="478">
                  <c:v>361.0</c:v>
                </c:pt>
                <c:pt idx="479">
                  <c:v>360.5</c:v>
                </c:pt>
                <c:pt idx="480">
                  <c:v>360.0</c:v>
                </c:pt>
                <c:pt idx="481">
                  <c:v>359.5</c:v>
                </c:pt>
                <c:pt idx="482">
                  <c:v>359.0</c:v>
                </c:pt>
                <c:pt idx="483">
                  <c:v>358.5</c:v>
                </c:pt>
                <c:pt idx="484">
                  <c:v>358.0</c:v>
                </c:pt>
                <c:pt idx="485">
                  <c:v>357.5</c:v>
                </c:pt>
                <c:pt idx="486">
                  <c:v>357.0</c:v>
                </c:pt>
                <c:pt idx="487">
                  <c:v>356.5</c:v>
                </c:pt>
                <c:pt idx="488">
                  <c:v>356.0</c:v>
                </c:pt>
                <c:pt idx="489">
                  <c:v>355.5</c:v>
                </c:pt>
                <c:pt idx="490">
                  <c:v>355.0</c:v>
                </c:pt>
                <c:pt idx="491">
                  <c:v>354.5</c:v>
                </c:pt>
                <c:pt idx="492">
                  <c:v>354.0</c:v>
                </c:pt>
                <c:pt idx="493">
                  <c:v>353.5</c:v>
                </c:pt>
                <c:pt idx="494">
                  <c:v>353.0</c:v>
                </c:pt>
                <c:pt idx="495">
                  <c:v>352.5</c:v>
                </c:pt>
                <c:pt idx="496">
                  <c:v>352.0</c:v>
                </c:pt>
                <c:pt idx="497">
                  <c:v>351.5</c:v>
                </c:pt>
                <c:pt idx="498">
                  <c:v>351.0</c:v>
                </c:pt>
                <c:pt idx="499">
                  <c:v>350.5</c:v>
                </c:pt>
                <c:pt idx="500">
                  <c:v>350.0</c:v>
                </c:pt>
                <c:pt idx="501">
                  <c:v>349.5</c:v>
                </c:pt>
                <c:pt idx="502">
                  <c:v>349.0</c:v>
                </c:pt>
                <c:pt idx="503">
                  <c:v>348.5</c:v>
                </c:pt>
                <c:pt idx="504">
                  <c:v>348.0</c:v>
                </c:pt>
                <c:pt idx="505">
                  <c:v>347.5</c:v>
                </c:pt>
                <c:pt idx="506">
                  <c:v>347.0</c:v>
                </c:pt>
                <c:pt idx="507">
                  <c:v>346.5</c:v>
                </c:pt>
                <c:pt idx="508">
                  <c:v>346.0</c:v>
                </c:pt>
                <c:pt idx="509">
                  <c:v>345.5</c:v>
                </c:pt>
                <c:pt idx="510">
                  <c:v>345.0</c:v>
                </c:pt>
                <c:pt idx="511">
                  <c:v>344.5</c:v>
                </c:pt>
                <c:pt idx="512">
                  <c:v>344.0</c:v>
                </c:pt>
                <c:pt idx="513">
                  <c:v>343.5</c:v>
                </c:pt>
                <c:pt idx="514">
                  <c:v>343.0</c:v>
                </c:pt>
                <c:pt idx="515">
                  <c:v>342.5</c:v>
                </c:pt>
                <c:pt idx="516">
                  <c:v>342.0</c:v>
                </c:pt>
                <c:pt idx="517">
                  <c:v>341.5</c:v>
                </c:pt>
                <c:pt idx="518">
                  <c:v>341.0</c:v>
                </c:pt>
                <c:pt idx="519">
                  <c:v>340.5</c:v>
                </c:pt>
                <c:pt idx="520">
                  <c:v>340.0</c:v>
                </c:pt>
                <c:pt idx="521">
                  <c:v>339.5</c:v>
                </c:pt>
                <c:pt idx="522">
                  <c:v>339.0</c:v>
                </c:pt>
                <c:pt idx="523">
                  <c:v>338.5</c:v>
                </c:pt>
                <c:pt idx="524">
                  <c:v>338.0</c:v>
                </c:pt>
                <c:pt idx="525">
                  <c:v>337.5</c:v>
                </c:pt>
                <c:pt idx="526">
                  <c:v>337.0</c:v>
                </c:pt>
                <c:pt idx="527">
                  <c:v>336.5</c:v>
                </c:pt>
                <c:pt idx="528">
                  <c:v>336.0</c:v>
                </c:pt>
                <c:pt idx="529">
                  <c:v>335.5</c:v>
                </c:pt>
                <c:pt idx="530">
                  <c:v>335.0</c:v>
                </c:pt>
                <c:pt idx="531">
                  <c:v>334.5</c:v>
                </c:pt>
                <c:pt idx="532">
                  <c:v>334.0</c:v>
                </c:pt>
                <c:pt idx="533">
                  <c:v>333.5</c:v>
                </c:pt>
                <c:pt idx="534">
                  <c:v>333.0</c:v>
                </c:pt>
                <c:pt idx="535">
                  <c:v>332.5</c:v>
                </c:pt>
                <c:pt idx="536">
                  <c:v>332.0</c:v>
                </c:pt>
                <c:pt idx="537">
                  <c:v>331.5</c:v>
                </c:pt>
                <c:pt idx="538">
                  <c:v>331.0</c:v>
                </c:pt>
                <c:pt idx="539">
                  <c:v>330.5</c:v>
                </c:pt>
                <c:pt idx="540">
                  <c:v>330.0</c:v>
                </c:pt>
                <c:pt idx="541">
                  <c:v>329.5</c:v>
                </c:pt>
                <c:pt idx="542">
                  <c:v>329.0</c:v>
                </c:pt>
                <c:pt idx="543">
                  <c:v>328.5</c:v>
                </c:pt>
                <c:pt idx="544">
                  <c:v>328.0</c:v>
                </c:pt>
                <c:pt idx="545">
                  <c:v>327.5</c:v>
                </c:pt>
                <c:pt idx="546">
                  <c:v>327.0</c:v>
                </c:pt>
                <c:pt idx="547">
                  <c:v>326.5</c:v>
                </c:pt>
                <c:pt idx="548">
                  <c:v>326.0</c:v>
                </c:pt>
                <c:pt idx="549">
                  <c:v>325.5</c:v>
                </c:pt>
                <c:pt idx="550">
                  <c:v>325.0</c:v>
                </c:pt>
                <c:pt idx="551">
                  <c:v>324.5</c:v>
                </c:pt>
                <c:pt idx="552">
                  <c:v>324.0</c:v>
                </c:pt>
                <c:pt idx="553">
                  <c:v>323.5</c:v>
                </c:pt>
                <c:pt idx="554">
                  <c:v>323.0</c:v>
                </c:pt>
                <c:pt idx="555">
                  <c:v>322.5</c:v>
                </c:pt>
                <c:pt idx="556">
                  <c:v>322.0</c:v>
                </c:pt>
                <c:pt idx="557">
                  <c:v>321.5</c:v>
                </c:pt>
                <c:pt idx="558">
                  <c:v>321.0</c:v>
                </c:pt>
                <c:pt idx="559">
                  <c:v>320.5</c:v>
                </c:pt>
                <c:pt idx="560">
                  <c:v>320.0</c:v>
                </c:pt>
                <c:pt idx="561">
                  <c:v>319.5</c:v>
                </c:pt>
                <c:pt idx="562">
                  <c:v>319.0</c:v>
                </c:pt>
                <c:pt idx="563">
                  <c:v>318.5</c:v>
                </c:pt>
                <c:pt idx="564">
                  <c:v>318.0</c:v>
                </c:pt>
                <c:pt idx="565">
                  <c:v>317.5</c:v>
                </c:pt>
                <c:pt idx="566">
                  <c:v>317.0</c:v>
                </c:pt>
                <c:pt idx="567">
                  <c:v>316.5</c:v>
                </c:pt>
                <c:pt idx="568">
                  <c:v>316.0</c:v>
                </c:pt>
                <c:pt idx="569">
                  <c:v>315.5</c:v>
                </c:pt>
                <c:pt idx="570">
                  <c:v>315.0</c:v>
                </c:pt>
                <c:pt idx="571">
                  <c:v>314.5</c:v>
                </c:pt>
                <c:pt idx="572">
                  <c:v>314.0</c:v>
                </c:pt>
                <c:pt idx="573">
                  <c:v>313.5</c:v>
                </c:pt>
                <c:pt idx="574">
                  <c:v>313.0</c:v>
                </c:pt>
                <c:pt idx="575">
                  <c:v>312.5</c:v>
                </c:pt>
                <c:pt idx="576">
                  <c:v>312.0</c:v>
                </c:pt>
                <c:pt idx="577">
                  <c:v>311.5</c:v>
                </c:pt>
                <c:pt idx="578">
                  <c:v>311.0</c:v>
                </c:pt>
                <c:pt idx="579">
                  <c:v>310.5</c:v>
                </c:pt>
                <c:pt idx="580">
                  <c:v>310.0</c:v>
                </c:pt>
                <c:pt idx="581">
                  <c:v>309.5</c:v>
                </c:pt>
                <c:pt idx="582">
                  <c:v>309.0</c:v>
                </c:pt>
                <c:pt idx="583">
                  <c:v>308.5</c:v>
                </c:pt>
                <c:pt idx="584">
                  <c:v>308.0</c:v>
                </c:pt>
                <c:pt idx="585">
                  <c:v>307.5</c:v>
                </c:pt>
                <c:pt idx="586">
                  <c:v>307.0</c:v>
                </c:pt>
                <c:pt idx="587">
                  <c:v>306.5</c:v>
                </c:pt>
                <c:pt idx="588">
                  <c:v>306.0</c:v>
                </c:pt>
                <c:pt idx="589">
                  <c:v>305.5</c:v>
                </c:pt>
                <c:pt idx="590">
                  <c:v>305.0</c:v>
                </c:pt>
                <c:pt idx="591">
                  <c:v>304.5</c:v>
                </c:pt>
                <c:pt idx="592">
                  <c:v>304.0</c:v>
                </c:pt>
                <c:pt idx="593">
                  <c:v>303.5</c:v>
                </c:pt>
                <c:pt idx="594">
                  <c:v>303.0</c:v>
                </c:pt>
                <c:pt idx="595">
                  <c:v>302.5</c:v>
                </c:pt>
                <c:pt idx="596">
                  <c:v>302.0</c:v>
                </c:pt>
                <c:pt idx="597">
                  <c:v>301.5</c:v>
                </c:pt>
                <c:pt idx="598">
                  <c:v>301.0</c:v>
                </c:pt>
                <c:pt idx="599">
                  <c:v>300.5</c:v>
                </c:pt>
                <c:pt idx="600">
                  <c:v>300.0</c:v>
                </c:pt>
                <c:pt idx="601">
                  <c:v>299.5</c:v>
                </c:pt>
                <c:pt idx="602">
                  <c:v>299.0</c:v>
                </c:pt>
                <c:pt idx="603">
                  <c:v>298.5</c:v>
                </c:pt>
                <c:pt idx="604">
                  <c:v>298.0</c:v>
                </c:pt>
                <c:pt idx="605">
                  <c:v>297.5</c:v>
                </c:pt>
                <c:pt idx="606">
                  <c:v>297.0</c:v>
                </c:pt>
                <c:pt idx="607">
                  <c:v>296.5</c:v>
                </c:pt>
                <c:pt idx="608">
                  <c:v>296.0</c:v>
                </c:pt>
                <c:pt idx="609">
                  <c:v>295.5</c:v>
                </c:pt>
                <c:pt idx="610">
                  <c:v>295.0</c:v>
                </c:pt>
                <c:pt idx="611">
                  <c:v>294.5</c:v>
                </c:pt>
                <c:pt idx="612">
                  <c:v>294.0</c:v>
                </c:pt>
                <c:pt idx="613">
                  <c:v>293.5</c:v>
                </c:pt>
                <c:pt idx="614">
                  <c:v>293.0</c:v>
                </c:pt>
                <c:pt idx="615">
                  <c:v>292.5</c:v>
                </c:pt>
                <c:pt idx="616">
                  <c:v>292.0</c:v>
                </c:pt>
                <c:pt idx="617">
                  <c:v>291.5</c:v>
                </c:pt>
                <c:pt idx="618">
                  <c:v>291.0</c:v>
                </c:pt>
                <c:pt idx="619">
                  <c:v>290.5</c:v>
                </c:pt>
                <c:pt idx="620">
                  <c:v>290.0</c:v>
                </c:pt>
                <c:pt idx="621">
                  <c:v>289.5</c:v>
                </c:pt>
                <c:pt idx="622">
                  <c:v>289.0</c:v>
                </c:pt>
                <c:pt idx="623">
                  <c:v>288.5</c:v>
                </c:pt>
                <c:pt idx="624">
                  <c:v>288.0</c:v>
                </c:pt>
                <c:pt idx="625">
                  <c:v>287.5</c:v>
                </c:pt>
                <c:pt idx="626">
                  <c:v>287.0</c:v>
                </c:pt>
                <c:pt idx="627">
                  <c:v>286.5</c:v>
                </c:pt>
                <c:pt idx="628">
                  <c:v>286.0</c:v>
                </c:pt>
                <c:pt idx="629">
                  <c:v>285.5</c:v>
                </c:pt>
                <c:pt idx="630">
                  <c:v>285.0</c:v>
                </c:pt>
                <c:pt idx="631">
                  <c:v>284.5</c:v>
                </c:pt>
                <c:pt idx="632">
                  <c:v>284.0</c:v>
                </c:pt>
                <c:pt idx="633">
                  <c:v>283.5</c:v>
                </c:pt>
                <c:pt idx="634">
                  <c:v>283.0</c:v>
                </c:pt>
                <c:pt idx="635">
                  <c:v>282.5</c:v>
                </c:pt>
                <c:pt idx="636">
                  <c:v>282.0</c:v>
                </c:pt>
                <c:pt idx="637">
                  <c:v>281.5</c:v>
                </c:pt>
                <c:pt idx="638">
                  <c:v>281.0</c:v>
                </c:pt>
                <c:pt idx="639">
                  <c:v>280.5</c:v>
                </c:pt>
                <c:pt idx="640">
                  <c:v>280.0</c:v>
                </c:pt>
                <c:pt idx="641">
                  <c:v>279.5</c:v>
                </c:pt>
                <c:pt idx="642">
                  <c:v>279.0</c:v>
                </c:pt>
                <c:pt idx="643">
                  <c:v>278.5</c:v>
                </c:pt>
                <c:pt idx="644">
                  <c:v>278.0</c:v>
                </c:pt>
                <c:pt idx="645">
                  <c:v>277.5</c:v>
                </c:pt>
                <c:pt idx="646">
                  <c:v>277.0</c:v>
                </c:pt>
                <c:pt idx="647">
                  <c:v>276.5</c:v>
                </c:pt>
                <c:pt idx="648">
                  <c:v>276.0</c:v>
                </c:pt>
                <c:pt idx="649">
                  <c:v>275.5</c:v>
                </c:pt>
                <c:pt idx="650">
                  <c:v>275.0</c:v>
                </c:pt>
                <c:pt idx="651">
                  <c:v>274.5</c:v>
                </c:pt>
                <c:pt idx="652">
                  <c:v>274.0</c:v>
                </c:pt>
                <c:pt idx="653">
                  <c:v>273.5</c:v>
                </c:pt>
                <c:pt idx="654">
                  <c:v>273.0</c:v>
                </c:pt>
                <c:pt idx="655">
                  <c:v>272.5</c:v>
                </c:pt>
                <c:pt idx="656">
                  <c:v>272.0</c:v>
                </c:pt>
                <c:pt idx="657">
                  <c:v>271.5</c:v>
                </c:pt>
                <c:pt idx="658">
                  <c:v>271.0</c:v>
                </c:pt>
                <c:pt idx="659">
                  <c:v>270.5</c:v>
                </c:pt>
                <c:pt idx="660">
                  <c:v>270.0</c:v>
                </c:pt>
                <c:pt idx="661">
                  <c:v>269.5</c:v>
                </c:pt>
                <c:pt idx="662">
                  <c:v>269.0</c:v>
                </c:pt>
                <c:pt idx="663">
                  <c:v>268.5</c:v>
                </c:pt>
                <c:pt idx="664">
                  <c:v>268.0</c:v>
                </c:pt>
                <c:pt idx="665">
                  <c:v>267.5</c:v>
                </c:pt>
                <c:pt idx="666">
                  <c:v>267.0</c:v>
                </c:pt>
                <c:pt idx="667">
                  <c:v>266.5</c:v>
                </c:pt>
                <c:pt idx="668">
                  <c:v>266.0</c:v>
                </c:pt>
                <c:pt idx="669">
                  <c:v>265.5</c:v>
                </c:pt>
                <c:pt idx="670">
                  <c:v>265.0</c:v>
                </c:pt>
                <c:pt idx="671">
                  <c:v>264.5</c:v>
                </c:pt>
                <c:pt idx="672">
                  <c:v>264.0</c:v>
                </c:pt>
                <c:pt idx="673">
                  <c:v>263.5</c:v>
                </c:pt>
                <c:pt idx="674">
                  <c:v>263.0</c:v>
                </c:pt>
                <c:pt idx="675">
                  <c:v>262.5</c:v>
                </c:pt>
                <c:pt idx="676">
                  <c:v>262.0</c:v>
                </c:pt>
                <c:pt idx="677">
                  <c:v>261.5</c:v>
                </c:pt>
                <c:pt idx="678">
                  <c:v>261.0</c:v>
                </c:pt>
                <c:pt idx="679">
                  <c:v>260.5</c:v>
                </c:pt>
                <c:pt idx="680">
                  <c:v>260.0</c:v>
                </c:pt>
                <c:pt idx="681">
                  <c:v>259.5</c:v>
                </c:pt>
                <c:pt idx="682">
                  <c:v>259.0</c:v>
                </c:pt>
                <c:pt idx="683">
                  <c:v>258.5</c:v>
                </c:pt>
                <c:pt idx="684">
                  <c:v>258.0</c:v>
                </c:pt>
                <c:pt idx="685">
                  <c:v>257.5</c:v>
                </c:pt>
                <c:pt idx="686">
                  <c:v>257.0</c:v>
                </c:pt>
                <c:pt idx="687">
                  <c:v>256.5</c:v>
                </c:pt>
                <c:pt idx="688">
                  <c:v>256.0</c:v>
                </c:pt>
                <c:pt idx="689">
                  <c:v>255.5</c:v>
                </c:pt>
                <c:pt idx="690">
                  <c:v>255.0</c:v>
                </c:pt>
                <c:pt idx="691">
                  <c:v>254.5</c:v>
                </c:pt>
                <c:pt idx="692">
                  <c:v>254.0</c:v>
                </c:pt>
                <c:pt idx="693">
                  <c:v>253.5</c:v>
                </c:pt>
                <c:pt idx="694">
                  <c:v>253.0</c:v>
                </c:pt>
                <c:pt idx="695">
                  <c:v>252.5</c:v>
                </c:pt>
                <c:pt idx="696">
                  <c:v>252.0</c:v>
                </c:pt>
                <c:pt idx="697">
                  <c:v>251.5</c:v>
                </c:pt>
                <c:pt idx="698">
                  <c:v>251.0</c:v>
                </c:pt>
                <c:pt idx="699">
                  <c:v>250.5</c:v>
                </c:pt>
                <c:pt idx="700">
                  <c:v>250.0</c:v>
                </c:pt>
                <c:pt idx="701">
                  <c:v>249.5</c:v>
                </c:pt>
                <c:pt idx="702">
                  <c:v>249.0</c:v>
                </c:pt>
                <c:pt idx="703">
                  <c:v>248.5</c:v>
                </c:pt>
                <c:pt idx="704">
                  <c:v>248.0</c:v>
                </c:pt>
                <c:pt idx="705">
                  <c:v>247.5</c:v>
                </c:pt>
                <c:pt idx="706">
                  <c:v>247.0</c:v>
                </c:pt>
                <c:pt idx="707">
                  <c:v>246.5</c:v>
                </c:pt>
                <c:pt idx="708">
                  <c:v>246.0</c:v>
                </c:pt>
                <c:pt idx="709">
                  <c:v>245.5</c:v>
                </c:pt>
                <c:pt idx="710">
                  <c:v>245.0</c:v>
                </c:pt>
                <c:pt idx="711">
                  <c:v>244.5</c:v>
                </c:pt>
                <c:pt idx="712">
                  <c:v>244.0</c:v>
                </c:pt>
                <c:pt idx="713">
                  <c:v>243.5</c:v>
                </c:pt>
                <c:pt idx="714">
                  <c:v>243.0</c:v>
                </c:pt>
                <c:pt idx="715">
                  <c:v>242.5</c:v>
                </c:pt>
                <c:pt idx="716">
                  <c:v>242.0</c:v>
                </c:pt>
                <c:pt idx="717">
                  <c:v>241.5</c:v>
                </c:pt>
                <c:pt idx="718">
                  <c:v>241.0</c:v>
                </c:pt>
                <c:pt idx="719">
                  <c:v>240.5</c:v>
                </c:pt>
                <c:pt idx="720">
                  <c:v>240.0</c:v>
                </c:pt>
                <c:pt idx="721">
                  <c:v>239.5</c:v>
                </c:pt>
                <c:pt idx="722">
                  <c:v>239.0</c:v>
                </c:pt>
                <c:pt idx="723">
                  <c:v>238.5</c:v>
                </c:pt>
                <c:pt idx="724">
                  <c:v>238.0</c:v>
                </c:pt>
                <c:pt idx="725">
                  <c:v>237.5</c:v>
                </c:pt>
                <c:pt idx="726">
                  <c:v>237.0</c:v>
                </c:pt>
                <c:pt idx="727">
                  <c:v>236.5</c:v>
                </c:pt>
                <c:pt idx="728">
                  <c:v>236.0</c:v>
                </c:pt>
                <c:pt idx="729">
                  <c:v>235.5</c:v>
                </c:pt>
                <c:pt idx="730">
                  <c:v>235.0</c:v>
                </c:pt>
                <c:pt idx="731">
                  <c:v>234.5</c:v>
                </c:pt>
                <c:pt idx="732">
                  <c:v>234.0</c:v>
                </c:pt>
                <c:pt idx="733">
                  <c:v>233.5</c:v>
                </c:pt>
                <c:pt idx="734">
                  <c:v>233.0</c:v>
                </c:pt>
                <c:pt idx="735">
                  <c:v>232.5</c:v>
                </c:pt>
                <c:pt idx="736">
                  <c:v>232.0</c:v>
                </c:pt>
                <c:pt idx="737">
                  <c:v>231.5</c:v>
                </c:pt>
                <c:pt idx="738">
                  <c:v>231.0</c:v>
                </c:pt>
                <c:pt idx="739">
                  <c:v>230.5</c:v>
                </c:pt>
                <c:pt idx="740">
                  <c:v>230.0</c:v>
                </c:pt>
                <c:pt idx="741">
                  <c:v>229.5</c:v>
                </c:pt>
                <c:pt idx="742">
                  <c:v>229.0</c:v>
                </c:pt>
                <c:pt idx="743">
                  <c:v>228.5</c:v>
                </c:pt>
                <c:pt idx="744">
                  <c:v>228.0</c:v>
                </c:pt>
                <c:pt idx="745">
                  <c:v>227.5</c:v>
                </c:pt>
                <c:pt idx="746">
                  <c:v>227.0</c:v>
                </c:pt>
                <c:pt idx="747">
                  <c:v>226.5</c:v>
                </c:pt>
                <c:pt idx="748">
                  <c:v>226.0</c:v>
                </c:pt>
                <c:pt idx="749">
                  <c:v>225.5</c:v>
                </c:pt>
                <c:pt idx="750">
                  <c:v>225.0</c:v>
                </c:pt>
                <c:pt idx="751">
                  <c:v>224.5</c:v>
                </c:pt>
                <c:pt idx="752">
                  <c:v>224.0</c:v>
                </c:pt>
                <c:pt idx="753">
                  <c:v>223.5</c:v>
                </c:pt>
                <c:pt idx="754">
                  <c:v>223.0</c:v>
                </c:pt>
                <c:pt idx="755">
                  <c:v>222.5</c:v>
                </c:pt>
                <c:pt idx="756">
                  <c:v>222.0</c:v>
                </c:pt>
                <c:pt idx="757">
                  <c:v>221.5</c:v>
                </c:pt>
                <c:pt idx="758">
                  <c:v>221.0</c:v>
                </c:pt>
                <c:pt idx="759">
                  <c:v>220.5</c:v>
                </c:pt>
                <c:pt idx="760">
                  <c:v>220.0</c:v>
                </c:pt>
                <c:pt idx="761">
                  <c:v>219.5</c:v>
                </c:pt>
                <c:pt idx="762">
                  <c:v>219.0</c:v>
                </c:pt>
                <c:pt idx="763">
                  <c:v>218.5</c:v>
                </c:pt>
                <c:pt idx="764">
                  <c:v>218.0</c:v>
                </c:pt>
                <c:pt idx="765">
                  <c:v>217.5</c:v>
                </c:pt>
                <c:pt idx="766">
                  <c:v>217.0</c:v>
                </c:pt>
                <c:pt idx="767">
                  <c:v>216.5</c:v>
                </c:pt>
                <c:pt idx="768">
                  <c:v>216.0</c:v>
                </c:pt>
                <c:pt idx="769">
                  <c:v>215.5</c:v>
                </c:pt>
                <c:pt idx="770">
                  <c:v>215.0</c:v>
                </c:pt>
                <c:pt idx="771">
                  <c:v>214.5</c:v>
                </c:pt>
                <c:pt idx="772">
                  <c:v>214.0</c:v>
                </c:pt>
                <c:pt idx="773">
                  <c:v>213.5</c:v>
                </c:pt>
                <c:pt idx="774">
                  <c:v>213.0</c:v>
                </c:pt>
                <c:pt idx="775">
                  <c:v>212.5</c:v>
                </c:pt>
                <c:pt idx="776">
                  <c:v>212.0</c:v>
                </c:pt>
                <c:pt idx="777">
                  <c:v>211.5</c:v>
                </c:pt>
                <c:pt idx="778">
                  <c:v>211.0</c:v>
                </c:pt>
                <c:pt idx="779">
                  <c:v>210.5</c:v>
                </c:pt>
                <c:pt idx="780">
                  <c:v>210.0</c:v>
                </c:pt>
                <c:pt idx="781">
                  <c:v>209.5</c:v>
                </c:pt>
                <c:pt idx="782">
                  <c:v>209.0</c:v>
                </c:pt>
                <c:pt idx="783">
                  <c:v>208.5</c:v>
                </c:pt>
                <c:pt idx="784">
                  <c:v>208.0</c:v>
                </c:pt>
                <c:pt idx="785">
                  <c:v>207.5</c:v>
                </c:pt>
                <c:pt idx="786">
                  <c:v>207.0</c:v>
                </c:pt>
                <c:pt idx="787">
                  <c:v>206.5</c:v>
                </c:pt>
                <c:pt idx="788">
                  <c:v>206.0</c:v>
                </c:pt>
                <c:pt idx="789">
                  <c:v>205.5</c:v>
                </c:pt>
                <c:pt idx="790">
                  <c:v>205.0</c:v>
                </c:pt>
                <c:pt idx="791">
                  <c:v>204.5</c:v>
                </c:pt>
                <c:pt idx="792">
                  <c:v>204.0</c:v>
                </c:pt>
                <c:pt idx="793">
                  <c:v>203.5</c:v>
                </c:pt>
                <c:pt idx="794">
                  <c:v>203.0</c:v>
                </c:pt>
                <c:pt idx="795">
                  <c:v>202.5</c:v>
                </c:pt>
                <c:pt idx="796">
                  <c:v>202.0</c:v>
                </c:pt>
                <c:pt idx="797">
                  <c:v>201.5</c:v>
                </c:pt>
                <c:pt idx="798">
                  <c:v>201.0</c:v>
                </c:pt>
                <c:pt idx="799">
                  <c:v>200.5</c:v>
                </c:pt>
                <c:pt idx="800">
                  <c:v>200.0</c:v>
                </c:pt>
              </c:numCache>
            </c:numRef>
          </c:xVal>
          <c:yVal>
            <c:numRef>
              <c:f>'Macintosh HD:Users:Brian:Desktop:GoMRI:Sand Patty Scans:[Composite.xlsx]12hdark1.asc'!$B$2:$B$802</c:f>
              <c:numCache>
                <c:formatCode>General</c:formatCode>
                <c:ptCount val="801"/>
                <c:pt idx="0">
                  <c:v>0.0099</c:v>
                </c:pt>
                <c:pt idx="1">
                  <c:v>0.01</c:v>
                </c:pt>
                <c:pt idx="2">
                  <c:v>0.0103</c:v>
                </c:pt>
                <c:pt idx="3">
                  <c:v>0.0105</c:v>
                </c:pt>
                <c:pt idx="4">
                  <c:v>0.01</c:v>
                </c:pt>
                <c:pt idx="5">
                  <c:v>0.0096</c:v>
                </c:pt>
                <c:pt idx="6">
                  <c:v>0.0099</c:v>
                </c:pt>
                <c:pt idx="7">
                  <c:v>0.0104</c:v>
                </c:pt>
                <c:pt idx="8">
                  <c:v>0.0104</c:v>
                </c:pt>
                <c:pt idx="9">
                  <c:v>0.0102</c:v>
                </c:pt>
                <c:pt idx="10">
                  <c:v>0.0101</c:v>
                </c:pt>
                <c:pt idx="11">
                  <c:v>0.0102</c:v>
                </c:pt>
                <c:pt idx="12">
                  <c:v>0.0103</c:v>
                </c:pt>
                <c:pt idx="13">
                  <c:v>0.0103</c:v>
                </c:pt>
                <c:pt idx="14">
                  <c:v>0.0103</c:v>
                </c:pt>
                <c:pt idx="15">
                  <c:v>0.0105</c:v>
                </c:pt>
                <c:pt idx="16">
                  <c:v>0.0107</c:v>
                </c:pt>
                <c:pt idx="17">
                  <c:v>0.0102</c:v>
                </c:pt>
                <c:pt idx="18">
                  <c:v>0.0099</c:v>
                </c:pt>
                <c:pt idx="19">
                  <c:v>0.0103</c:v>
                </c:pt>
                <c:pt idx="20">
                  <c:v>0.0104</c:v>
                </c:pt>
                <c:pt idx="21">
                  <c:v>0.0098</c:v>
                </c:pt>
                <c:pt idx="22">
                  <c:v>0.0101</c:v>
                </c:pt>
                <c:pt idx="23">
                  <c:v>0.0105</c:v>
                </c:pt>
                <c:pt idx="24">
                  <c:v>0.0106</c:v>
                </c:pt>
                <c:pt idx="25">
                  <c:v>0.0109</c:v>
                </c:pt>
                <c:pt idx="26">
                  <c:v>0.0106</c:v>
                </c:pt>
                <c:pt idx="27">
                  <c:v>0.0103</c:v>
                </c:pt>
                <c:pt idx="28">
                  <c:v>0.0107</c:v>
                </c:pt>
                <c:pt idx="29">
                  <c:v>0.0108</c:v>
                </c:pt>
                <c:pt idx="30">
                  <c:v>0.0106</c:v>
                </c:pt>
                <c:pt idx="31">
                  <c:v>0.0101</c:v>
                </c:pt>
                <c:pt idx="32">
                  <c:v>0.0103</c:v>
                </c:pt>
                <c:pt idx="33">
                  <c:v>0.0106</c:v>
                </c:pt>
                <c:pt idx="34">
                  <c:v>0.0101</c:v>
                </c:pt>
                <c:pt idx="35">
                  <c:v>0.01</c:v>
                </c:pt>
                <c:pt idx="36">
                  <c:v>0.0104</c:v>
                </c:pt>
                <c:pt idx="37">
                  <c:v>0.0107</c:v>
                </c:pt>
                <c:pt idx="38">
                  <c:v>0.0107</c:v>
                </c:pt>
                <c:pt idx="39">
                  <c:v>0.0106</c:v>
                </c:pt>
                <c:pt idx="40">
                  <c:v>0.0107</c:v>
                </c:pt>
                <c:pt idx="41">
                  <c:v>0.0111</c:v>
                </c:pt>
                <c:pt idx="42">
                  <c:v>0.0109</c:v>
                </c:pt>
                <c:pt idx="43">
                  <c:v>0.0103</c:v>
                </c:pt>
                <c:pt idx="44">
                  <c:v>0.0105</c:v>
                </c:pt>
                <c:pt idx="45">
                  <c:v>0.0109</c:v>
                </c:pt>
                <c:pt idx="46">
                  <c:v>0.0109</c:v>
                </c:pt>
                <c:pt idx="47">
                  <c:v>0.0105</c:v>
                </c:pt>
                <c:pt idx="48">
                  <c:v>0.0103</c:v>
                </c:pt>
                <c:pt idx="49">
                  <c:v>0.0107</c:v>
                </c:pt>
                <c:pt idx="50">
                  <c:v>0.011</c:v>
                </c:pt>
                <c:pt idx="51">
                  <c:v>0.0107</c:v>
                </c:pt>
                <c:pt idx="52">
                  <c:v>0.0104</c:v>
                </c:pt>
                <c:pt idx="53">
                  <c:v>0.0111</c:v>
                </c:pt>
                <c:pt idx="54">
                  <c:v>0.0112</c:v>
                </c:pt>
                <c:pt idx="55">
                  <c:v>0.0109</c:v>
                </c:pt>
                <c:pt idx="56">
                  <c:v>0.0111</c:v>
                </c:pt>
                <c:pt idx="57">
                  <c:v>0.0106</c:v>
                </c:pt>
                <c:pt idx="58">
                  <c:v>0.0108</c:v>
                </c:pt>
                <c:pt idx="59">
                  <c:v>0.0112</c:v>
                </c:pt>
                <c:pt idx="60">
                  <c:v>0.011</c:v>
                </c:pt>
                <c:pt idx="61">
                  <c:v>0.0109</c:v>
                </c:pt>
                <c:pt idx="62">
                  <c:v>0.0111</c:v>
                </c:pt>
                <c:pt idx="63">
                  <c:v>0.011</c:v>
                </c:pt>
                <c:pt idx="64">
                  <c:v>0.0107</c:v>
                </c:pt>
                <c:pt idx="65">
                  <c:v>0.0106</c:v>
                </c:pt>
                <c:pt idx="66">
                  <c:v>0.0108</c:v>
                </c:pt>
                <c:pt idx="67">
                  <c:v>0.0113</c:v>
                </c:pt>
                <c:pt idx="68">
                  <c:v>0.0112</c:v>
                </c:pt>
                <c:pt idx="69">
                  <c:v>0.0107</c:v>
                </c:pt>
                <c:pt idx="70">
                  <c:v>0.011</c:v>
                </c:pt>
                <c:pt idx="71">
                  <c:v>0.0114</c:v>
                </c:pt>
                <c:pt idx="72">
                  <c:v>0.0114</c:v>
                </c:pt>
                <c:pt idx="73">
                  <c:v>0.0109</c:v>
                </c:pt>
                <c:pt idx="74">
                  <c:v>0.0109</c:v>
                </c:pt>
                <c:pt idx="75">
                  <c:v>0.0116</c:v>
                </c:pt>
                <c:pt idx="76">
                  <c:v>0.012</c:v>
                </c:pt>
                <c:pt idx="77">
                  <c:v>0.0118</c:v>
                </c:pt>
                <c:pt idx="78">
                  <c:v>0.0116</c:v>
                </c:pt>
                <c:pt idx="79">
                  <c:v>0.0117</c:v>
                </c:pt>
                <c:pt idx="80">
                  <c:v>0.0117</c:v>
                </c:pt>
                <c:pt idx="81">
                  <c:v>0.0114</c:v>
                </c:pt>
                <c:pt idx="82">
                  <c:v>0.0113</c:v>
                </c:pt>
                <c:pt idx="83">
                  <c:v>0.0119</c:v>
                </c:pt>
                <c:pt idx="84">
                  <c:v>0.0123</c:v>
                </c:pt>
                <c:pt idx="85">
                  <c:v>0.0117</c:v>
                </c:pt>
                <c:pt idx="86">
                  <c:v>0.0115</c:v>
                </c:pt>
                <c:pt idx="87">
                  <c:v>0.0118</c:v>
                </c:pt>
                <c:pt idx="88">
                  <c:v>0.0117</c:v>
                </c:pt>
                <c:pt idx="89">
                  <c:v>0.0117</c:v>
                </c:pt>
                <c:pt idx="90">
                  <c:v>0.0117</c:v>
                </c:pt>
                <c:pt idx="91">
                  <c:v>0.0116</c:v>
                </c:pt>
                <c:pt idx="92">
                  <c:v>0.0122</c:v>
                </c:pt>
                <c:pt idx="93">
                  <c:v>0.0121</c:v>
                </c:pt>
                <c:pt idx="94">
                  <c:v>0.0118</c:v>
                </c:pt>
                <c:pt idx="95">
                  <c:v>0.0121</c:v>
                </c:pt>
                <c:pt idx="96">
                  <c:v>0.0121</c:v>
                </c:pt>
                <c:pt idx="97">
                  <c:v>0.0121</c:v>
                </c:pt>
                <c:pt idx="98">
                  <c:v>0.0119</c:v>
                </c:pt>
                <c:pt idx="99">
                  <c:v>0.0121</c:v>
                </c:pt>
                <c:pt idx="100">
                  <c:v>0.012</c:v>
                </c:pt>
                <c:pt idx="101">
                  <c:v>0.0117</c:v>
                </c:pt>
                <c:pt idx="102">
                  <c:v>0.012</c:v>
                </c:pt>
                <c:pt idx="103">
                  <c:v>0.0119</c:v>
                </c:pt>
                <c:pt idx="104">
                  <c:v>0.012</c:v>
                </c:pt>
                <c:pt idx="105">
                  <c:v>0.012</c:v>
                </c:pt>
                <c:pt idx="106">
                  <c:v>0.0123</c:v>
                </c:pt>
                <c:pt idx="107">
                  <c:v>0.0125</c:v>
                </c:pt>
                <c:pt idx="108">
                  <c:v>0.0123</c:v>
                </c:pt>
                <c:pt idx="109">
                  <c:v>0.0126</c:v>
                </c:pt>
                <c:pt idx="110">
                  <c:v>0.0131</c:v>
                </c:pt>
                <c:pt idx="111">
                  <c:v>0.0129</c:v>
                </c:pt>
                <c:pt idx="112">
                  <c:v>0.0124</c:v>
                </c:pt>
                <c:pt idx="113">
                  <c:v>0.0123</c:v>
                </c:pt>
                <c:pt idx="114">
                  <c:v>0.0125</c:v>
                </c:pt>
                <c:pt idx="115">
                  <c:v>0.0124</c:v>
                </c:pt>
                <c:pt idx="116">
                  <c:v>0.0122</c:v>
                </c:pt>
                <c:pt idx="117">
                  <c:v>0.0121</c:v>
                </c:pt>
                <c:pt idx="118">
                  <c:v>0.0124</c:v>
                </c:pt>
                <c:pt idx="119">
                  <c:v>0.0126</c:v>
                </c:pt>
                <c:pt idx="120">
                  <c:v>0.0127</c:v>
                </c:pt>
                <c:pt idx="121">
                  <c:v>0.0128</c:v>
                </c:pt>
                <c:pt idx="122">
                  <c:v>0.013</c:v>
                </c:pt>
                <c:pt idx="123">
                  <c:v>0.0131</c:v>
                </c:pt>
                <c:pt idx="124">
                  <c:v>0.0131</c:v>
                </c:pt>
                <c:pt idx="125">
                  <c:v>0.0128</c:v>
                </c:pt>
                <c:pt idx="126">
                  <c:v>0.0125</c:v>
                </c:pt>
                <c:pt idx="127">
                  <c:v>0.0131</c:v>
                </c:pt>
                <c:pt idx="128">
                  <c:v>0.0136</c:v>
                </c:pt>
                <c:pt idx="129">
                  <c:v>0.0129</c:v>
                </c:pt>
                <c:pt idx="130">
                  <c:v>0.0127</c:v>
                </c:pt>
                <c:pt idx="131">
                  <c:v>0.0134</c:v>
                </c:pt>
                <c:pt idx="132">
                  <c:v>0.0136</c:v>
                </c:pt>
                <c:pt idx="133">
                  <c:v>0.013</c:v>
                </c:pt>
                <c:pt idx="134">
                  <c:v>0.0127</c:v>
                </c:pt>
                <c:pt idx="135">
                  <c:v>0.0135</c:v>
                </c:pt>
                <c:pt idx="136">
                  <c:v>0.0139</c:v>
                </c:pt>
                <c:pt idx="137">
                  <c:v>0.0134</c:v>
                </c:pt>
                <c:pt idx="138">
                  <c:v>0.0129</c:v>
                </c:pt>
                <c:pt idx="139">
                  <c:v>0.0131</c:v>
                </c:pt>
                <c:pt idx="140">
                  <c:v>0.0134</c:v>
                </c:pt>
                <c:pt idx="141">
                  <c:v>0.0138</c:v>
                </c:pt>
                <c:pt idx="142">
                  <c:v>0.014</c:v>
                </c:pt>
                <c:pt idx="143">
                  <c:v>0.0134</c:v>
                </c:pt>
                <c:pt idx="144">
                  <c:v>0.0126</c:v>
                </c:pt>
                <c:pt idx="145">
                  <c:v>0.0132</c:v>
                </c:pt>
                <c:pt idx="146">
                  <c:v>0.014</c:v>
                </c:pt>
                <c:pt idx="147">
                  <c:v>0.0138</c:v>
                </c:pt>
                <c:pt idx="148">
                  <c:v>0.0136</c:v>
                </c:pt>
                <c:pt idx="149">
                  <c:v>0.014</c:v>
                </c:pt>
                <c:pt idx="150">
                  <c:v>0.0141</c:v>
                </c:pt>
                <c:pt idx="151">
                  <c:v>0.0137</c:v>
                </c:pt>
                <c:pt idx="152">
                  <c:v>0.0137</c:v>
                </c:pt>
                <c:pt idx="153">
                  <c:v>0.0145</c:v>
                </c:pt>
                <c:pt idx="154">
                  <c:v>0.0147</c:v>
                </c:pt>
                <c:pt idx="155">
                  <c:v>0.0137</c:v>
                </c:pt>
                <c:pt idx="156">
                  <c:v>0.0135</c:v>
                </c:pt>
                <c:pt idx="157">
                  <c:v>0.0141</c:v>
                </c:pt>
                <c:pt idx="158">
                  <c:v>0.0145</c:v>
                </c:pt>
                <c:pt idx="159">
                  <c:v>0.0141</c:v>
                </c:pt>
                <c:pt idx="160">
                  <c:v>0.0137</c:v>
                </c:pt>
                <c:pt idx="161">
                  <c:v>0.0142</c:v>
                </c:pt>
                <c:pt idx="162">
                  <c:v>0.0145</c:v>
                </c:pt>
                <c:pt idx="163">
                  <c:v>0.0144</c:v>
                </c:pt>
                <c:pt idx="164">
                  <c:v>0.0142</c:v>
                </c:pt>
                <c:pt idx="165">
                  <c:v>0.0143</c:v>
                </c:pt>
                <c:pt idx="166">
                  <c:v>0.0147</c:v>
                </c:pt>
                <c:pt idx="167">
                  <c:v>0.0146</c:v>
                </c:pt>
                <c:pt idx="168">
                  <c:v>0.014</c:v>
                </c:pt>
                <c:pt idx="169">
                  <c:v>0.0141</c:v>
                </c:pt>
                <c:pt idx="170">
                  <c:v>0.0144</c:v>
                </c:pt>
                <c:pt idx="171">
                  <c:v>0.0146</c:v>
                </c:pt>
                <c:pt idx="172">
                  <c:v>0.0146</c:v>
                </c:pt>
                <c:pt idx="173">
                  <c:v>0.0145</c:v>
                </c:pt>
                <c:pt idx="174">
                  <c:v>0.0146</c:v>
                </c:pt>
                <c:pt idx="175">
                  <c:v>0.0148</c:v>
                </c:pt>
                <c:pt idx="176">
                  <c:v>0.0145</c:v>
                </c:pt>
                <c:pt idx="177">
                  <c:v>0.0144</c:v>
                </c:pt>
                <c:pt idx="178">
                  <c:v>0.015</c:v>
                </c:pt>
                <c:pt idx="179">
                  <c:v>0.0154</c:v>
                </c:pt>
                <c:pt idx="180">
                  <c:v>0.0149</c:v>
                </c:pt>
                <c:pt idx="181">
                  <c:v>0.015</c:v>
                </c:pt>
                <c:pt idx="182">
                  <c:v>0.0154</c:v>
                </c:pt>
                <c:pt idx="183">
                  <c:v>0.0155</c:v>
                </c:pt>
                <c:pt idx="184">
                  <c:v>0.0159</c:v>
                </c:pt>
                <c:pt idx="185">
                  <c:v>0.016</c:v>
                </c:pt>
                <c:pt idx="186">
                  <c:v>0.0153</c:v>
                </c:pt>
                <c:pt idx="187">
                  <c:v>0.0152</c:v>
                </c:pt>
                <c:pt idx="188">
                  <c:v>0.0155</c:v>
                </c:pt>
                <c:pt idx="189">
                  <c:v>0.0153</c:v>
                </c:pt>
                <c:pt idx="190">
                  <c:v>0.0151</c:v>
                </c:pt>
                <c:pt idx="191">
                  <c:v>0.0154</c:v>
                </c:pt>
                <c:pt idx="192">
                  <c:v>0.0153</c:v>
                </c:pt>
                <c:pt idx="193">
                  <c:v>0.0151</c:v>
                </c:pt>
                <c:pt idx="194">
                  <c:v>0.0157</c:v>
                </c:pt>
                <c:pt idx="195">
                  <c:v>0.0161</c:v>
                </c:pt>
                <c:pt idx="196">
                  <c:v>0.0156</c:v>
                </c:pt>
                <c:pt idx="197">
                  <c:v>0.0153</c:v>
                </c:pt>
                <c:pt idx="198">
                  <c:v>0.0155</c:v>
                </c:pt>
                <c:pt idx="199">
                  <c:v>0.0156</c:v>
                </c:pt>
                <c:pt idx="200">
                  <c:v>0.0153</c:v>
                </c:pt>
                <c:pt idx="201">
                  <c:v>0.0151</c:v>
                </c:pt>
                <c:pt idx="202">
                  <c:v>0.0156</c:v>
                </c:pt>
                <c:pt idx="203">
                  <c:v>0.0159</c:v>
                </c:pt>
                <c:pt idx="204">
                  <c:v>0.0158</c:v>
                </c:pt>
                <c:pt idx="205">
                  <c:v>0.0155</c:v>
                </c:pt>
                <c:pt idx="206">
                  <c:v>0.0158</c:v>
                </c:pt>
                <c:pt idx="207">
                  <c:v>0.0169</c:v>
                </c:pt>
                <c:pt idx="208">
                  <c:v>0.0165</c:v>
                </c:pt>
                <c:pt idx="209">
                  <c:v>0.0157</c:v>
                </c:pt>
                <c:pt idx="210">
                  <c:v>0.016</c:v>
                </c:pt>
                <c:pt idx="211">
                  <c:v>0.0172</c:v>
                </c:pt>
                <c:pt idx="212">
                  <c:v>0.0173</c:v>
                </c:pt>
                <c:pt idx="213">
                  <c:v>0.0155</c:v>
                </c:pt>
                <c:pt idx="214">
                  <c:v>0.0154</c:v>
                </c:pt>
                <c:pt idx="215">
                  <c:v>0.017</c:v>
                </c:pt>
                <c:pt idx="216">
                  <c:v>0.0173</c:v>
                </c:pt>
                <c:pt idx="217">
                  <c:v>0.0162</c:v>
                </c:pt>
                <c:pt idx="218">
                  <c:v>0.0165</c:v>
                </c:pt>
                <c:pt idx="219">
                  <c:v>0.0174</c:v>
                </c:pt>
                <c:pt idx="220">
                  <c:v>0.0172</c:v>
                </c:pt>
                <c:pt idx="221">
                  <c:v>0.0162</c:v>
                </c:pt>
                <c:pt idx="222">
                  <c:v>0.0158</c:v>
                </c:pt>
                <c:pt idx="223">
                  <c:v>0.0168</c:v>
                </c:pt>
                <c:pt idx="224">
                  <c:v>0.0176</c:v>
                </c:pt>
                <c:pt idx="225">
                  <c:v>0.0169</c:v>
                </c:pt>
                <c:pt idx="226">
                  <c:v>0.0161</c:v>
                </c:pt>
                <c:pt idx="227">
                  <c:v>0.0166</c:v>
                </c:pt>
                <c:pt idx="228">
                  <c:v>0.0174</c:v>
                </c:pt>
                <c:pt idx="229">
                  <c:v>0.0177</c:v>
                </c:pt>
                <c:pt idx="230">
                  <c:v>0.0169</c:v>
                </c:pt>
                <c:pt idx="231">
                  <c:v>0.0164</c:v>
                </c:pt>
                <c:pt idx="232">
                  <c:v>0.0177</c:v>
                </c:pt>
                <c:pt idx="233">
                  <c:v>0.0181</c:v>
                </c:pt>
                <c:pt idx="234">
                  <c:v>0.0174</c:v>
                </c:pt>
                <c:pt idx="235">
                  <c:v>0.0173</c:v>
                </c:pt>
                <c:pt idx="236">
                  <c:v>0.0177</c:v>
                </c:pt>
                <c:pt idx="237">
                  <c:v>0.0182</c:v>
                </c:pt>
                <c:pt idx="238">
                  <c:v>0.0177</c:v>
                </c:pt>
                <c:pt idx="239">
                  <c:v>0.0175</c:v>
                </c:pt>
                <c:pt idx="240">
                  <c:v>0.0181</c:v>
                </c:pt>
                <c:pt idx="241">
                  <c:v>0.0183</c:v>
                </c:pt>
                <c:pt idx="242">
                  <c:v>0.0181</c:v>
                </c:pt>
                <c:pt idx="243">
                  <c:v>0.018</c:v>
                </c:pt>
                <c:pt idx="244">
                  <c:v>0.0184</c:v>
                </c:pt>
                <c:pt idx="245">
                  <c:v>0.0187</c:v>
                </c:pt>
                <c:pt idx="246">
                  <c:v>0.0185</c:v>
                </c:pt>
                <c:pt idx="247">
                  <c:v>0.0185</c:v>
                </c:pt>
                <c:pt idx="248">
                  <c:v>0.0182</c:v>
                </c:pt>
                <c:pt idx="249">
                  <c:v>0.0184</c:v>
                </c:pt>
                <c:pt idx="250">
                  <c:v>0.0189</c:v>
                </c:pt>
                <c:pt idx="251">
                  <c:v>0.0188</c:v>
                </c:pt>
                <c:pt idx="252">
                  <c:v>0.0186</c:v>
                </c:pt>
                <c:pt idx="253">
                  <c:v>0.019</c:v>
                </c:pt>
                <c:pt idx="254">
                  <c:v>0.0197</c:v>
                </c:pt>
                <c:pt idx="255">
                  <c:v>0.019</c:v>
                </c:pt>
                <c:pt idx="256">
                  <c:v>0.0186</c:v>
                </c:pt>
                <c:pt idx="257">
                  <c:v>0.0196</c:v>
                </c:pt>
                <c:pt idx="258">
                  <c:v>0.0196</c:v>
                </c:pt>
                <c:pt idx="259">
                  <c:v>0.019</c:v>
                </c:pt>
                <c:pt idx="260">
                  <c:v>0.0191</c:v>
                </c:pt>
                <c:pt idx="261">
                  <c:v>0.0197</c:v>
                </c:pt>
                <c:pt idx="262">
                  <c:v>0.0201</c:v>
                </c:pt>
                <c:pt idx="263">
                  <c:v>0.0199</c:v>
                </c:pt>
                <c:pt idx="264">
                  <c:v>0.0196</c:v>
                </c:pt>
                <c:pt idx="265">
                  <c:v>0.0196</c:v>
                </c:pt>
                <c:pt idx="266">
                  <c:v>0.0201</c:v>
                </c:pt>
                <c:pt idx="267">
                  <c:v>0.0205</c:v>
                </c:pt>
                <c:pt idx="268">
                  <c:v>0.0197</c:v>
                </c:pt>
                <c:pt idx="269">
                  <c:v>0.0194</c:v>
                </c:pt>
                <c:pt idx="270">
                  <c:v>0.0201</c:v>
                </c:pt>
                <c:pt idx="271">
                  <c:v>0.0204</c:v>
                </c:pt>
                <c:pt idx="272">
                  <c:v>0.0199</c:v>
                </c:pt>
                <c:pt idx="273">
                  <c:v>0.0198</c:v>
                </c:pt>
                <c:pt idx="274">
                  <c:v>0.0206</c:v>
                </c:pt>
                <c:pt idx="275">
                  <c:v>0.021</c:v>
                </c:pt>
                <c:pt idx="276">
                  <c:v>0.0207</c:v>
                </c:pt>
                <c:pt idx="277">
                  <c:v>0.0205</c:v>
                </c:pt>
                <c:pt idx="278">
                  <c:v>0.0205</c:v>
                </c:pt>
                <c:pt idx="279">
                  <c:v>0.0208</c:v>
                </c:pt>
                <c:pt idx="280">
                  <c:v>0.0207</c:v>
                </c:pt>
                <c:pt idx="281">
                  <c:v>0.0204</c:v>
                </c:pt>
                <c:pt idx="282">
                  <c:v>0.0211</c:v>
                </c:pt>
                <c:pt idx="283">
                  <c:v>0.0217</c:v>
                </c:pt>
                <c:pt idx="284">
                  <c:v>0.0211</c:v>
                </c:pt>
                <c:pt idx="285">
                  <c:v>0.0209</c:v>
                </c:pt>
                <c:pt idx="286">
                  <c:v>0.0213</c:v>
                </c:pt>
                <c:pt idx="287">
                  <c:v>0.0218</c:v>
                </c:pt>
                <c:pt idx="288">
                  <c:v>0.0221</c:v>
                </c:pt>
                <c:pt idx="289">
                  <c:v>0.0218</c:v>
                </c:pt>
                <c:pt idx="290">
                  <c:v>0.0212</c:v>
                </c:pt>
                <c:pt idx="291">
                  <c:v>0.0216</c:v>
                </c:pt>
                <c:pt idx="292">
                  <c:v>0.0222</c:v>
                </c:pt>
                <c:pt idx="293">
                  <c:v>0.022</c:v>
                </c:pt>
                <c:pt idx="294">
                  <c:v>0.0214</c:v>
                </c:pt>
                <c:pt idx="295">
                  <c:v>0.022</c:v>
                </c:pt>
                <c:pt idx="296">
                  <c:v>0.0225</c:v>
                </c:pt>
                <c:pt idx="297">
                  <c:v>0.0218</c:v>
                </c:pt>
                <c:pt idx="298">
                  <c:v>0.0218</c:v>
                </c:pt>
                <c:pt idx="299">
                  <c:v>0.0227</c:v>
                </c:pt>
                <c:pt idx="300">
                  <c:v>0.0235</c:v>
                </c:pt>
                <c:pt idx="301">
                  <c:v>0.0234</c:v>
                </c:pt>
                <c:pt idx="302">
                  <c:v>0.0229</c:v>
                </c:pt>
                <c:pt idx="303">
                  <c:v>0.0232</c:v>
                </c:pt>
                <c:pt idx="304">
                  <c:v>0.0231</c:v>
                </c:pt>
                <c:pt idx="305">
                  <c:v>0.0231</c:v>
                </c:pt>
                <c:pt idx="306">
                  <c:v>0.0231</c:v>
                </c:pt>
                <c:pt idx="307">
                  <c:v>0.0234</c:v>
                </c:pt>
                <c:pt idx="308">
                  <c:v>0.0237</c:v>
                </c:pt>
                <c:pt idx="309">
                  <c:v>0.0239</c:v>
                </c:pt>
                <c:pt idx="310">
                  <c:v>0.0236</c:v>
                </c:pt>
                <c:pt idx="311">
                  <c:v>0.0233</c:v>
                </c:pt>
                <c:pt idx="312">
                  <c:v>0.0245</c:v>
                </c:pt>
                <c:pt idx="313">
                  <c:v>0.0251</c:v>
                </c:pt>
                <c:pt idx="314">
                  <c:v>0.0247</c:v>
                </c:pt>
                <c:pt idx="315">
                  <c:v>0.0244</c:v>
                </c:pt>
                <c:pt idx="316">
                  <c:v>0.0245</c:v>
                </c:pt>
                <c:pt idx="317">
                  <c:v>0.0251</c:v>
                </c:pt>
                <c:pt idx="318">
                  <c:v>0.0258</c:v>
                </c:pt>
                <c:pt idx="319">
                  <c:v>0.0254</c:v>
                </c:pt>
                <c:pt idx="320">
                  <c:v>0.0253</c:v>
                </c:pt>
                <c:pt idx="321">
                  <c:v>0.0261</c:v>
                </c:pt>
                <c:pt idx="322">
                  <c:v>0.0262</c:v>
                </c:pt>
                <c:pt idx="323">
                  <c:v>0.0258</c:v>
                </c:pt>
                <c:pt idx="324">
                  <c:v>0.0256</c:v>
                </c:pt>
                <c:pt idx="325">
                  <c:v>0.0263</c:v>
                </c:pt>
                <c:pt idx="326">
                  <c:v>0.0265</c:v>
                </c:pt>
                <c:pt idx="327">
                  <c:v>0.0259</c:v>
                </c:pt>
                <c:pt idx="328">
                  <c:v>0.0258</c:v>
                </c:pt>
                <c:pt idx="329">
                  <c:v>0.0261</c:v>
                </c:pt>
                <c:pt idx="330">
                  <c:v>0.027</c:v>
                </c:pt>
                <c:pt idx="331">
                  <c:v>0.0268</c:v>
                </c:pt>
                <c:pt idx="332">
                  <c:v>0.0258</c:v>
                </c:pt>
                <c:pt idx="333">
                  <c:v>0.0266</c:v>
                </c:pt>
                <c:pt idx="334">
                  <c:v>0.0277</c:v>
                </c:pt>
                <c:pt idx="335">
                  <c:v>0.0275</c:v>
                </c:pt>
                <c:pt idx="336">
                  <c:v>0.0272</c:v>
                </c:pt>
                <c:pt idx="337">
                  <c:v>0.0272</c:v>
                </c:pt>
                <c:pt idx="338">
                  <c:v>0.0278</c:v>
                </c:pt>
                <c:pt idx="339">
                  <c:v>0.0286</c:v>
                </c:pt>
                <c:pt idx="340">
                  <c:v>0.0283</c:v>
                </c:pt>
                <c:pt idx="341">
                  <c:v>0.028</c:v>
                </c:pt>
                <c:pt idx="342">
                  <c:v>0.029</c:v>
                </c:pt>
                <c:pt idx="343">
                  <c:v>0.0298</c:v>
                </c:pt>
                <c:pt idx="344">
                  <c:v>0.029</c:v>
                </c:pt>
                <c:pt idx="345">
                  <c:v>0.0287</c:v>
                </c:pt>
                <c:pt idx="346">
                  <c:v>0.0294</c:v>
                </c:pt>
                <c:pt idx="347">
                  <c:v>0.0301</c:v>
                </c:pt>
                <c:pt idx="348">
                  <c:v>0.03</c:v>
                </c:pt>
                <c:pt idx="349">
                  <c:v>0.0295</c:v>
                </c:pt>
                <c:pt idx="350">
                  <c:v>0.0297</c:v>
                </c:pt>
                <c:pt idx="351">
                  <c:v>0.0307</c:v>
                </c:pt>
                <c:pt idx="352">
                  <c:v>0.0308</c:v>
                </c:pt>
                <c:pt idx="353">
                  <c:v>0.0305</c:v>
                </c:pt>
                <c:pt idx="354">
                  <c:v>0.0306</c:v>
                </c:pt>
                <c:pt idx="355">
                  <c:v>0.0311</c:v>
                </c:pt>
                <c:pt idx="356">
                  <c:v>0.0318</c:v>
                </c:pt>
                <c:pt idx="357">
                  <c:v>0.0317</c:v>
                </c:pt>
                <c:pt idx="358">
                  <c:v>0.0316</c:v>
                </c:pt>
                <c:pt idx="359">
                  <c:v>0.0325</c:v>
                </c:pt>
                <c:pt idx="360">
                  <c:v>0.0329</c:v>
                </c:pt>
                <c:pt idx="361">
                  <c:v>0.032</c:v>
                </c:pt>
                <c:pt idx="362">
                  <c:v>0.0321</c:v>
                </c:pt>
                <c:pt idx="363">
                  <c:v>0.0331</c:v>
                </c:pt>
                <c:pt idx="364">
                  <c:v>0.0333</c:v>
                </c:pt>
                <c:pt idx="365">
                  <c:v>0.0333</c:v>
                </c:pt>
                <c:pt idx="366">
                  <c:v>0.0331</c:v>
                </c:pt>
                <c:pt idx="367">
                  <c:v>0.0337</c:v>
                </c:pt>
                <c:pt idx="368">
                  <c:v>0.0345</c:v>
                </c:pt>
                <c:pt idx="369">
                  <c:v>0.0337</c:v>
                </c:pt>
                <c:pt idx="370">
                  <c:v>0.0332</c:v>
                </c:pt>
                <c:pt idx="371">
                  <c:v>0.0345</c:v>
                </c:pt>
                <c:pt idx="372">
                  <c:v>0.0352</c:v>
                </c:pt>
                <c:pt idx="373">
                  <c:v>0.0343</c:v>
                </c:pt>
                <c:pt idx="374">
                  <c:v>0.0345</c:v>
                </c:pt>
                <c:pt idx="375">
                  <c:v>0.0353</c:v>
                </c:pt>
                <c:pt idx="376">
                  <c:v>0.0354</c:v>
                </c:pt>
                <c:pt idx="377">
                  <c:v>0.0351</c:v>
                </c:pt>
                <c:pt idx="378">
                  <c:v>0.0352</c:v>
                </c:pt>
                <c:pt idx="379">
                  <c:v>0.0361</c:v>
                </c:pt>
                <c:pt idx="380">
                  <c:v>0.0365</c:v>
                </c:pt>
                <c:pt idx="381">
                  <c:v>0.0365</c:v>
                </c:pt>
                <c:pt idx="382">
                  <c:v>0.0364</c:v>
                </c:pt>
                <c:pt idx="383">
                  <c:v>0.0361</c:v>
                </c:pt>
                <c:pt idx="384">
                  <c:v>0.0369</c:v>
                </c:pt>
                <c:pt idx="385">
                  <c:v>0.0378</c:v>
                </c:pt>
                <c:pt idx="386">
                  <c:v>0.0371</c:v>
                </c:pt>
                <c:pt idx="387">
                  <c:v>0.0374</c:v>
                </c:pt>
                <c:pt idx="388">
                  <c:v>0.0383</c:v>
                </c:pt>
                <c:pt idx="389">
                  <c:v>0.0385</c:v>
                </c:pt>
                <c:pt idx="390">
                  <c:v>0.0381</c:v>
                </c:pt>
                <c:pt idx="391">
                  <c:v>0.0382</c:v>
                </c:pt>
                <c:pt idx="392">
                  <c:v>0.039</c:v>
                </c:pt>
                <c:pt idx="393">
                  <c:v>0.0394</c:v>
                </c:pt>
                <c:pt idx="394">
                  <c:v>0.0386</c:v>
                </c:pt>
                <c:pt idx="395">
                  <c:v>0.0384</c:v>
                </c:pt>
                <c:pt idx="396">
                  <c:v>0.0396</c:v>
                </c:pt>
                <c:pt idx="397">
                  <c:v>0.0402</c:v>
                </c:pt>
                <c:pt idx="398">
                  <c:v>0.04</c:v>
                </c:pt>
                <c:pt idx="399">
                  <c:v>0.0396</c:v>
                </c:pt>
                <c:pt idx="400">
                  <c:v>0.0402</c:v>
                </c:pt>
                <c:pt idx="401">
                  <c:v>0.041</c:v>
                </c:pt>
                <c:pt idx="402">
                  <c:v>0.0405</c:v>
                </c:pt>
                <c:pt idx="403">
                  <c:v>0.0404</c:v>
                </c:pt>
                <c:pt idx="404">
                  <c:v>0.0409</c:v>
                </c:pt>
                <c:pt idx="405">
                  <c:v>0.0413</c:v>
                </c:pt>
                <c:pt idx="406">
                  <c:v>0.0416</c:v>
                </c:pt>
                <c:pt idx="407">
                  <c:v>0.0412</c:v>
                </c:pt>
                <c:pt idx="408">
                  <c:v>0.0415</c:v>
                </c:pt>
                <c:pt idx="409">
                  <c:v>0.0427</c:v>
                </c:pt>
                <c:pt idx="410">
                  <c:v>0.0429</c:v>
                </c:pt>
                <c:pt idx="411">
                  <c:v>0.0424</c:v>
                </c:pt>
                <c:pt idx="412">
                  <c:v>0.0426</c:v>
                </c:pt>
                <c:pt idx="413">
                  <c:v>0.0432</c:v>
                </c:pt>
                <c:pt idx="414">
                  <c:v>0.0431</c:v>
                </c:pt>
                <c:pt idx="415">
                  <c:v>0.0429</c:v>
                </c:pt>
                <c:pt idx="416">
                  <c:v>0.0433</c:v>
                </c:pt>
                <c:pt idx="417">
                  <c:v>0.0451</c:v>
                </c:pt>
                <c:pt idx="418">
                  <c:v>0.0463</c:v>
                </c:pt>
                <c:pt idx="419">
                  <c:v>0.0458</c:v>
                </c:pt>
                <c:pt idx="420">
                  <c:v>0.0455</c:v>
                </c:pt>
                <c:pt idx="421">
                  <c:v>0.0468</c:v>
                </c:pt>
                <c:pt idx="422">
                  <c:v>0.0469</c:v>
                </c:pt>
                <c:pt idx="423">
                  <c:v>0.046</c:v>
                </c:pt>
                <c:pt idx="424">
                  <c:v>0.0462</c:v>
                </c:pt>
                <c:pt idx="425">
                  <c:v>0.0463</c:v>
                </c:pt>
                <c:pt idx="426">
                  <c:v>0.0469</c:v>
                </c:pt>
                <c:pt idx="427">
                  <c:v>0.0475</c:v>
                </c:pt>
                <c:pt idx="428">
                  <c:v>0.0474</c:v>
                </c:pt>
                <c:pt idx="429">
                  <c:v>0.0477</c:v>
                </c:pt>
                <c:pt idx="430">
                  <c:v>0.049</c:v>
                </c:pt>
                <c:pt idx="431">
                  <c:v>0.0488</c:v>
                </c:pt>
                <c:pt idx="432">
                  <c:v>0.0481</c:v>
                </c:pt>
                <c:pt idx="433">
                  <c:v>0.049</c:v>
                </c:pt>
                <c:pt idx="434">
                  <c:v>0.0502</c:v>
                </c:pt>
                <c:pt idx="435">
                  <c:v>0.0507</c:v>
                </c:pt>
                <c:pt idx="436">
                  <c:v>0.05</c:v>
                </c:pt>
                <c:pt idx="437">
                  <c:v>0.0508</c:v>
                </c:pt>
                <c:pt idx="438">
                  <c:v>0.0523</c:v>
                </c:pt>
                <c:pt idx="439">
                  <c:v>0.0521</c:v>
                </c:pt>
                <c:pt idx="440">
                  <c:v>0.0519</c:v>
                </c:pt>
                <c:pt idx="441">
                  <c:v>0.0515</c:v>
                </c:pt>
                <c:pt idx="442">
                  <c:v>0.0527</c:v>
                </c:pt>
                <c:pt idx="443">
                  <c:v>0.0537</c:v>
                </c:pt>
                <c:pt idx="444">
                  <c:v>0.0526</c:v>
                </c:pt>
                <c:pt idx="445">
                  <c:v>0.053</c:v>
                </c:pt>
                <c:pt idx="446">
                  <c:v>0.0547</c:v>
                </c:pt>
                <c:pt idx="447">
                  <c:v>0.0551</c:v>
                </c:pt>
                <c:pt idx="448">
                  <c:v>0.0546</c:v>
                </c:pt>
                <c:pt idx="449">
                  <c:v>0.0546</c:v>
                </c:pt>
                <c:pt idx="450">
                  <c:v>0.0555</c:v>
                </c:pt>
                <c:pt idx="451">
                  <c:v>0.0567</c:v>
                </c:pt>
                <c:pt idx="452">
                  <c:v>0.057</c:v>
                </c:pt>
                <c:pt idx="453">
                  <c:v>0.0566</c:v>
                </c:pt>
                <c:pt idx="454">
                  <c:v>0.0577</c:v>
                </c:pt>
                <c:pt idx="455">
                  <c:v>0.0587</c:v>
                </c:pt>
                <c:pt idx="456">
                  <c:v>0.0589</c:v>
                </c:pt>
                <c:pt idx="457">
                  <c:v>0.0598</c:v>
                </c:pt>
                <c:pt idx="458">
                  <c:v>0.0603</c:v>
                </c:pt>
                <c:pt idx="459">
                  <c:v>0.0614</c:v>
                </c:pt>
                <c:pt idx="460">
                  <c:v>0.0614</c:v>
                </c:pt>
                <c:pt idx="461">
                  <c:v>0.0597</c:v>
                </c:pt>
                <c:pt idx="462">
                  <c:v>0.0603</c:v>
                </c:pt>
                <c:pt idx="463">
                  <c:v>0.0629</c:v>
                </c:pt>
                <c:pt idx="464">
                  <c:v>0.0643</c:v>
                </c:pt>
                <c:pt idx="465">
                  <c:v>0.0627</c:v>
                </c:pt>
                <c:pt idx="466">
                  <c:v>0.0621</c:v>
                </c:pt>
                <c:pt idx="467">
                  <c:v>0.0642</c:v>
                </c:pt>
                <c:pt idx="468">
                  <c:v>0.0653</c:v>
                </c:pt>
                <c:pt idx="469">
                  <c:v>0.0646</c:v>
                </c:pt>
                <c:pt idx="470">
                  <c:v>0.0653</c:v>
                </c:pt>
                <c:pt idx="471">
                  <c:v>0.0678</c:v>
                </c:pt>
                <c:pt idx="472">
                  <c:v>0.0689</c:v>
                </c:pt>
                <c:pt idx="473">
                  <c:v>0.0674</c:v>
                </c:pt>
                <c:pt idx="474">
                  <c:v>0.0674</c:v>
                </c:pt>
                <c:pt idx="475">
                  <c:v>0.0704</c:v>
                </c:pt>
                <c:pt idx="476">
                  <c:v>0.0714</c:v>
                </c:pt>
                <c:pt idx="477">
                  <c:v>0.0695</c:v>
                </c:pt>
                <c:pt idx="478">
                  <c:v>0.0695</c:v>
                </c:pt>
                <c:pt idx="479">
                  <c:v>0.072</c:v>
                </c:pt>
                <c:pt idx="480">
                  <c:v>0.0706</c:v>
                </c:pt>
                <c:pt idx="481">
                  <c:v>0.0668</c:v>
                </c:pt>
                <c:pt idx="482">
                  <c:v>0.0678</c:v>
                </c:pt>
                <c:pt idx="483">
                  <c:v>0.0697</c:v>
                </c:pt>
                <c:pt idx="484">
                  <c:v>0.0697</c:v>
                </c:pt>
                <c:pt idx="485">
                  <c:v>0.0713</c:v>
                </c:pt>
                <c:pt idx="486">
                  <c:v>0.0741</c:v>
                </c:pt>
                <c:pt idx="487">
                  <c:v>0.0713</c:v>
                </c:pt>
                <c:pt idx="488">
                  <c:v>0.0682</c:v>
                </c:pt>
                <c:pt idx="489">
                  <c:v>0.07</c:v>
                </c:pt>
                <c:pt idx="490">
                  <c:v>0.0727</c:v>
                </c:pt>
                <c:pt idx="491">
                  <c:v>0.0731</c:v>
                </c:pt>
                <c:pt idx="492">
                  <c:v>0.0722</c:v>
                </c:pt>
                <c:pt idx="493">
                  <c:v>0.0754</c:v>
                </c:pt>
                <c:pt idx="494">
                  <c:v>0.0783</c:v>
                </c:pt>
                <c:pt idx="495">
                  <c:v>0.079</c:v>
                </c:pt>
                <c:pt idx="496">
                  <c:v>0.0792</c:v>
                </c:pt>
                <c:pt idx="497">
                  <c:v>0.0815</c:v>
                </c:pt>
                <c:pt idx="498">
                  <c:v>0.0808</c:v>
                </c:pt>
                <c:pt idx="499">
                  <c:v>0.079</c:v>
                </c:pt>
                <c:pt idx="500">
                  <c:v>0.0819</c:v>
                </c:pt>
                <c:pt idx="501">
                  <c:v>0.0832</c:v>
                </c:pt>
                <c:pt idx="502">
                  <c:v>0.0813</c:v>
                </c:pt>
                <c:pt idx="503">
                  <c:v>0.0802</c:v>
                </c:pt>
                <c:pt idx="504">
                  <c:v>0.0838</c:v>
                </c:pt>
                <c:pt idx="505">
                  <c:v>0.0878</c:v>
                </c:pt>
                <c:pt idx="506">
                  <c:v>0.0883</c:v>
                </c:pt>
                <c:pt idx="507">
                  <c:v>0.0849</c:v>
                </c:pt>
                <c:pt idx="508">
                  <c:v>0.0824</c:v>
                </c:pt>
                <c:pt idx="509">
                  <c:v>0.0853</c:v>
                </c:pt>
                <c:pt idx="510">
                  <c:v>0.0897</c:v>
                </c:pt>
                <c:pt idx="511">
                  <c:v>0.0931</c:v>
                </c:pt>
                <c:pt idx="512">
                  <c:v>0.0943</c:v>
                </c:pt>
                <c:pt idx="513">
                  <c:v>0.0954</c:v>
                </c:pt>
                <c:pt idx="514">
                  <c:v>0.0947</c:v>
                </c:pt>
                <c:pt idx="515">
                  <c:v>0.0947</c:v>
                </c:pt>
                <c:pt idx="516">
                  <c:v>0.0943</c:v>
                </c:pt>
                <c:pt idx="517">
                  <c:v>0.0941</c:v>
                </c:pt>
                <c:pt idx="518">
                  <c:v>0.0962</c:v>
                </c:pt>
                <c:pt idx="519">
                  <c:v>0.0951</c:v>
                </c:pt>
                <c:pt idx="520">
                  <c:v>0.0967</c:v>
                </c:pt>
                <c:pt idx="521">
                  <c:v>0.0992</c:v>
                </c:pt>
                <c:pt idx="522">
                  <c:v>0.0997</c:v>
                </c:pt>
                <c:pt idx="523">
                  <c:v>0.1004</c:v>
                </c:pt>
                <c:pt idx="524">
                  <c:v>0.1014</c:v>
                </c:pt>
                <c:pt idx="525">
                  <c:v>0.104</c:v>
                </c:pt>
                <c:pt idx="526">
                  <c:v>0.1063</c:v>
                </c:pt>
                <c:pt idx="527">
                  <c:v>0.1083</c:v>
                </c:pt>
                <c:pt idx="528">
                  <c:v>0.1093</c:v>
                </c:pt>
                <c:pt idx="529">
                  <c:v>0.1096</c:v>
                </c:pt>
                <c:pt idx="530">
                  <c:v>0.1079</c:v>
                </c:pt>
                <c:pt idx="531">
                  <c:v>0.106</c:v>
                </c:pt>
                <c:pt idx="532">
                  <c:v>0.1096</c:v>
                </c:pt>
                <c:pt idx="533">
                  <c:v>0.1104</c:v>
                </c:pt>
                <c:pt idx="534">
                  <c:v>0.1096</c:v>
                </c:pt>
                <c:pt idx="535">
                  <c:v>0.1135</c:v>
                </c:pt>
                <c:pt idx="536">
                  <c:v>0.1164</c:v>
                </c:pt>
                <c:pt idx="537">
                  <c:v>0.1173</c:v>
                </c:pt>
                <c:pt idx="538">
                  <c:v>0.1167</c:v>
                </c:pt>
                <c:pt idx="539">
                  <c:v>0.1179</c:v>
                </c:pt>
                <c:pt idx="540">
                  <c:v>0.1181</c:v>
                </c:pt>
                <c:pt idx="541">
                  <c:v>0.1191</c:v>
                </c:pt>
                <c:pt idx="542">
                  <c:v>0.1234</c:v>
                </c:pt>
                <c:pt idx="543">
                  <c:v>0.1258</c:v>
                </c:pt>
                <c:pt idx="544">
                  <c:v>0.1269</c:v>
                </c:pt>
                <c:pt idx="545">
                  <c:v>0.1272</c:v>
                </c:pt>
                <c:pt idx="546">
                  <c:v>0.1276</c:v>
                </c:pt>
                <c:pt idx="547">
                  <c:v>0.1296</c:v>
                </c:pt>
                <c:pt idx="548">
                  <c:v>0.1313</c:v>
                </c:pt>
                <c:pt idx="549">
                  <c:v>0.1312</c:v>
                </c:pt>
                <c:pt idx="550">
                  <c:v>0.134</c:v>
                </c:pt>
                <c:pt idx="551">
                  <c:v>0.1345</c:v>
                </c:pt>
                <c:pt idx="552">
                  <c:v>0.1345</c:v>
                </c:pt>
                <c:pt idx="553">
                  <c:v>0.1359</c:v>
                </c:pt>
                <c:pt idx="554">
                  <c:v>0.1362</c:v>
                </c:pt>
                <c:pt idx="555">
                  <c:v>0.1385</c:v>
                </c:pt>
                <c:pt idx="556">
                  <c:v>0.1406</c:v>
                </c:pt>
                <c:pt idx="557">
                  <c:v>0.1423</c:v>
                </c:pt>
                <c:pt idx="558">
                  <c:v>0.1442</c:v>
                </c:pt>
                <c:pt idx="559">
                  <c:v>0.1445</c:v>
                </c:pt>
                <c:pt idx="560">
                  <c:v>0.146</c:v>
                </c:pt>
                <c:pt idx="561">
                  <c:v>0.1498</c:v>
                </c:pt>
                <c:pt idx="562">
                  <c:v>0.1504</c:v>
                </c:pt>
                <c:pt idx="563">
                  <c:v>0.1506</c:v>
                </c:pt>
                <c:pt idx="564">
                  <c:v>0.1536</c:v>
                </c:pt>
                <c:pt idx="565">
                  <c:v>0.1543</c:v>
                </c:pt>
                <c:pt idx="566">
                  <c:v>0.156</c:v>
                </c:pt>
                <c:pt idx="567">
                  <c:v>0.1598</c:v>
                </c:pt>
                <c:pt idx="568">
                  <c:v>0.1602</c:v>
                </c:pt>
                <c:pt idx="569">
                  <c:v>0.1591</c:v>
                </c:pt>
                <c:pt idx="570">
                  <c:v>0.1608</c:v>
                </c:pt>
                <c:pt idx="571">
                  <c:v>0.1659</c:v>
                </c:pt>
                <c:pt idx="572">
                  <c:v>0.1682</c:v>
                </c:pt>
                <c:pt idx="573">
                  <c:v>0.1672</c:v>
                </c:pt>
                <c:pt idx="574">
                  <c:v>0.1686</c:v>
                </c:pt>
                <c:pt idx="575">
                  <c:v>0.1737</c:v>
                </c:pt>
                <c:pt idx="576">
                  <c:v>0.1771</c:v>
                </c:pt>
                <c:pt idx="577">
                  <c:v>0.1785</c:v>
                </c:pt>
                <c:pt idx="578">
                  <c:v>0.1812</c:v>
                </c:pt>
                <c:pt idx="579">
                  <c:v>0.1812</c:v>
                </c:pt>
                <c:pt idx="580">
                  <c:v>0.1808</c:v>
                </c:pt>
                <c:pt idx="581">
                  <c:v>0.1852</c:v>
                </c:pt>
                <c:pt idx="582">
                  <c:v>0.1907</c:v>
                </c:pt>
                <c:pt idx="583">
                  <c:v>0.1886</c:v>
                </c:pt>
                <c:pt idx="584">
                  <c:v>0.1868</c:v>
                </c:pt>
                <c:pt idx="585">
                  <c:v>0.1913</c:v>
                </c:pt>
                <c:pt idx="586">
                  <c:v>0.1978</c:v>
                </c:pt>
                <c:pt idx="587">
                  <c:v>0.2003</c:v>
                </c:pt>
                <c:pt idx="588">
                  <c:v>0.2007</c:v>
                </c:pt>
                <c:pt idx="589">
                  <c:v>0.2032</c:v>
                </c:pt>
                <c:pt idx="590">
                  <c:v>0.2049</c:v>
                </c:pt>
                <c:pt idx="591">
                  <c:v>0.2082</c:v>
                </c:pt>
                <c:pt idx="592">
                  <c:v>0.2113</c:v>
                </c:pt>
                <c:pt idx="593">
                  <c:v>0.2126</c:v>
                </c:pt>
                <c:pt idx="594">
                  <c:v>0.2125</c:v>
                </c:pt>
                <c:pt idx="595">
                  <c:v>0.2149</c:v>
                </c:pt>
                <c:pt idx="596">
                  <c:v>0.2174</c:v>
                </c:pt>
                <c:pt idx="597">
                  <c:v>0.2175</c:v>
                </c:pt>
                <c:pt idx="598">
                  <c:v>0.2209</c:v>
                </c:pt>
                <c:pt idx="599">
                  <c:v>0.2231</c:v>
                </c:pt>
                <c:pt idx="600">
                  <c:v>0.2237</c:v>
                </c:pt>
                <c:pt idx="601">
                  <c:v>0.227</c:v>
                </c:pt>
                <c:pt idx="602">
                  <c:v>0.2316</c:v>
                </c:pt>
                <c:pt idx="603">
                  <c:v>0.2352</c:v>
                </c:pt>
                <c:pt idx="604">
                  <c:v>0.2363</c:v>
                </c:pt>
                <c:pt idx="605">
                  <c:v>0.2394</c:v>
                </c:pt>
                <c:pt idx="606">
                  <c:v>0.2435</c:v>
                </c:pt>
                <c:pt idx="607">
                  <c:v>0.2458</c:v>
                </c:pt>
                <c:pt idx="608">
                  <c:v>0.2491</c:v>
                </c:pt>
                <c:pt idx="609">
                  <c:v>0.2488</c:v>
                </c:pt>
                <c:pt idx="610">
                  <c:v>0.2505</c:v>
                </c:pt>
                <c:pt idx="611">
                  <c:v>0.2543</c:v>
                </c:pt>
                <c:pt idx="612">
                  <c:v>0.2554</c:v>
                </c:pt>
                <c:pt idx="613">
                  <c:v>0.2583</c:v>
                </c:pt>
                <c:pt idx="614">
                  <c:v>0.2636</c:v>
                </c:pt>
                <c:pt idx="615">
                  <c:v>0.2678</c:v>
                </c:pt>
                <c:pt idx="616">
                  <c:v>0.2672</c:v>
                </c:pt>
                <c:pt idx="617">
                  <c:v>0.2687</c:v>
                </c:pt>
                <c:pt idx="618">
                  <c:v>0.2729</c:v>
                </c:pt>
                <c:pt idx="619">
                  <c:v>0.275</c:v>
                </c:pt>
                <c:pt idx="620">
                  <c:v>0.2789</c:v>
                </c:pt>
                <c:pt idx="621">
                  <c:v>0.2837</c:v>
                </c:pt>
                <c:pt idx="622">
                  <c:v>0.2858</c:v>
                </c:pt>
                <c:pt idx="623">
                  <c:v>0.2865</c:v>
                </c:pt>
                <c:pt idx="624">
                  <c:v>0.289</c:v>
                </c:pt>
                <c:pt idx="625">
                  <c:v>0.294</c:v>
                </c:pt>
                <c:pt idx="626">
                  <c:v>0.2956</c:v>
                </c:pt>
                <c:pt idx="627">
                  <c:v>0.298</c:v>
                </c:pt>
                <c:pt idx="628">
                  <c:v>0.3018</c:v>
                </c:pt>
                <c:pt idx="629">
                  <c:v>0.3044</c:v>
                </c:pt>
                <c:pt idx="630">
                  <c:v>0.3091</c:v>
                </c:pt>
                <c:pt idx="631">
                  <c:v>0.3127</c:v>
                </c:pt>
                <c:pt idx="632">
                  <c:v>0.3149</c:v>
                </c:pt>
                <c:pt idx="633">
                  <c:v>0.3183</c:v>
                </c:pt>
                <c:pt idx="634">
                  <c:v>0.3218</c:v>
                </c:pt>
                <c:pt idx="635">
                  <c:v>0.3226</c:v>
                </c:pt>
                <c:pt idx="636">
                  <c:v>0.3235</c:v>
                </c:pt>
                <c:pt idx="637">
                  <c:v>0.3278</c:v>
                </c:pt>
                <c:pt idx="638">
                  <c:v>0.3332</c:v>
                </c:pt>
                <c:pt idx="639">
                  <c:v>0.3366</c:v>
                </c:pt>
                <c:pt idx="640">
                  <c:v>0.3412</c:v>
                </c:pt>
                <c:pt idx="641">
                  <c:v>0.3459</c:v>
                </c:pt>
                <c:pt idx="642">
                  <c:v>0.3479</c:v>
                </c:pt>
                <c:pt idx="643">
                  <c:v>0.3514</c:v>
                </c:pt>
                <c:pt idx="644">
                  <c:v>0.3568</c:v>
                </c:pt>
                <c:pt idx="645">
                  <c:v>0.3597</c:v>
                </c:pt>
                <c:pt idx="646">
                  <c:v>0.3624</c:v>
                </c:pt>
                <c:pt idx="647">
                  <c:v>0.3674</c:v>
                </c:pt>
                <c:pt idx="648">
                  <c:v>0.3703</c:v>
                </c:pt>
                <c:pt idx="649">
                  <c:v>0.3731</c:v>
                </c:pt>
                <c:pt idx="650">
                  <c:v>0.3765</c:v>
                </c:pt>
                <c:pt idx="651">
                  <c:v>0.3802</c:v>
                </c:pt>
                <c:pt idx="652">
                  <c:v>0.3843</c:v>
                </c:pt>
                <c:pt idx="653">
                  <c:v>0.3888</c:v>
                </c:pt>
                <c:pt idx="654">
                  <c:v>0.3957</c:v>
                </c:pt>
                <c:pt idx="655">
                  <c:v>0.3994</c:v>
                </c:pt>
                <c:pt idx="656">
                  <c:v>0.4022</c:v>
                </c:pt>
                <c:pt idx="657">
                  <c:v>0.4047</c:v>
                </c:pt>
                <c:pt idx="658">
                  <c:v>0.4067</c:v>
                </c:pt>
                <c:pt idx="659">
                  <c:v>0.4119</c:v>
                </c:pt>
                <c:pt idx="660">
                  <c:v>0.4174</c:v>
                </c:pt>
                <c:pt idx="661">
                  <c:v>0.4202</c:v>
                </c:pt>
                <c:pt idx="662">
                  <c:v>0.4255</c:v>
                </c:pt>
                <c:pt idx="663">
                  <c:v>0.4316</c:v>
                </c:pt>
                <c:pt idx="664">
                  <c:v>0.4337</c:v>
                </c:pt>
                <c:pt idx="665">
                  <c:v>0.4351</c:v>
                </c:pt>
                <c:pt idx="666">
                  <c:v>0.4406</c:v>
                </c:pt>
                <c:pt idx="667">
                  <c:v>0.4466</c:v>
                </c:pt>
                <c:pt idx="668">
                  <c:v>0.4501</c:v>
                </c:pt>
                <c:pt idx="669">
                  <c:v>0.4557</c:v>
                </c:pt>
                <c:pt idx="670">
                  <c:v>0.4611</c:v>
                </c:pt>
                <c:pt idx="671">
                  <c:v>0.4654</c:v>
                </c:pt>
                <c:pt idx="672">
                  <c:v>0.4702</c:v>
                </c:pt>
                <c:pt idx="673">
                  <c:v>0.4746</c:v>
                </c:pt>
                <c:pt idx="674">
                  <c:v>0.4781</c:v>
                </c:pt>
                <c:pt idx="675">
                  <c:v>0.4822</c:v>
                </c:pt>
                <c:pt idx="676">
                  <c:v>0.4868</c:v>
                </c:pt>
                <c:pt idx="677">
                  <c:v>0.4913</c:v>
                </c:pt>
                <c:pt idx="678">
                  <c:v>0.4969</c:v>
                </c:pt>
                <c:pt idx="679">
                  <c:v>0.5017</c:v>
                </c:pt>
                <c:pt idx="680">
                  <c:v>0.5022</c:v>
                </c:pt>
                <c:pt idx="681">
                  <c:v>0.5039</c:v>
                </c:pt>
                <c:pt idx="682">
                  <c:v>0.5094</c:v>
                </c:pt>
                <c:pt idx="683">
                  <c:v>0.5171</c:v>
                </c:pt>
                <c:pt idx="684">
                  <c:v>0.5232</c:v>
                </c:pt>
                <c:pt idx="685">
                  <c:v>0.5276</c:v>
                </c:pt>
                <c:pt idx="686">
                  <c:v>0.5327</c:v>
                </c:pt>
                <c:pt idx="687">
                  <c:v>0.5356</c:v>
                </c:pt>
                <c:pt idx="688">
                  <c:v>0.5394</c:v>
                </c:pt>
                <c:pt idx="689">
                  <c:v>0.546</c:v>
                </c:pt>
                <c:pt idx="690">
                  <c:v>0.5522</c:v>
                </c:pt>
                <c:pt idx="691">
                  <c:v>0.5592</c:v>
                </c:pt>
                <c:pt idx="692">
                  <c:v>0.5636</c:v>
                </c:pt>
                <c:pt idx="693">
                  <c:v>0.5655</c:v>
                </c:pt>
                <c:pt idx="694">
                  <c:v>0.5725</c:v>
                </c:pt>
                <c:pt idx="695">
                  <c:v>0.5794</c:v>
                </c:pt>
                <c:pt idx="696">
                  <c:v>0.5828</c:v>
                </c:pt>
                <c:pt idx="697">
                  <c:v>0.5882</c:v>
                </c:pt>
                <c:pt idx="698">
                  <c:v>0.5937</c:v>
                </c:pt>
                <c:pt idx="699">
                  <c:v>0.5989</c:v>
                </c:pt>
                <c:pt idx="700">
                  <c:v>0.6055</c:v>
                </c:pt>
                <c:pt idx="701">
                  <c:v>0.6089</c:v>
                </c:pt>
                <c:pt idx="702">
                  <c:v>0.6119</c:v>
                </c:pt>
                <c:pt idx="703">
                  <c:v>0.6175</c:v>
                </c:pt>
                <c:pt idx="704">
                  <c:v>0.6252</c:v>
                </c:pt>
                <c:pt idx="705">
                  <c:v>0.6322</c:v>
                </c:pt>
                <c:pt idx="706">
                  <c:v>0.6391</c:v>
                </c:pt>
                <c:pt idx="707">
                  <c:v>0.6457</c:v>
                </c:pt>
                <c:pt idx="708">
                  <c:v>0.6511</c:v>
                </c:pt>
                <c:pt idx="709">
                  <c:v>0.6609</c:v>
                </c:pt>
                <c:pt idx="710">
                  <c:v>0.6674</c:v>
                </c:pt>
                <c:pt idx="711">
                  <c:v>0.671</c:v>
                </c:pt>
                <c:pt idx="712">
                  <c:v>0.6796</c:v>
                </c:pt>
                <c:pt idx="713">
                  <c:v>0.6855</c:v>
                </c:pt>
                <c:pt idx="714">
                  <c:v>0.6901</c:v>
                </c:pt>
                <c:pt idx="715">
                  <c:v>0.6983</c:v>
                </c:pt>
                <c:pt idx="716">
                  <c:v>0.7051</c:v>
                </c:pt>
                <c:pt idx="717">
                  <c:v>0.7113</c:v>
                </c:pt>
                <c:pt idx="718">
                  <c:v>0.7186</c:v>
                </c:pt>
                <c:pt idx="719">
                  <c:v>0.7276</c:v>
                </c:pt>
                <c:pt idx="720">
                  <c:v>0.7344</c:v>
                </c:pt>
                <c:pt idx="721">
                  <c:v>0.7419</c:v>
                </c:pt>
                <c:pt idx="722">
                  <c:v>0.7523</c:v>
                </c:pt>
                <c:pt idx="723">
                  <c:v>0.7603</c:v>
                </c:pt>
                <c:pt idx="724">
                  <c:v>0.7655</c:v>
                </c:pt>
                <c:pt idx="725">
                  <c:v>0.7751</c:v>
                </c:pt>
                <c:pt idx="726">
                  <c:v>0.7843</c:v>
                </c:pt>
                <c:pt idx="727">
                  <c:v>0.7904</c:v>
                </c:pt>
                <c:pt idx="728">
                  <c:v>0.8011</c:v>
                </c:pt>
                <c:pt idx="729">
                  <c:v>0.8131</c:v>
                </c:pt>
                <c:pt idx="730">
                  <c:v>0.8218</c:v>
                </c:pt>
                <c:pt idx="731">
                  <c:v>0.8278</c:v>
                </c:pt>
                <c:pt idx="732">
                  <c:v>0.8386</c:v>
                </c:pt>
                <c:pt idx="733">
                  <c:v>0.8502</c:v>
                </c:pt>
                <c:pt idx="734">
                  <c:v>0.8591</c:v>
                </c:pt>
                <c:pt idx="735">
                  <c:v>0.869</c:v>
                </c:pt>
                <c:pt idx="736">
                  <c:v>0.878</c:v>
                </c:pt>
                <c:pt idx="737">
                  <c:v>0.8863</c:v>
                </c:pt>
                <c:pt idx="738">
                  <c:v>0.896</c:v>
                </c:pt>
                <c:pt idx="739">
                  <c:v>0.9044</c:v>
                </c:pt>
                <c:pt idx="740">
                  <c:v>0.912</c:v>
                </c:pt>
                <c:pt idx="741">
                  <c:v>0.9214</c:v>
                </c:pt>
                <c:pt idx="742">
                  <c:v>0.9296</c:v>
                </c:pt>
                <c:pt idx="743">
                  <c:v>0.9348</c:v>
                </c:pt>
                <c:pt idx="744">
                  <c:v>0.9469</c:v>
                </c:pt>
                <c:pt idx="745">
                  <c:v>0.959</c:v>
                </c:pt>
                <c:pt idx="746">
                  <c:v>0.9621</c:v>
                </c:pt>
                <c:pt idx="747">
                  <c:v>0.9668</c:v>
                </c:pt>
                <c:pt idx="748">
                  <c:v>0.9765</c:v>
                </c:pt>
                <c:pt idx="749">
                  <c:v>0.9846</c:v>
                </c:pt>
                <c:pt idx="750">
                  <c:v>0.991</c:v>
                </c:pt>
                <c:pt idx="751">
                  <c:v>0.9958</c:v>
                </c:pt>
                <c:pt idx="752">
                  <c:v>0.9992</c:v>
                </c:pt>
                <c:pt idx="753">
                  <c:v>1.0079</c:v>
                </c:pt>
                <c:pt idx="754">
                  <c:v>1.0176</c:v>
                </c:pt>
                <c:pt idx="755">
                  <c:v>1.0227</c:v>
                </c:pt>
                <c:pt idx="756">
                  <c:v>1.0254</c:v>
                </c:pt>
                <c:pt idx="757">
                  <c:v>1.0296</c:v>
                </c:pt>
                <c:pt idx="758">
                  <c:v>1.0284</c:v>
                </c:pt>
                <c:pt idx="759">
                  <c:v>1.0321</c:v>
                </c:pt>
                <c:pt idx="760">
                  <c:v>1.0388</c:v>
                </c:pt>
                <c:pt idx="761">
                  <c:v>1.0323</c:v>
                </c:pt>
                <c:pt idx="762">
                  <c:v>1.0348</c:v>
                </c:pt>
                <c:pt idx="763">
                  <c:v>1.0468</c:v>
                </c:pt>
                <c:pt idx="764">
                  <c:v>1.0461</c:v>
                </c:pt>
                <c:pt idx="765">
                  <c:v>1.0526</c:v>
                </c:pt>
                <c:pt idx="766">
                  <c:v>1.06</c:v>
                </c:pt>
                <c:pt idx="767">
                  <c:v>1.0572</c:v>
                </c:pt>
                <c:pt idx="768">
                  <c:v>1.056</c:v>
                </c:pt>
                <c:pt idx="769">
                  <c:v>1.0679</c:v>
                </c:pt>
                <c:pt idx="770">
                  <c:v>1.061</c:v>
                </c:pt>
                <c:pt idx="771">
                  <c:v>1.0455</c:v>
                </c:pt>
                <c:pt idx="772">
                  <c:v>1.0374</c:v>
                </c:pt>
                <c:pt idx="773">
                  <c:v>1.0195</c:v>
                </c:pt>
                <c:pt idx="774">
                  <c:v>1.0156</c:v>
                </c:pt>
                <c:pt idx="775">
                  <c:v>1.027</c:v>
                </c:pt>
                <c:pt idx="776">
                  <c:v>1.0215</c:v>
                </c:pt>
                <c:pt idx="777">
                  <c:v>0.9794</c:v>
                </c:pt>
                <c:pt idx="778">
                  <c:v>0.9349</c:v>
                </c:pt>
                <c:pt idx="779">
                  <c:v>0.9635</c:v>
                </c:pt>
                <c:pt idx="780">
                  <c:v>0.8468</c:v>
                </c:pt>
                <c:pt idx="781">
                  <c:v>0.8072</c:v>
                </c:pt>
                <c:pt idx="782">
                  <c:v>0.8918</c:v>
                </c:pt>
                <c:pt idx="783">
                  <c:v>0.7898</c:v>
                </c:pt>
                <c:pt idx="784">
                  <c:v>0.718</c:v>
                </c:pt>
                <c:pt idx="785">
                  <c:v>0.851</c:v>
                </c:pt>
                <c:pt idx="786">
                  <c:v>0.7335</c:v>
                </c:pt>
                <c:pt idx="787">
                  <c:v>0.5592</c:v>
                </c:pt>
                <c:pt idx="788">
                  <c:v>0.5592</c:v>
                </c:pt>
                <c:pt idx="789">
                  <c:v>0.474</c:v>
                </c:pt>
                <c:pt idx="790">
                  <c:v>0.5592</c:v>
                </c:pt>
                <c:pt idx="791">
                  <c:v>0.5697</c:v>
                </c:pt>
                <c:pt idx="792">
                  <c:v>0.4949</c:v>
                </c:pt>
                <c:pt idx="793">
                  <c:v>0.5003</c:v>
                </c:pt>
                <c:pt idx="794">
                  <c:v>0.4441</c:v>
                </c:pt>
                <c:pt idx="795">
                  <c:v>0.5372</c:v>
                </c:pt>
                <c:pt idx="796">
                  <c:v>0.61</c:v>
                </c:pt>
                <c:pt idx="797">
                  <c:v>0.6185</c:v>
                </c:pt>
                <c:pt idx="798">
                  <c:v>0.5674</c:v>
                </c:pt>
                <c:pt idx="799">
                  <c:v>0.4887</c:v>
                </c:pt>
                <c:pt idx="800">
                  <c:v>0.6486</c:v>
                </c:pt>
              </c:numCache>
            </c:numRef>
          </c:yVal>
          <c:smooth val="1"/>
        </c:ser>
        <c:ser>
          <c:idx val="1"/>
          <c:order val="1"/>
          <c:tx>
            <c:v>12 Hr Irradiated</c:v>
          </c:tx>
          <c:spPr>
            <a:ln w="19050" cmpd="sng"/>
          </c:spPr>
          <c:marker>
            <c:symbol val="none"/>
          </c:marker>
          <c:xVal>
            <c:numRef>
              <c:f>'Macintosh HD:Users:Brian:Desktop:GoMRI:Sand Patty Scans:[Composite.xlsx]12hdark1.asc'!$A$2:$A$802</c:f>
              <c:numCache>
                <c:formatCode>General</c:formatCode>
                <c:ptCount val="801"/>
                <c:pt idx="0">
                  <c:v>600.0</c:v>
                </c:pt>
                <c:pt idx="1">
                  <c:v>599.5</c:v>
                </c:pt>
                <c:pt idx="2">
                  <c:v>599.0</c:v>
                </c:pt>
                <c:pt idx="3">
                  <c:v>598.5</c:v>
                </c:pt>
                <c:pt idx="4">
                  <c:v>598.0</c:v>
                </c:pt>
                <c:pt idx="5">
                  <c:v>597.5</c:v>
                </c:pt>
                <c:pt idx="6">
                  <c:v>597.0</c:v>
                </c:pt>
                <c:pt idx="7">
                  <c:v>596.5</c:v>
                </c:pt>
                <c:pt idx="8">
                  <c:v>596.0</c:v>
                </c:pt>
                <c:pt idx="9">
                  <c:v>595.5</c:v>
                </c:pt>
                <c:pt idx="10">
                  <c:v>595.0</c:v>
                </c:pt>
                <c:pt idx="11">
                  <c:v>594.5</c:v>
                </c:pt>
                <c:pt idx="12">
                  <c:v>594.0</c:v>
                </c:pt>
                <c:pt idx="13">
                  <c:v>593.5</c:v>
                </c:pt>
                <c:pt idx="14">
                  <c:v>593.0</c:v>
                </c:pt>
                <c:pt idx="15">
                  <c:v>592.5</c:v>
                </c:pt>
                <c:pt idx="16">
                  <c:v>592.0</c:v>
                </c:pt>
                <c:pt idx="17">
                  <c:v>591.5</c:v>
                </c:pt>
                <c:pt idx="18">
                  <c:v>591.0</c:v>
                </c:pt>
                <c:pt idx="19">
                  <c:v>590.5</c:v>
                </c:pt>
                <c:pt idx="20">
                  <c:v>590.0</c:v>
                </c:pt>
                <c:pt idx="21">
                  <c:v>589.5</c:v>
                </c:pt>
                <c:pt idx="22">
                  <c:v>589.0</c:v>
                </c:pt>
                <c:pt idx="23">
                  <c:v>588.5</c:v>
                </c:pt>
                <c:pt idx="24">
                  <c:v>588.0</c:v>
                </c:pt>
                <c:pt idx="25">
                  <c:v>587.5</c:v>
                </c:pt>
                <c:pt idx="26">
                  <c:v>587.0</c:v>
                </c:pt>
                <c:pt idx="27">
                  <c:v>586.5</c:v>
                </c:pt>
                <c:pt idx="28">
                  <c:v>586.0</c:v>
                </c:pt>
                <c:pt idx="29">
                  <c:v>585.5</c:v>
                </c:pt>
                <c:pt idx="30">
                  <c:v>585.0</c:v>
                </c:pt>
                <c:pt idx="31">
                  <c:v>584.5</c:v>
                </c:pt>
                <c:pt idx="32">
                  <c:v>584.0</c:v>
                </c:pt>
                <c:pt idx="33">
                  <c:v>583.5</c:v>
                </c:pt>
                <c:pt idx="34">
                  <c:v>583.0</c:v>
                </c:pt>
                <c:pt idx="35">
                  <c:v>582.5</c:v>
                </c:pt>
                <c:pt idx="36">
                  <c:v>582.0</c:v>
                </c:pt>
                <c:pt idx="37">
                  <c:v>581.5</c:v>
                </c:pt>
                <c:pt idx="38">
                  <c:v>581.0</c:v>
                </c:pt>
                <c:pt idx="39">
                  <c:v>580.5</c:v>
                </c:pt>
                <c:pt idx="40">
                  <c:v>580.0</c:v>
                </c:pt>
                <c:pt idx="41">
                  <c:v>579.5</c:v>
                </c:pt>
                <c:pt idx="42">
                  <c:v>579.0</c:v>
                </c:pt>
                <c:pt idx="43">
                  <c:v>578.5</c:v>
                </c:pt>
                <c:pt idx="44">
                  <c:v>578.0</c:v>
                </c:pt>
                <c:pt idx="45">
                  <c:v>577.5</c:v>
                </c:pt>
                <c:pt idx="46">
                  <c:v>577.0</c:v>
                </c:pt>
                <c:pt idx="47">
                  <c:v>576.5</c:v>
                </c:pt>
                <c:pt idx="48">
                  <c:v>576.0</c:v>
                </c:pt>
                <c:pt idx="49">
                  <c:v>575.5</c:v>
                </c:pt>
                <c:pt idx="50">
                  <c:v>575.0</c:v>
                </c:pt>
                <c:pt idx="51">
                  <c:v>574.5</c:v>
                </c:pt>
                <c:pt idx="52">
                  <c:v>574.0</c:v>
                </c:pt>
                <c:pt idx="53">
                  <c:v>573.5</c:v>
                </c:pt>
                <c:pt idx="54">
                  <c:v>573.0</c:v>
                </c:pt>
                <c:pt idx="55">
                  <c:v>572.5</c:v>
                </c:pt>
                <c:pt idx="56">
                  <c:v>572.0</c:v>
                </c:pt>
                <c:pt idx="57">
                  <c:v>571.5</c:v>
                </c:pt>
                <c:pt idx="58">
                  <c:v>571.0</c:v>
                </c:pt>
                <c:pt idx="59">
                  <c:v>570.5</c:v>
                </c:pt>
                <c:pt idx="60">
                  <c:v>570.0</c:v>
                </c:pt>
                <c:pt idx="61">
                  <c:v>569.5</c:v>
                </c:pt>
                <c:pt idx="62">
                  <c:v>569.0</c:v>
                </c:pt>
                <c:pt idx="63">
                  <c:v>568.5</c:v>
                </c:pt>
                <c:pt idx="64">
                  <c:v>568.0</c:v>
                </c:pt>
                <c:pt idx="65">
                  <c:v>567.5</c:v>
                </c:pt>
                <c:pt idx="66">
                  <c:v>567.0</c:v>
                </c:pt>
                <c:pt idx="67">
                  <c:v>566.5</c:v>
                </c:pt>
                <c:pt idx="68">
                  <c:v>566.0</c:v>
                </c:pt>
                <c:pt idx="69">
                  <c:v>565.5</c:v>
                </c:pt>
                <c:pt idx="70">
                  <c:v>565.0</c:v>
                </c:pt>
                <c:pt idx="71">
                  <c:v>564.5</c:v>
                </c:pt>
                <c:pt idx="72">
                  <c:v>564.0</c:v>
                </c:pt>
                <c:pt idx="73">
                  <c:v>563.5</c:v>
                </c:pt>
                <c:pt idx="74">
                  <c:v>563.0</c:v>
                </c:pt>
                <c:pt idx="75">
                  <c:v>562.5</c:v>
                </c:pt>
                <c:pt idx="76">
                  <c:v>562.0</c:v>
                </c:pt>
                <c:pt idx="77">
                  <c:v>561.5</c:v>
                </c:pt>
                <c:pt idx="78">
                  <c:v>561.0</c:v>
                </c:pt>
                <c:pt idx="79">
                  <c:v>560.5</c:v>
                </c:pt>
                <c:pt idx="80">
                  <c:v>560.0</c:v>
                </c:pt>
                <c:pt idx="81">
                  <c:v>559.5</c:v>
                </c:pt>
                <c:pt idx="82">
                  <c:v>559.0</c:v>
                </c:pt>
                <c:pt idx="83">
                  <c:v>558.5</c:v>
                </c:pt>
                <c:pt idx="84">
                  <c:v>558.0</c:v>
                </c:pt>
                <c:pt idx="85">
                  <c:v>557.5</c:v>
                </c:pt>
                <c:pt idx="86">
                  <c:v>557.0</c:v>
                </c:pt>
                <c:pt idx="87">
                  <c:v>556.5</c:v>
                </c:pt>
                <c:pt idx="88">
                  <c:v>556.0</c:v>
                </c:pt>
                <c:pt idx="89">
                  <c:v>555.5</c:v>
                </c:pt>
                <c:pt idx="90">
                  <c:v>555.0</c:v>
                </c:pt>
                <c:pt idx="91">
                  <c:v>554.5</c:v>
                </c:pt>
                <c:pt idx="92">
                  <c:v>554.0</c:v>
                </c:pt>
                <c:pt idx="93">
                  <c:v>553.5</c:v>
                </c:pt>
                <c:pt idx="94">
                  <c:v>553.0</c:v>
                </c:pt>
                <c:pt idx="95">
                  <c:v>552.5</c:v>
                </c:pt>
                <c:pt idx="96">
                  <c:v>552.0</c:v>
                </c:pt>
                <c:pt idx="97">
                  <c:v>551.5</c:v>
                </c:pt>
                <c:pt idx="98">
                  <c:v>551.0</c:v>
                </c:pt>
                <c:pt idx="99">
                  <c:v>550.5</c:v>
                </c:pt>
                <c:pt idx="100">
                  <c:v>550.0</c:v>
                </c:pt>
                <c:pt idx="101">
                  <c:v>549.5</c:v>
                </c:pt>
                <c:pt idx="102">
                  <c:v>549.0</c:v>
                </c:pt>
                <c:pt idx="103">
                  <c:v>548.5</c:v>
                </c:pt>
                <c:pt idx="104">
                  <c:v>548.0</c:v>
                </c:pt>
                <c:pt idx="105">
                  <c:v>547.5</c:v>
                </c:pt>
                <c:pt idx="106">
                  <c:v>547.0</c:v>
                </c:pt>
                <c:pt idx="107">
                  <c:v>546.5</c:v>
                </c:pt>
                <c:pt idx="108">
                  <c:v>546.0</c:v>
                </c:pt>
                <c:pt idx="109">
                  <c:v>545.5</c:v>
                </c:pt>
                <c:pt idx="110">
                  <c:v>545.0</c:v>
                </c:pt>
                <c:pt idx="111">
                  <c:v>544.5</c:v>
                </c:pt>
                <c:pt idx="112">
                  <c:v>544.0</c:v>
                </c:pt>
                <c:pt idx="113">
                  <c:v>543.5</c:v>
                </c:pt>
                <c:pt idx="114">
                  <c:v>543.0</c:v>
                </c:pt>
                <c:pt idx="115">
                  <c:v>542.5</c:v>
                </c:pt>
                <c:pt idx="116">
                  <c:v>542.0</c:v>
                </c:pt>
                <c:pt idx="117">
                  <c:v>541.5</c:v>
                </c:pt>
                <c:pt idx="118">
                  <c:v>541.0</c:v>
                </c:pt>
                <c:pt idx="119">
                  <c:v>540.5</c:v>
                </c:pt>
                <c:pt idx="120">
                  <c:v>540.0</c:v>
                </c:pt>
                <c:pt idx="121">
                  <c:v>539.5</c:v>
                </c:pt>
                <c:pt idx="122">
                  <c:v>539.0</c:v>
                </c:pt>
                <c:pt idx="123">
                  <c:v>538.5</c:v>
                </c:pt>
                <c:pt idx="124">
                  <c:v>538.0</c:v>
                </c:pt>
                <c:pt idx="125">
                  <c:v>537.5</c:v>
                </c:pt>
                <c:pt idx="126">
                  <c:v>537.0</c:v>
                </c:pt>
                <c:pt idx="127">
                  <c:v>536.5</c:v>
                </c:pt>
                <c:pt idx="128">
                  <c:v>536.0</c:v>
                </c:pt>
                <c:pt idx="129">
                  <c:v>535.5</c:v>
                </c:pt>
                <c:pt idx="130">
                  <c:v>535.0</c:v>
                </c:pt>
                <c:pt idx="131">
                  <c:v>534.5</c:v>
                </c:pt>
                <c:pt idx="132">
                  <c:v>534.0</c:v>
                </c:pt>
                <c:pt idx="133">
                  <c:v>533.5</c:v>
                </c:pt>
                <c:pt idx="134">
                  <c:v>533.0</c:v>
                </c:pt>
                <c:pt idx="135">
                  <c:v>532.5</c:v>
                </c:pt>
                <c:pt idx="136">
                  <c:v>532.0</c:v>
                </c:pt>
                <c:pt idx="137">
                  <c:v>531.5</c:v>
                </c:pt>
                <c:pt idx="138">
                  <c:v>531.0</c:v>
                </c:pt>
                <c:pt idx="139">
                  <c:v>530.5</c:v>
                </c:pt>
                <c:pt idx="140">
                  <c:v>530.0</c:v>
                </c:pt>
                <c:pt idx="141">
                  <c:v>529.5</c:v>
                </c:pt>
                <c:pt idx="142">
                  <c:v>529.0</c:v>
                </c:pt>
                <c:pt idx="143">
                  <c:v>528.5</c:v>
                </c:pt>
                <c:pt idx="144">
                  <c:v>528.0</c:v>
                </c:pt>
                <c:pt idx="145">
                  <c:v>527.5</c:v>
                </c:pt>
                <c:pt idx="146">
                  <c:v>527.0</c:v>
                </c:pt>
                <c:pt idx="147">
                  <c:v>526.5</c:v>
                </c:pt>
                <c:pt idx="148">
                  <c:v>526.0</c:v>
                </c:pt>
                <c:pt idx="149">
                  <c:v>525.5</c:v>
                </c:pt>
                <c:pt idx="150">
                  <c:v>525.0</c:v>
                </c:pt>
                <c:pt idx="151">
                  <c:v>524.5</c:v>
                </c:pt>
                <c:pt idx="152">
                  <c:v>524.0</c:v>
                </c:pt>
                <c:pt idx="153">
                  <c:v>523.5</c:v>
                </c:pt>
                <c:pt idx="154">
                  <c:v>523.0</c:v>
                </c:pt>
                <c:pt idx="155">
                  <c:v>522.5</c:v>
                </c:pt>
                <c:pt idx="156">
                  <c:v>522.0</c:v>
                </c:pt>
                <c:pt idx="157">
                  <c:v>521.5</c:v>
                </c:pt>
                <c:pt idx="158">
                  <c:v>521.0</c:v>
                </c:pt>
                <c:pt idx="159">
                  <c:v>520.5</c:v>
                </c:pt>
                <c:pt idx="160">
                  <c:v>520.0</c:v>
                </c:pt>
                <c:pt idx="161">
                  <c:v>519.5</c:v>
                </c:pt>
                <c:pt idx="162">
                  <c:v>519.0</c:v>
                </c:pt>
                <c:pt idx="163">
                  <c:v>518.5</c:v>
                </c:pt>
                <c:pt idx="164">
                  <c:v>518.0</c:v>
                </c:pt>
                <c:pt idx="165">
                  <c:v>517.5</c:v>
                </c:pt>
                <c:pt idx="166">
                  <c:v>517.0</c:v>
                </c:pt>
                <c:pt idx="167">
                  <c:v>516.5</c:v>
                </c:pt>
                <c:pt idx="168">
                  <c:v>516.0</c:v>
                </c:pt>
                <c:pt idx="169">
                  <c:v>515.5</c:v>
                </c:pt>
                <c:pt idx="170">
                  <c:v>515.0</c:v>
                </c:pt>
                <c:pt idx="171">
                  <c:v>514.5</c:v>
                </c:pt>
                <c:pt idx="172">
                  <c:v>514.0</c:v>
                </c:pt>
                <c:pt idx="173">
                  <c:v>513.5</c:v>
                </c:pt>
                <c:pt idx="174">
                  <c:v>513.0</c:v>
                </c:pt>
                <c:pt idx="175">
                  <c:v>512.5</c:v>
                </c:pt>
                <c:pt idx="176">
                  <c:v>512.0</c:v>
                </c:pt>
                <c:pt idx="177">
                  <c:v>511.5</c:v>
                </c:pt>
                <c:pt idx="178">
                  <c:v>511.0</c:v>
                </c:pt>
                <c:pt idx="179">
                  <c:v>510.5</c:v>
                </c:pt>
                <c:pt idx="180">
                  <c:v>510.0</c:v>
                </c:pt>
                <c:pt idx="181">
                  <c:v>509.5</c:v>
                </c:pt>
                <c:pt idx="182">
                  <c:v>509.0</c:v>
                </c:pt>
                <c:pt idx="183">
                  <c:v>508.5</c:v>
                </c:pt>
                <c:pt idx="184">
                  <c:v>508.0</c:v>
                </c:pt>
                <c:pt idx="185">
                  <c:v>507.5</c:v>
                </c:pt>
                <c:pt idx="186">
                  <c:v>507.0</c:v>
                </c:pt>
                <c:pt idx="187">
                  <c:v>506.5</c:v>
                </c:pt>
                <c:pt idx="188">
                  <c:v>506.0</c:v>
                </c:pt>
                <c:pt idx="189">
                  <c:v>505.5</c:v>
                </c:pt>
                <c:pt idx="190">
                  <c:v>505.0</c:v>
                </c:pt>
                <c:pt idx="191">
                  <c:v>504.5</c:v>
                </c:pt>
                <c:pt idx="192">
                  <c:v>504.0</c:v>
                </c:pt>
                <c:pt idx="193">
                  <c:v>503.5</c:v>
                </c:pt>
                <c:pt idx="194">
                  <c:v>503.0</c:v>
                </c:pt>
                <c:pt idx="195">
                  <c:v>502.5</c:v>
                </c:pt>
                <c:pt idx="196">
                  <c:v>502.0</c:v>
                </c:pt>
                <c:pt idx="197">
                  <c:v>501.5</c:v>
                </c:pt>
                <c:pt idx="198">
                  <c:v>501.0</c:v>
                </c:pt>
                <c:pt idx="199">
                  <c:v>500.5</c:v>
                </c:pt>
                <c:pt idx="200">
                  <c:v>500.0</c:v>
                </c:pt>
                <c:pt idx="201">
                  <c:v>499.5</c:v>
                </c:pt>
                <c:pt idx="202">
                  <c:v>499.0</c:v>
                </c:pt>
                <c:pt idx="203">
                  <c:v>498.5</c:v>
                </c:pt>
                <c:pt idx="204">
                  <c:v>498.0</c:v>
                </c:pt>
                <c:pt idx="205">
                  <c:v>497.5</c:v>
                </c:pt>
                <c:pt idx="206">
                  <c:v>497.0</c:v>
                </c:pt>
                <c:pt idx="207">
                  <c:v>496.5</c:v>
                </c:pt>
                <c:pt idx="208">
                  <c:v>496.0</c:v>
                </c:pt>
                <c:pt idx="209">
                  <c:v>495.5</c:v>
                </c:pt>
                <c:pt idx="210">
                  <c:v>495.0</c:v>
                </c:pt>
                <c:pt idx="211">
                  <c:v>494.5</c:v>
                </c:pt>
                <c:pt idx="212">
                  <c:v>494.0</c:v>
                </c:pt>
                <c:pt idx="213">
                  <c:v>493.5</c:v>
                </c:pt>
                <c:pt idx="214">
                  <c:v>493.0</c:v>
                </c:pt>
                <c:pt idx="215">
                  <c:v>492.5</c:v>
                </c:pt>
                <c:pt idx="216">
                  <c:v>492.0</c:v>
                </c:pt>
                <c:pt idx="217">
                  <c:v>491.5</c:v>
                </c:pt>
                <c:pt idx="218">
                  <c:v>491.0</c:v>
                </c:pt>
                <c:pt idx="219">
                  <c:v>490.5</c:v>
                </c:pt>
                <c:pt idx="220">
                  <c:v>490.0</c:v>
                </c:pt>
                <c:pt idx="221">
                  <c:v>489.5</c:v>
                </c:pt>
                <c:pt idx="222">
                  <c:v>489.0</c:v>
                </c:pt>
                <c:pt idx="223">
                  <c:v>488.5</c:v>
                </c:pt>
                <c:pt idx="224">
                  <c:v>488.0</c:v>
                </c:pt>
                <c:pt idx="225">
                  <c:v>487.5</c:v>
                </c:pt>
                <c:pt idx="226">
                  <c:v>487.0</c:v>
                </c:pt>
                <c:pt idx="227">
                  <c:v>486.5</c:v>
                </c:pt>
                <c:pt idx="228">
                  <c:v>486.0</c:v>
                </c:pt>
                <c:pt idx="229">
                  <c:v>485.5</c:v>
                </c:pt>
                <c:pt idx="230">
                  <c:v>485.0</c:v>
                </c:pt>
                <c:pt idx="231">
                  <c:v>484.5</c:v>
                </c:pt>
                <c:pt idx="232">
                  <c:v>484.0</c:v>
                </c:pt>
                <c:pt idx="233">
                  <c:v>483.5</c:v>
                </c:pt>
                <c:pt idx="234">
                  <c:v>483.0</c:v>
                </c:pt>
                <c:pt idx="235">
                  <c:v>482.5</c:v>
                </c:pt>
                <c:pt idx="236">
                  <c:v>482.0</c:v>
                </c:pt>
                <c:pt idx="237">
                  <c:v>481.5</c:v>
                </c:pt>
                <c:pt idx="238">
                  <c:v>481.0</c:v>
                </c:pt>
                <c:pt idx="239">
                  <c:v>480.5</c:v>
                </c:pt>
                <c:pt idx="240">
                  <c:v>480.0</c:v>
                </c:pt>
                <c:pt idx="241">
                  <c:v>479.5</c:v>
                </c:pt>
                <c:pt idx="242">
                  <c:v>479.0</c:v>
                </c:pt>
                <c:pt idx="243">
                  <c:v>478.5</c:v>
                </c:pt>
                <c:pt idx="244">
                  <c:v>478.0</c:v>
                </c:pt>
                <c:pt idx="245">
                  <c:v>477.5</c:v>
                </c:pt>
                <c:pt idx="246">
                  <c:v>477.0</c:v>
                </c:pt>
                <c:pt idx="247">
                  <c:v>476.5</c:v>
                </c:pt>
                <c:pt idx="248">
                  <c:v>476.0</c:v>
                </c:pt>
                <c:pt idx="249">
                  <c:v>475.5</c:v>
                </c:pt>
                <c:pt idx="250">
                  <c:v>475.0</c:v>
                </c:pt>
                <c:pt idx="251">
                  <c:v>474.5</c:v>
                </c:pt>
                <c:pt idx="252">
                  <c:v>474.0</c:v>
                </c:pt>
                <c:pt idx="253">
                  <c:v>473.5</c:v>
                </c:pt>
                <c:pt idx="254">
                  <c:v>473.0</c:v>
                </c:pt>
                <c:pt idx="255">
                  <c:v>472.5</c:v>
                </c:pt>
                <c:pt idx="256">
                  <c:v>472.0</c:v>
                </c:pt>
                <c:pt idx="257">
                  <c:v>471.5</c:v>
                </c:pt>
                <c:pt idx="258">
                  <c:v>471.0</c:v>
                </c:pt>
                <c:pt idx="259">
                  <c:v>470.5</c:v>
                </c:pt>
                <c:pt idx="260">
                  <c:v>470.0</c:v>
                </c:pt>
                <c:pt idx="261">
                  <c:v>469.5</c:v>
                </c:pt>
                <c:pt idx="262">
                  <c:v>469.0</c:v>
                </c:pt>
                <c:pt idx="263">
                  <c:v>468.5</c:v>
                </c:pt>
                <c:pt idx="264">
                  <c:v>468.0</c:v>
                </c:pt>
                <c:pt idx="265">
                  <c:v>467.5</c:v>
                </c:pt>
                <c:pt idx="266">
                  <c:v>467.0</c:v>
                </c:pt>
                <c:pt idx="267">
                  <c:v>466.5</c:v>
                </c:pt>
                <c:pt idx="268">
                  <c:v>466.0</c:v>
                </c:pt>
                <c:pt idx="269">
                  <c:v>465.5</c:v>
                </c:pt>
                <c:pt idx="270">
                  <c:v>465.0</c:v>
                </c:pt>
                <c:pt idx="271">
                  <c:v>464.5</c:v>
                </c:pt>
                <c:pt idx="272">
                  <c:v>464.0</c:v>
                </c:pt>
                <c:pt idx="273">
                  <c:v>463.5</c:v>
                </c:pt>
                <c:pt idx="274">
                  <c:v>463.0</c:v>
                </c:pt>
                <c:pt idx="275">
                  <c:v>462.5</c:v>
                </c:pt>
                <c:pt idx="276">
                  <c:v>462.0</c:v>
                </c:pt>
                <c:pt idx="277">
                  <c:v>461.5</c:v>
                </c:pt>
                <c:pt idx="278">
                  <c:v>461.0</c:v>
                </c:pt>
                <c:pt idx="279">
                  <c:v>460.5</c:v>
                </c:pt>
                <c:pt idx="280">
                  <c:v>460.0</c:v>
                </c:pt>
                <c:pt idx="281">
                  <c:v>459.5</c:v>
                </c:pt>
                <c:pt idx="282">
                  <c:v>459.0</c:v>
                </c:pt>
                <c:pt idx="283">
                  <c:v>458.5</c:v>
                </c:pt>
                <c:pt idx="284">
                  <c:v>458.0</c:v>
                </c:pt>
                <c:pt idx="285">
                  <c:v>457.5</c:v>
                </c:pt>
                <c:pt idx="286">
                  <c:v>457.0</c:v>
                </c:pt>
                <c:pt idx="287">
                  <c:v>456.5</c:v>
                </c:pt>
                <c:pt idx="288">
                  <c:v>456.0</c:v>
                </c:pt>
                <c:pt idx="289">
                  <c:v>455.5</c:v>
                </c:pt>
                <c:pt idx="290">
                  <c:v>455.0</c:v>
                </c:pt>
                <c:pt idx="291">
                  <c:v>454.5</c:v>
                </c:pt>
                <c:pt idx="292">
                  <c:v>454.0</c:v>
                </c:pt>
                <c:pt idx="293">
                  <c:v>453.5</c:v>
                </c:pt>
                <c:pt idx="294">
                  <c:v>453.0</c:v>
                </c:pt>
                <c:pt idx="295">
                  <c:v>452.5</c:v>
                </c:pt>
                <c:pt idx="296">
                  <c:v>452.0</c:v>
                </c:pt>
                <c:pt idx="297">
                  <c:v>451.5</c:v>
                </c:pt>
                <c:pt idx="298">
                  <c:v>451.0</c:v>
                </c:pt>
                <c:pt idx="299">
                  <c:v>450.5</c:v>
                </c:pt>
                <c:pt idx="300">
                  <c:v>450.0</c:v>
                </c:pt>
                <c:pt idx="301">
                  <c:v>449.5</c:v>
                </c:pt>
                <c:pt idx="302">
                  <c:v>449.0</c:v>
                </c:pt>
                <c:pt idx="303">
                  <c:v>448.5</c:v>
                </c:pt>
                <c:pt idx="304">
                  <c:v>448.0</c:v>
                </c:pt>
                <c:pt idx="305">
                  <c:v>447.5</c:v>
                </c:pt>
                <c:pt idx="306">
                  <c:v>447.0</c:v>
                </c:pt>
                <c:pt idx="307">
                  <c:v>446.5</c:v>
                </c:pt>
                <c:pt idx="308">
                  <c:v>446.0</c:v>
                </c:pt>
                <c:pt idx="309">
                  <c:v>445.5</c:v>
                </c:pt>
                <c:pt idx="310">
                  <c:v>445.0</c:v>
                </c:pt>
                <c:pt idx="311">
                  <c:v>444.5</c:v>
                </c:pt>
                <c:pt idx="312">
                  <c:v>444.0</c:v>
                </c:pt>
                <c:pt idx="313">
                  <c:v>443.5</c:v>
                </c:pt>
                <c:pt idx="314">
                  <c:v>443.0</c:v>
                </c:pt>
                <c:pt idx="315">
                  <c:v>442.5</c:v>
                </c:pt>
                <c:pt idx="316">
                  <c:v>442.0</c:v>
                </c:pt>
                <c:pt idx="317">
                  <c:v>441.5</c:v>
                </c:pt>
                <c:pt idx="318">
                  <c:v>441.0</c:v>
                </c:pt>
                <c:pt idx="319">
                  <c:v>440.5</c:v>
                </c:pt>
                <c:pt idx="320">
                  <c:v>440.0</c:v>
                </c:pt>
                <c:pt idx="321">
                  <c:v>439.5</c:v>
                </c:pt>
                <c:pt idx="322">
                  <c:v>439.0</c:v>
                </c:pt>
                <c:pt idx="323">
                  <c:v>438.5</c:v>
                </c:pt>
                <c:pt idx="324">
                  <c:v>438.0</c:v>
                </c:pt>
                <c:pt idx="325">
                  <c:v>437.5</c:v>
                </c:pt>
                <c:pt idx="326">
                  <c:v>437.0</c:v>
                </c:pt>
                <c:pt idx="327">
                  <c:v>436.5</c:v>
                </c:pt>
                <c:pt idx="328">
                  <c:v>436.0</c:v>
                </c:pt>
                <c:pt idx="329">
                  <c:v>435.5</c:v>
                </c:pt>
                <c:pt idx="330">
                  <c:v>435.0</c:v>
                </c:pt>
                <c:pt idx="331">
                  <c:v>434.5</c:v>
                </c:pt>
                <c:pt idx="332">
                  <c:v>434.0</c:v>
                </c:pt>
                <c:pt idx="333">
                  <c:v>433.5</c:v>
                </c:pt>
                <c:pt idx="334">
                  <c:v>433.0</c:v>
                </c:pt>
                <c:pt idx="335">
                  <c:v>432.5</c:v>
                </c:pt>
                <c:pt idx="336">
                  <c:v>432.0</c:v>
                </c:pt>
                <c:pt idx="337">
                  <c:v>431.5</c:v>
                </c:pt>
                <c:pt idx="338">
                  <c:v>431.0</c:v>
                </c:pt>
                <c:pt idx="339">
                  <c:v>430.5</c:v>
                </c:pt>
                <c:pt idx="340">
                  <c:v>430.0</c:v>
                </c:pt>
                <c:pt idx="341">
                  <c:v>429.5</c:v>
                </c:pt>
                <c:pt idx="342">
                  <c:v>429.0</c:v>
                </c:pt>
                <c:pt idx="343">
                  <c:v>428.5</c:v>
                </c:pt>
                <c:pt idx="344">
                  <c:v>428.0</c:v>
                </c:pt>
                <c:pt idx="345">
                  <c:v>427.5</c:v>
                </c:pt>
                <c:pt idx="346">
                  <c:v>427.0</c:v>
                </c:pt>
                <c:pt idx="347">
                  <c:v>426.5</c:v>
                </c:pt>
                <c:pt idx="348">
                  <c:v>426.0</c:v>
                </c:pt>
                <c:pt idx="349">
                  <c:v>425.5</c:v>
                </c:pt>
                <c:pt idx="350">
                  <c:v>425.0</c:v>
                </c:pt>
                <c:pt idx="351">
                  <c:v>424.5</c:v>
                </c:pt>
                <c:pt idx="352">
                  <c:v>424.0</c:v>
                </c:pt>
                <c:pt idx="353">
                  <c:v>423.5</c:v>
                </c:pt>
                <c:pt idx="354">
                  <c:v>423.0</c:v>
                </c:pt>
                <c:pt idx="355">
                  <c:v>422.5</c:v>
                </c:pt>
                <c:pt idx="356">
                  <c:v>422.0</c:v>
                </c:pt>
                <c:pt idx="357">
                  <c:v>421.5</c:v>
                </c:pt>
                <c:pt idx="358">
                  <c:v>421.0</c:v>
                </c:pt>
                <c:pt idx="359">
                  <c:v>420.5</c:v>
                </c:pt>
                <c:pt idx="360">
                  <c:v>420.0</c:v>
                </c:pt>
                <c:pt idx="361">
                  <c:v>419.5</c:v>
                </c:pt>
                <c:pt idx="362">
                  <c:v>419.0</c:v>
                </c:pt>
                <c:pt idx="363">
                  <c:v>418.5</c:v>
                </c:pt>
                <c:pt idx="364">
                  <c:v>418.0</c:v>
                </c:pt>
                <c:pt idx="365">
                  <c:v>417.5</c:v>
                </c:pt>
                <c:pt idx="366">
                  <c:v>417.0</c:v>
                </c:pt>
                <c:pt idx="367">
                  <c:v>416.5</c:v>
                </c:pt>
                <c:pt idx="368">
                  <c:v>416.0</c:v>
                </c:pt>
                <c:pt idx="369">
                  <c:v>415.5</c:v>
                </c:pt>
                <c:pt idx="370">
                  <c:v>415.0</c:v>
                </c:pt>
                <c:pt idx="371">
                  <c:v>414.5</c:v>
                </c:pt>
                <c:pt idx="372">
                  <c:v>414.0</c:v>
                </c:pt>
                <c:pt idx="373">
                  <c:v>413.5</c:v>
                </c:pt>
                <c:pt idx="374">
                  <c:v>413.0</c:v>
                </c:pt>
                <c:pt idx="375">
                  <c:v>412.5</c:v>
                </c:pt>
                <c:pt idx="376">
                  <c:v>412.0</c:v>
                </c:pt>
                <c:pt idx="377">
                  <c:v>411.5</c:v>
                </c:pt>
                <c:pt idx="378">
                  <c:v>411.0</c:v>
                </c:pt>
                <c:pt idx="379">
                  <c:v>410.5</c:v>
                </c:pt>
                <c:pt idx="380">
                  <c:v>410.0</c:v>
                </c:pt>
                <c:pt idx="381">
                  <c:v>409.5</c:v>
                </c:pt>
                <c:pt idx="382">
                  <c:v>409.0</c:v>
                </c:pt>
                <c:pt idx="383">
                  <c:v>408.5</c:v>
                </c:pt>
                <c:pt idx="384">
                  <c:v>408.0</c:v>
                </c:pt>
                <c:pt idx="385">
                  <c:v>407.5</c:v>
                </c:pt>
                <c:pt idx="386">
                  <c:v>407.0</c:v>
                </c:pt>
                <c:pt idx="387">
                  <c:v>406.5</c:v>
                </c:pt>
                <c:pt idx="388">
                  <c:v>406.0</c:v>
                </c:pt>
                <c:pt idx="389">
                  <c:v>405.5</c:v>
                </c:pt>
                <c:pt idx="390">
                  <c:v>405.0</c:v>
                </c:pt>
                <c:pt idx="391">
                  <c:v>404.5</c:v>
                </c:pt>
                <c:pt idx="392">
                  <c:v>404.0</c:v>
                </c:pt>
                <c:pt idx="393">
                  <c:v>403.5</c:v>
                </c:pt>
                <c:pt idx="394">
                  <c:v>403.0</c:v>
                </c:pt>
                <c:pt idx="395">
                  <c:v>402.5</c:v>
                </c:pt>
                <c:pt idx="396">
                  <c:v>402.0</c:v>
                </c:pt>
                <c:pt idx="397">
                  <c:v>401.5</c:v>
                </c:pt>
                <c:pt idx="398">
                  <c:v>401.0</c:v>
                </c:pt>
                <c:pt idx="399">
                  <c:v>400.5</c:v>
                </c:pt>
                <c:pt idx="400">
                  <c:v>400.0</c:v>
                </c:pt>
                <c:pt idx="401">
                  <c:v>399.5</c:v>
                </c:pt>
                <c:pt idx="402">
                  <c:v>399.0</c:v>
                </c:pt>
                <c:pt idx="403">
                  <c:v>398.5</c:v>
                </c:pt>
                <c:pt idx="404">
                  <c:v>398.0</c:v>
                </c:pt>
                <c:pt idx="405">
                  <c:v>397.5</c:v>
                </c:pt>
                <c:pt idx="406">
                  <c:v>397.0</c:v>
                </c:pt>
                <c:pt idx="407">
                  <c:v>396.5</c:v>
                </c:pt>
                <c:pt idx="408">
                  <c:v>396.0</c:v>
                </c:pt>
                <c:pt idx="409">
                  <c:v>395.5</c:v>
                </c:pt>
                <c:pt idx="410">
                  <c:v>395.0</c:v>
                </c:pt>
                <c:pt idx="411">
                  <c:v>394.5</c:v>
                </c:pt>
                <c:pt idx="412">
                  <c:v>394.0</c:v>
                </c:pt>
                <c:pt idx="413">
                  <c:v>393.5</c:v>
                </c:pt>
                <c:pt idx="414">
                  <c:v>393.0</c:v>
                </c:pt>
                <c:pt idx="415">
                  <c:v>392.5</c:v>
                </c:pt>
                <c:pt idx="416">
                  <c:v>392.0</c:v>
                </c:pt>
                <c:pt idx="417">
                  <c:v>391.5</c:v>
                </c:pt>
                <c:pt idx="418">
                  <c:v>391.0</c:v>
                </c:pt>
                <c:pt idx="419">
                  <c:v>390.5</c:v>
                </c:pt>
                <c:pt idx="420">
                  <c:v>390.0</c:v>
                </c:pt>
                <c:pt idx="421">
                  <c:v>389.5</c:v>
                </c:pt>
                <c:pt idx="422">
                  <c:v>389.0</c:v>
                </c:pt>
                <c:pt idx="423">
                  <c:v>388.5</c:v>
                </c:pt>
                <c:pt idx="424">
                  <c:v>388.0</c:v>
                </c:pt>
                <c:pt idx="425">
                  <c:v>387.5</c:v>
                </c:pt>
                <c:pt idx="426">
                  <c:v>387.0</c:v>
                </c:pt>
                <c:pt idx="427">
                  <c:v>386.5</c:v>
                </c:pt>
                <c:pt idx="428">
                  <c:v>386.0</c:v>
                </c:pt>
                <c:pt idx="429">
                  <c:v>385.5</c:v>
                </c:pt>
                <c:pt idx="430">
                  <c:v>385.0</c:v>
                </c:pt>
                <c:pt idx="431">
                  <c:v>384.5</c:v>
                </c:pt>
                <c:pt idx="432">
                  <c:v>384.0</c:v>
                </c:pt>
                <c:pt idx="433">
                  <c:v>383.5</c:v>
                </c:pt>
                <c:pt idx="434">
                  <c:v>383.0</c:v>
                </c:pt>
                <c:pt idx="435">
                  <c:v>382.5</c:v>
                </c:pt>
                <c:pt idx="436">
                  <c:v>382.0</c:v>
                </c:pt>
                <c:pt idx="437">
                  <c:v>381.5</c:v>
                </c:pt>
                <c:pt idx="438">
                  <c:v>381.0</c:v>
                </c:pt>
                <c:pt idx="439">
                  <c:v>380.5</c:v>
                </c:pt>
                <c:pt idx="440">
                  <c:v>380.0</c:v>
                </c:pt>
                <c:pt idx="441">
                  <c:v>379.5</c:v>
                </c:pt>
                <c:pt idx="442">
                  <c:v>379.0</c:v>
                </c:pt>
                <c:pt idx="443">
                  <c:v>378.5</c:v>
                </c:pt>
                <c:pt idx="444">
                  <c:v>378.0</c:v>
                </c:pt>
                <c:pt idx="445">
                  <c:v>377.5</c:v>
                </c:pt>
                <c:pt idx="446">
                  <c:v>377.0</c:v>
                </c:pt>
                <c:pt idx="447">
                  <c:v>376.5</c:v>
                </c:pt>
                <c:pt idx="448">
                  <c:v>376.0</c:v>
                </c:pt>
                <c:pt idx="449">
                  <c:v>375.5</c:v>
                </c:pt>
                <c:pt idx="450">
                  <c:v>375.0</c:v>
                </c:pt>
                <c:pt idx="451">
                  <c:v>374.5</c:v>
                </c:pt>
                <c:pt idx="452">
                  <c:v>374.0</c:v>
                </c:pt>
                <c:pt idx="453">
                  <c:v>373.5</c:v>
                </c:pt>
                <c:pt idx="454">
                  <c:v>373.0</c:v>
                </c:pt>
                <c:pt idx="455">
                  <c:v>372.5</c:v>
                </c:pt>
                <c:pt idx="456">
                  <c:v>372.0</c:v>
                </c:pt>
                <c:pt idx="457">
                  <c:v>371.5</c:v>
                </c:pt>
                <c:pt idx="458">
                  <c:v>371.0</c:v>
                </c:pt>
                <c:pt idx="459">
                  <c:v>370.5</c:v>
                </c:pt>
                <c:pt idx="460">
                  <c:v>370.0</c:v>
                </c:pt>
                <c:pt idx="461">
                  <c:v>369.5</c:v>
                </c:pt>
                <c:pt idx="462">
                  <c:v>369.0</c:v>
                </c:pt>
                <c:pt idx="463">
                  <c:v>368.5</c:v>
                </c:pt>
                <c:pt idx="464">
                  <c:v>368.0</c:v>
                </c:pt>
                <c:pt idx="465">
                  <c:v>367.5</c:v>
                </c:pt>
                <c:pt idx="466">
                  <c:v>367.0</c:v>
                </c:pt>
                <c:pt idx="467">
                  <c:v>366.5</c:v>
                </c:pt>
                <c:pt idx="468">
                  <c:v>366.0</c:v>
                </c:pt>
                <c:pt idx="469">
                  <c:v>365.5</c:v>
                </c:pt>
                <c:pt idx="470">
                  <c:v>365.0</c:v>
                </c:pt>
                <c:pt idx="471">
                  <c:v>364.5</c:v>
                </c:pt>
                <c:pt idx="472">
                  <c:v>364.0</c:v>
                </c:pt>
                <c:pt idx="473">
                  <c:v>363.5</c:v>
                </c:pt>
                <c:pt idx="474">
                  <c:v>363.0</c:v>
                </c:pt>
                <c:pt idx="475">
                  <c:v>362.5</c:v>
                </c:pt>
                <c:pt idx="476">
                  <c:v>362.0</c:v>
                </c:pt>
                <c:pt idx="477">
                  <c:v>361.5</c:v>
                </c:pt>
                <c:pt idx="478">
                  <c:v>361.0</c:v>
                </c:pt>
                <c:pt idx="479">
                  <c:v>360.5</c:v>
                </c:pt>
                <c:pt idx="480">
                  <c:v>360.0</c:v>
                </c:pt>
                <c:pt idx="481">
                  <c:v>359.5</c:v>
                </c:pt>
                <c:pt idx="482">
                  <c:v>359.0</c:v>
                </c:pt>
                <c:pt idx="483">
                  <c:v>358.5</c:v>
                </c:pt>
                <c:pt idx="484">
                  <c:v>358.0</c:v>
                </c:pt>
                <c:pt idx="485">
                  <c:v>357.5</c:v>
                </c:pt>
                <c:pt idx="486">
                  <c:v>357.0</c:v>
                </c:pt>
                <c:pt idx="487">
                  <c:v>356.5</c:v>
                </c:pt>
                <c:pt idx="488">
                  <c:v>356.0</c:v>
                </c:pt>
                <c:pt idx="489">
                  <c:v>355.5</c:v>
                </c:pt>
                <c:pt idx="490">
                  <c:v>355.0</c:v>
                </c:pt>
                <c:pt idx="491">
                  <c:v>354.5</c:v>
                </c:pt>
                <c:pt idx="492">
                  <c:v>354.0</c:v>
                </c:pt>
                <c:pt idx="493">
                  <c:v>353.5</c:v>
                </c:pt>
                <c:pt idx="494">
                  <c:v>353.0</c:v>
                </c:pt>
                <c:pt idx="495">
                  <c:v>352.5</c:v>
                </c:pt>
                <c:pt idx="496">
                  <c:v>352.0</c:v>
                </c:pt>
                <c:pt idx="497">
                  <c:v>351.5</c:v>
                </c:pt>
                <c:pt idx="498">
                  <c:v>351.0</c:v>
                </c:pt>
                <c:pt idx="499">
                  <c:v>350.5</c:v>
                </c:pt>
                <c:pt idx="500">
                  <c:v>350.0</c:v>
                </c:pt>
                <c:pt idx="501">
                  <c:v>349.5</c:v>
                </c:pt>
                <c:pt idx="502">
                  <c:v>349.0</c:v>
                </c:pt>
                <c:pt idx="503">
                  <c:v>348.5</c:v>
                </c:pt>
                <c:pt idx="504">
                  <c:v>348.0</c:v>
                </c:pt>
                <c:pt idx="505">
                  <c:v>347.5</c:v>
                </c:pt>
                <c:pt idx="506">
                  <c:v>347.0</c:v>
                </c:pt>
                <c:pt idx="507">
                  <c:v>346.5</c:v>
                </c:pt>
                <c:pt idx="508">
                  <c:v>346.0</c:v>
                </c:pt>
                <c:pt idx="509">
                  <c:v>345.5</c:v>
                </c:pt>
                <c:pt idx="510">
                  <c:v>345.0</c:v>
                </c:pt>
                <c:pt idx="511">
                  <c:v>344.5</c:v>
                </c:pt>
                <c:pt idx="512">
                  <c:v>344.0</c:v>
                </c:pt>
                <c:pt idx="513">
                  <c:v>343.5</c:v>
                </c:pt>
                <c:pt idx="514">
                  <c:v>343.0</c:v>
                </c:pt>
                <c:pt idx="515">
                  <c:v>342.5</c:v>
                </c:pt>
                <c:pt idx="516">
                  <c:v>342.0</c:v>
                </c:pt>
                <c:pt idx="517">
                  <c:v>341.5</c:v>
                </c:pt>
                <c:pt idx="518">
                  <c:v>341.0</c:v>
                </c:pt>
                <c:pt idx="519">
                  <c:v>340.5</c:v>
                </c:pt>
                <c:pt idx="520">
                  <c:v>340.0</c:v>
                </c:pt>
                <c:pt idx="521">
                  <c:v>339.5</c:v>
                </c:pt>
                <c:pt idx="522">
                  <c:v>339.0</c:v>
                </c:pt>
                <c:pt idx="523">
                  <c:v>338.5</c:v>
                </c:pt>
                <c:pt idx="524">
                  <c:v>338.0</c:v>
                </c:pt>
                <c:pt idx="525">
                  <c:v>337.5</c:v>
                </c:pt>
                <c:pt idx="526">
                  <c:v>337.0</c:v>
                </c:pt>
                <c:pt idx="527">
                  <c:v>336.5</c:v>
                </c:pt>
                <c:pt idx="528">
                  <c:v>336.0</c:v>
                </c:pt>
                <c:pt idx="529">
                  <c:v>335.5</c:v>
                </c:pt>
                <c:pt idx="530">
                  <c:v>335.0</c:v>
                </c:pt>
                <c:pt idx="531">
                  <c:v>334.5</c:v>
                </c:pt>
                <c:pt idx="532">
                  <c:v>334.0</c:v>
                </c:pt>
                <c:pt idx="533">
                  <c:v>333.5</c:v>
                </c:pt>
                <c:pt idx="534">
                  <c:v>333.0</c:v>
                </c:pt>
                <c:pt idx="535">
                  <c:v>332.5</c:v>
                </c:pt>
                <c:pt idx="536">
                  <c:v>332.0</c:v>
                </c:pt>
                <c:pt idx="537">
                  <c:v>331.5</c:v>
                </c:pt>
                <c:pt idx="538">
                  <c:v>331.0</c:v>
                </c:pt>
                <c:pt idx="539">
                  <c:v>330.5</c:v>
                </c:pt>
                <c:pt idx="540">
                  <c:v>330.0</c:v>
                </c:pt>
                <c:pt idx="541">
                  <c:v>329.5</c:v>
                </c:pt>
                <c:pt idx="542">
                  <c:v>329.0</c:v>
                </c:pt>
                <c:pt idx="543">
                  <c:v>328.5</c:v>
                </c:pt>
                <c:pt idx="544">
                  <c:v>328.0</c:v>
                </c:pt>
                <c:pt idx="545">
                  <c:v>327.5</c:v>
                </c:pt>
                <c:pt idx="546">
                  <c:v>327.0</c:v>
                </c:pt>
                <c:pt idx="547">
                  <c:v>326.5</c:v>
                </c:pt>
                <c:pt idx="548">
                  <c:v>326.0</c:v>
                </c:pt>
                <c:pt idx="549">
                  <c:v>325.5</c:v>
                </c:pt>
                <c:pt idx="550">
                  <c:v>325.0</c:v>
                </c:pt>
                <c:pt idx="551">
                  <c:v>324.5</c:v>
                </c:pt>
                <c:pt idx="552">
                  <c:v>324.0</c:v>
                </c:pt>
                <c:pt idx="553">
                  <c:v>323.5</c:v>
                </c:pt>
                <c:pt idx="554">
                  <c:v>323.0</c:v>
                </c:pt>
                <c:pt idx="555">
                  <c:v>322.5</c:v>
                </c:pt>
                <c:pt idx="556">
                  <c:v>322.0</c:v>
                </c:pt>
                <c:pt idx="557">
                  <c:v>321.5</c:v>
                </c:pt>
                <c:pt idx="558">
                  <c:v>321.0</c:v>
                </c:pt>
                <c:pt idx="559">
                  <c:v>320.5</c:v>
                </c:pt>
                <c:pt idx="560">
                  <c:v>320.0</c:v>
                </c:pt>
                <c:pt idx="561">
                  <c:v>319.5</c:v>
                </c:pt>
                <c:pt idx="562">
                  <c:v>319.0</c:v>
                </c:pt>
                <c:pt idx="563">
                  <c:v>318.5</c:v>
                </c:pt>
                <c:pt idx="564">
                  <c:v>318.0</c:v>
                </c:pt>
                <c:pt idx="565">
                  <c:v>317.5</c:v>
                </c:pt>
                <c:pt idx="566">
                  <c:v>317.0</c:v>
                </c:pt>
                <c:pt idx="567">
                  <c:v>316.5</c:v>
                </c:pt>
                <c:pt idx="568">
                  <c:v>316.0</c:v>
                </c:pt>
                <c:pt idx="569">
                  <c:v>315.5</c:v>
                </c:pt>
                <c:pt idx="570">
                  <c:v>315.0</c:v>
                </c:pt>
                <c:pt idx="571">
                  <c:v>314.5</c:v>
                </c:pt>
                <c:pt idx="572">
                  <c:v>314.0</c:v>
                </c:pt>
                <c:pt idx="573">
                  <c:v>313.5</c:v>
                </c:pt>
                <c:pt idx="574">
                  <c:v>313.0</c:v>
                </c:pt>
                <c:pt idx="575">
                  <c:v>312.5</c:v>
                </c:pt>
                <c:pt idx="576">
                  <c:v>312.0</c:v>
                </c:pt>
                <c:pt idx="577">
                  <c:v>311.5</c:v>
                </c:pt>
                <c:pt idx="578">
                  <c:v>311.0</c:v>
                </c:pt>
                <c:pt idx="579">
                  <c:v>310.5</c:v>
                </c:pt>
                <c:pt idx="580">
                  <c:v>310.0</c:v>
                </c:pt>
                <c:pt idx="581">
                  <c:v>309.5</c:v>
                </c:pt>
                <c:pt idx="582">
                  <c:v>309.0</c:v>
                </c:pt>
                <c:pt idx="583">
                  <c:v>308.5</c:v>
                </c:pt>
                <c:pt idx="584">
                  <c:v>308.0</c:v>
                </c:pt>
                <c:pt idx="585">
                  <c:v>307.5</c:v>
                </c:pt>
                <c:pt idx="586">
                  <c:v>307.0</c:v>
                </c:pt>
                <c:pt idx="587">
                  <c:v>306.5</c:v>
                </c:pt>
                <c:pt idx="588">
                  <c:v>306.0</c:v>
                </c:pt>
                <c:pt idx="589">
                  <c:v>305.5</c:v>
                </c:pt>
                <c:pt idx="590">
                  <c:v>305.0</c:v>
                </c:pt>
                <c:pt idx="591">
                  <c:v>304.5</c:v>
                </c:pt>
                <c:pt idx="592">
                  <c:v>304.0</c:v>
                </c:pt>
                <c:pt idx="593">
                  <c:v>303.5</c:v>
                </c:pt>
                <c:pt idx="594">
                  <c:v>303.0</c:v>
                </c:pt>
                <c:pt idx="595">
                  <c:v>302.5</c:v>
                </c:pt>
                <c:pt idx="596">
                  <c:v>302.0</c:v>
                </c:pt>
                <c:pt idx="597">
                  <c:v>301.5</c:v>
                </c:pt>
                <c:pt idx="598">
                  <c:v>301.0</c:v>
                </c:pt>
                <c:pt idx="599">
                  <c:v>300.5</c:v>
                </c:pt>
                <c:pt idx="600">
                  <c:v>300.0</c:v>
                </c:pt>
                <c:pt idx="601">
                  <c:v>299.5</c:v>
                </c:pt>
                <c:pt idx="602">
                  <c:v>299.0</c:v>
                </c:pt>
                <c:pt idx="603">
                  <c:v>298.5</c:v>
                </c:pt>
                <c:pt idx="604">
                  <c:v>298.0</c:v>
                </c:pt>
                <c:pt idx="605">
                  <c:v>297.5</c:v>
                </c:pt>
                <c:pt idx="606">
                  <c:v>297.0</c:v>
                </c:pt>
                <c:pt idx="607">
                  <c:v>296.5</c:v>
                </c:pt>
                <c:pt idx="608">
                  <c:v>296.0</c:v>
                </c:pt>
                <c:pt idx="609">
                  <c:v>295.5</c:v>
                </c:pt>
                <c:pt idx="610">
                  <c:v>295.0</c:v>
                </c:pt>
                <c:pt idx="611">
                  <c:v>294.5</c:v>
                </c:pt>
                <c:pt idx="612">
                  <c:v>294.0</c:v>
                </c:pt>
                <c:pt idx="613">
                  <c:v>293.5</c:v>
                </c:pt>
                <c:pt idx="614">
                  <c:v>293.0</c:v>
                </c:pt>
                <c:pt idx="615">
                  <c:v>292.5</c:v>
                </c:pt>
                <c:pt idx="616">
                  <c:v>292.0</c:v>
                </c:pt>
                <c:pt idx="617">
                  <c:v>291.5</c:v>
                </c:pt>
                <c:pt idx="618">
                  <c:v>291.0</c:v>
                </c:pt>
                <c:pt idx="619">
                  <c:v>290.5</c:v>
                </c:pt>
                <c:pt idx="620">
                  <c:v>290.0</c:v>
                </c:pt>
                <c:pt idx="621">
                  <c:v>289.5</c:v>
                </c:pt>
                <c:pt idx="622">
                  <c:v>289.0</c:v>
                </c:pt>
                <c:pt idx="623">
                  <c:v>288.5</c:v>
                </c:pt>
                <c:pt idx="624">
                  <c:v>288.0</c:v>
                </c:pt>
                <c:pt idx="625">
                  <c:v>287.5</c:v>
                </c:pt>
                <c:pt idx="626">
                  <c:v>287.0</c:v>
                </c:pt>
                <c:pt idx="627">
                  <c:v>286.5</c:v>
                </c:pt>
                <c:pt idx="628">
                  <c:v>286.0</c:v>
                </c:pt>
                <c:pt idx="629">
                  <c:v>285.5</c:v>
                </c:pt>
                <c:pt idx="630">
                  <c:v>285.0</c:v>
                </c:pt>
                <c:pt idx="631">
                  <c:v>284.5</c:v>
                </c:pt>
                <c:pt idx="632">
                  <c:v>284.0</c:v>
                </c:pt>
                <c:pt idx="633">
                  <c:v>283.5</c:v>
                </c:pt>
                <c:pt idx="634">
                  <c:v>283.0</c:v>
                </c:pt>
                <c:pt idx="635">
                  <c:v>282.5</c:v>
                </c:pt>
                <c:pt idx="636">
                  <c:v>282.0</c:v>
                </c:pt>
                <c:pt idx="637">
                  <c:v>281.5</c:v>
                </c:pt>
                <c:pt idx="638">
                  <c:v>281.0</c:v>
                </c:pt>
                <c:pt idx="639">
                  <c:v>280.5</c:v>
                </c:pt>
                <c:pt idx="640">
                  <c:v>280.0</c:v>
                </c:pt>
                <c:pt idx="641">
                  <c:v>279.5</c:v>
                </c:pt>
                <c:pt idx="642">
                  <c:v>279.0</c:v>
                </c:pt>
                <c:pt idx="643">
                  <c:v>278.5</c:v>
                </c:pt>
                <c:pt idx="644">
                  <c:v>278.0</c:v>
                </c:pt>
                <c:pt idx="645">
                  <c:v>277.5</c:v>
                </c:pt>
                <c:pt idx="646">
                  <c:v>277.0</c:v>
                </c:pt>
                <c:pt idx="647">
                  <c:v>276.5</c:v>
                </c:pt>
                <c:pt idx="648">
                  <c:v>276.0</c:v>
                </c:pt>
                <c:pt idx="649">
                  <c:v>275.5</c:v>
                </c:pt>
                <c:pt idx="650">
                  <c:v>275.0</c:v>
                </c:pt>
                <c:pt idx="651">
                  <c:v>274.5</c:v>
                </c:pt>
                <c:pt idx="652">
                  <c:v>274.0</c:v>
                </c:pt>
                <c:pt idx="653">
                  <c:v>273.5</c:v>
                </c:pt>
                <c:pt idx="654">
                  <c:v>273.0</c:v>
                </c:pt>
                <c:pt idx="655">
                  <c:v>272.5</c:v>
                </c:pt>
                <c:pt idx="656">
                  <c:v>272.0</c:v>
                </c:pt>
                <c:pt idx="657">
                  <c:v>271.5</c:v>
                </c:pt>
                <c:pt idx="658">
                  <c:v>271.0</c:v>
                </c:pt>
                <c:pt idx="659">
                  <c:v>270.5</c:v>
                </c:pt>
                <c:pt idx="660">
                  <c:v>270.0</c:v>
                </c:pt>
                <c:pt idx="661">
                  <c:v>269.5</c:v>
                </c:pt>
                <c:pt idx="662">
                  <c:v>269.0</c:v>
                </c:pt>
                <c:pt idx="663">
                  <c:v>268.5</c:v>
                </c:pt>
                <c:pt idx="664">
                  <c:v>268.0</c:v>
                </c:pt>
                <c:pt idx="665">
                  <c:v>267.5</c:v>
                </c:pt>
                <c:pt idx="666">
                  <c:v>267.0</c:v>
                </c:pt>
                <c:pt idx="667">
                  <c:v>266.5</c:v>
                </c:pt>
                <c:pt idx="668">
                  <c:v>266.0</c:v>
                </c:pt>
                <c:pt idx="669">
                  <c:v>265.5</c:v>
                </c:pt>
                <c:pt idx="670">
                  <c:v>265.0</c:v>
                </c:pt>
                <c:pt idx="671">
                  <c:v>264.5</c:v>
                </c:pt>
                <c:pt idx="672">
                  <c:v>264.0</c:v>
                </c:pt>
                <c:pt idx="673">
                  <c:v>263.5</c:v>
                </c:pt>
                <c:pt idx="674">
                  <c:v>263.0</c:v>
                </c:pt>
                <c:pt idx="675">
                  <c:v>262.5</c:v>
                </c:pt>
                <c:pt idx="676">
                  <c:v>262.0</c:v>
                </c:pt>
                <c:pt idx="677">
                  <c:v>261.5</c:v>
                </c:pt>
                <c:pt idx="678">
                  <c:v>261.0</c:v>
                </c:pt>
                <c:pt idx="679">
                  <c:v>260.5</c:v>
                </c:pt>
                <c:pt idx="680">
                  <c:v>260.0</c:v>
                </c:pt>
                <c:pt idx="681">
                  <c:v>259.5</c:v>
                </c:pt>
                <c:pt idx="682">
                  <c:v>259.0</c:v>
                </c:pt>
                <c:pt idx="683">
                  <c:v>258.5</c:v>
                </c:pt>
                <c:pt idx="684">
                  <c:v>258.0</c:v>
                </c:pt>
                <c:pt idx="685">
                  <c:v>257.5</c:v>
                </c:pt>
                <c:pt idx="686">
                  <c:v>257.0</c:v>
                </c:pt>
                <c:pt idx="687">
                  <c:v>256.5</c:v>
                </c:pt>
                <c:pt idx="688">
                  <c:v>256.0</c:v>
                </c:pt>
                <c:pt idx="689">
                  <c:v>255.5</c:v>
                </c:pt>
                <c:pt idx="690">
                  <c:v>255.0</c:v>
                </c:pt>
                <c:pt idx="691">
                  <c:v>254.5</c:v>
                </c:pt>
                <c:pt idx="692">
                  <c:v>254.0</c:v>
                </c:pt>
                <c:pt idx="693">
                  <c:v>253.5</c:v>
                </c:pt>
                <c:pt idx="694">
                  <c:v>253.0</c:v>
                </c:pt>
                <c:pt idx="695">
                  <c:v>252.5</c:v>
                </c:pt>
                <c:pt idx="696">
                  <c:v>252.0</c:v>
                </c:pt>
                <c:pt idx="697">
                  <c:v>251.5</c:v>
                </c:pt>
                <c:pt idx="698">
                  <c:v>251.0</c:v>
                </c:pt>
                <c:pt idx="699">
                  <c:v>250.5</c:v>
                </c:pt>
                <c:pt idx="700">
                  <c:v>250.0</c:v>
                </c:pt>
                <c:pt idx="701">
                  <c:v>249.5</c:v>
                </c:pt>
                <c:pt idx="702">
                  <c:v>249.0</c:v>
                </c:pt>
                <c:pt idx="703">
                  <c:v>248.5</c:v>
                </c:pt>
                <c:pt idx="704">
                  <c:v>248.0</c:v>
                </c:pt>
                <c:pt idx="705">
                  <c:v>247.5</c:v>
                </c:pt>
                <c:pt idx="706">
                  <c:v>247.0</c:v>
                </c:pt>
                <c:pt idx="707">
                  <c:v>246.5</c:v>
                </c:pt>
                <c:pt idx="708">
                  <c:v>246.0</c:v>
                </c:pt>
                <c:pt idx="709">
                  <c:v>245.5</c:v>
                </c:pt>
                <c:pt idx="710">
                  <c:v>245.0</c:v>
                </c:pt>
                <c:pt idx="711">
                  <c:v>244.5</c:v>
                </c:pt>
                <c:pt idx="712">
                  <c:v>244.0</c:v>
                </c:pt>
                <c:pt idx="713">
                  <c:v>243.5</c:v>
                </c:pt>
                <c:pt idx="714">
                  <c:v>243.0</c:v>
                </c:pt>
                <c:pt idx="715">
                  <c:v>242.5</c:v>
                </c:pt>
                <c:pt idx="716">
                  <c:v>242.0</c:v>
                </c:pt>
                <c:pt idx="717">
                  <c:v>241.5</c:v>
                </c:pt>
                <c:pt idx="718">
                  <c:v>241.0</c:v>
                </c:pt>
                <c:pt idx="719">
                  <c:v>240.5</c:v>
                </c:pt>
                <c:pt idx="720">
                  <c:v>240.0</c:v>
                </c:pt>
                <c:pt idx="721">
                  <c:v>239.5</c:v>
                </c:pt>
                <c:pt idx="722">
                  <c:v>239.0</c:v>
                </c:pt>
                <c:pt idx="723">
                  <c:v>238.5</c:v>
                </c:pt>
                <c:pt idx="724">
                  <c:v>238.0</c:v>
                </c:pt>
                <c:pt idx="725">
                  <c:v>237.5</c:v>
                </c:pt>
                <c:pt idx="726">
                  <c:v>237.0</c:v>
                </c:pt>
                <c:pt idx="727">
                  <c:v>236.5</c:v>
                </c:pt>
                <c:pt idx="728">
                  <c:v>236.0</c:v>
                </c:pt>
                <c:pt idx="729">
                  <c:v>235.5</c:v>
                </c:pt>
                <c:pt idx="730">
                  <c:v>235.0</c:v>
                </c:pt>
                <c:pt idx="731">
                  <c:v>234.5</c:v>
                </c:pt>
                <c:pt idx="732">
                  <c:v>234.0</c:v>
                </c:pt>
                <c:pt idx="733">
                  <c:v>233.5</c:v>
                </c:pt>
                <c:pt idx="734">
                  <c:v>233.0</c:v>
                </c:pt>
                <c:pt idx="735">
                  <c:v>232.5</c:v>
                </c:pt>
                <c:pt idx="736">
                  <c:v>232.0</c:v>
                </c:pt>
                <c:pt idx="737">
                  <c:v>231.5</c:v>
                </c:pt>
                <c:pt idx="738">
                  <c:v>231.0</c:v>
                </c:pt>
                <c:pt idx="739">
                  <c:v>230.5</c:v>
                </c:pt>
                <c:pt idx="740">
                  <c:v>230.0</c:v>
                </c:pt>
                <c:pt idx="741">
                  <c:v>229.5</c:v>
                </c:pt>
                <c:pt idx="742">
                  <c:v>229.0</c:v>
                </c:pt>
                <c:pt idx="743">
                  <c:v>228.5</c:v>
                </c:pt>
                <c:pt idx="744">
                  <c:v>228.0</c:v>
                </c:pt>
                <c:pt idx="745">
                  <c:v>227.5</c:v>
                </c:pt>
                <c:pt idx="746">
                  <c:v>227.0</c:v>
                </c:pt>
                <c:pt idx="747">
                  <c:v>226.5</c:v>
                </c:pt>
                <c:pt idx="748">
                  <c:v>226.0</c:v>
                </c:pt>
                <c:pt idx="749">
                  <c:v>225.5</c:v>
                </c:pt>
                <c:pt idx="750">
                  <c:v>225.0</c:v>
                </c:pt>
                <c:pt idx="751">
                  <c:v>224.5</c:v>
                </c:pt>
                <c:pt idx="752">
                  <c:v>224.0</c:v>
                </c:pt>
                <c:pt idx="753">
                  <c:v>223.5</c:v>
                </c:pt>
                <c:pt idx="754">
                  <c:v>223.0</c:v>
                </c:pt>
                <c:pt idx="755">
                  <c:v>222.5</c:v>
                </c:pt>
                <c:pt idx="756">
                  <c:v>222.0</c:v>
                </c:pt>
                <c:pt idx="757">
                  <c:v>221.5</c:v>
                </c:pt>
                <c:pt idx="758">
                  <c:v>221.0</c:v>
                </c:pt>
                <c:pt idx="759">
                  <c:v>220.5</c:v>
                </c:pt>
                <c:pt idx="760">
                  <c:v>220.0</c:v>
                </c:pt>
                <c:pt idx="761">
                  <c:v>219.5</c:v>
                </c:pt>
                <c:pt idx="762">
                  <c:v>219.0</c:v>
                </c:pt>
                <c:pt idx="763">
                  <c:v>218.5</c:v>
                </c:pt>
                <c:pt idx="764">
                  <c:v>218.0</c:v>
                </c:pt>
                <c:pt idx="765">
                  <c:v>217.5</c:v>
                </c:pt>
                <c:pt idx="766">
                  <c:v>217.0</c:v>
                </c:pt>
                <c:pt idx="767">
                  <c:v>216.5</c:v>
                </c:pt>
                <c:pt idx="768">
                  <c:v>216.0</c:v>
                </c:pt>
                <c:pt idx="769">
                  <c:v>215.5</c:v>
                </c:pt>
                <c:pt idx="770">
                  <c:v>215.0</c:v>
                </c:pt>
                <c:pt idx="771">
                  <c:v>214.5</c:v>
                </c:pt>
                <c:pt idx="772">
                  <c:v>214.0</c:v>
                </c:pt>
                <c:pt idx="773">
                  <c:v>213.5</c:v>
                </c:pt>
                <c:pt idx="774">
                  <c:v>213.0</c:v>
                </c:pt>
                <c:pt idx="775">
                  <c:v>212.5</c:v>
                </c:pt>
                <c:pt idx="776">
                  <c:v>212.0</c:v>
                </c:pt>
                <c:pt idx="777">
                  <c:v>211.5</c:v>
                </c:pt>
                <c:pt idx="778">
                  <c:v>211.0</c:v>
                </c:pt>
                <c:pt idx="779">
                  <c:v>210.5</c:v>
                </c:pt>
                <c:pt idx="780">
                  <c:v>210.0</c:v>
                </c:pt>
                <c:pt idx="781">
                  <c:v>209.5</c:v>
                </c:pt>
                <c:pt idx="782">
                  <c:v>209.0</c:v>
                </c:pt>
                <c:pt idx="783">
                  <c:v>208.5</c:v>
                </c:pt>
                <c:pt idx="784">
                  <c:v>208.0</c:v>
                </c:pt>
                <c:pt idx="785">
                  <c:v>207.5</c:v>
                </c:pt>
                <c:pt idx="786">
                  <c:v>207.0</c:v>
                </c:pt>
                <c:pt idx="787">
                  <c:v>206.5</c:v>
                </c:pt>
                <c:pt idx="788">
                  <c:v>206.0</c:v>
                </c:pt>
                <c:pt idx="789">
                  <c:v>205.5</c:v>
                </c:pt>
                <c:pt idx="790">
                  <c:v>205.0</c:v>
                </c:pt>
                <c:pt idx="791">
                  <c:v>204.5</c:v>
                </c:pt>
                <c:pt idx="792">
                  <c:v>204.0</c:v>
                </c:pt>
                <c:pt idx="793">
                  <c:v>203.5</c:v>
                </c:pt>
                <c:pt idx="794">
                  <c:v>203.0</c:v>
                </c:pt>
                <c:pt idx="795">
                  <c:v>202.5</c:v>
                </c:pt>
                <c:pt idx="796">
                  <c:v>202.0</c:v>
                </c:pt>
                <c:pt idx="797">
                  <c:v>201.5</c:v>
                </c:pt>
                <c:pt idx="798">
                  <c:v>201.0</c:v>
                </c:pt>
                <c:pt idx="799">
                  <c:v>200.5</c:v>
                </c:pt>
                <c:pt idx="800">
                  <c:v>200.0</c:v>
                </c:pt>
              </c:numCache>
            </c:numRef>
          </c:xVal>
          <c:yVal>
            <c:numRef>
              <c:f>'Macintosh HD:Users:Brian:Desktop:GoMRI:Sand Patty Scans:[Composite.xlsx]12hdark1.asc'!$C$2:$C$802</c:f>
              <c:numCache>
                <c:formatCode>General</c:formatCode>
                <c:ptCount val="801"/>
                <c:pt idx="0">
                  <c:v>0.0323</c:v>
                </c:pt>
                <c:pt idx="1">
                  <c:v>0.0323</c:v>
                </c:pt>
                <c:pt idx="2">
                  <c:v>0.0322</c:v>
                </c:pt>
                <c:pt idx="3">
                  <c:v>0.032</c:v>
                </c:pt>
                <c:pt idx="4">
                  <c:v>0.0319</c:v>
                </c:pt>
                <c:pt idx="5">
                  <c:v>0.0317</c:v>
                </c:pt>
                <c:pt idx="6">
                  <c:v>0.0322</c:v>
                </c:pt>
                <c:pt idx="7">
                  <c:v>0.032</c:v>
                </c:pt>
                <c:pt idx="8">
                  <c:v>0.0319</c:v>
                </c:pt>
                <c:pt idx="9">
                  <c:v>0.0327</c:v>
                </c:pt>
                <c:pt idx="10">
                  <c:v>0.0328</c:v>
                </c:pt>
                <c:pt idx="11">
                  <c:v>0.0324</c:v>
                </c:pt>
                <c:pt idx="12">
                  <c:v>0.0323</c:v>
                </c:pt>
                <c:pt idx="13">
                  <c:v>0.0326</c:v>
                </c:pt>
                <c:pt idx="14">
                  <c:v>0.0329</c:v>
                </c:pt>
                <c:pt idx="15">
                  <c:v>0.033</c:v>
                </c:pt>
                <c:pt idx="16">
                  <c:v>0.0327</c:v>
                </c:pt>
                <c:pt idx="17">
                  <c:v>0.0323</c:v>
                </c:pt>
                <c:pt idx="18">
                  <c:v>0.0324</c:v>
                </c:pt>
                <c:pt idx="19">
                  <c:v>0.0327</c:v>
                </c:pt>
                <c:pt idx="20">
                  <c:v>0.0326</c:v>
                </c:pt>
                <c:pt idx="21">
                  <c:v>0.0322</c:v>
                </c:pt>
                <c:pt idx="22">
                  <c:v>0.0324</c:v>
                </c:pt>
                <c:pt idx="23">
                  <c:v>0.0327</c:v>
                </c:pt>
                <c:pt idx="24">
                  <c:v>0.0327</c:v>
                </c:pt>
                <c:pt idx="25">
                  <c:v>0.0328</c:v>
                </c:pt>
                <c:pt idx="26">
                  <c:v>0.0327</c:v>
                </c:pt>
                <c:pt idx="27">
                  <c:v>0.0326</c:v>
                </c:pt>
                <c:pt idx="28">
                  <c:v>0.0325</c:v>
                </c:pt>
                <c:pt idx="29">
                  <c:v>0.0324</c:v>
                </c:pt>
                <c:pt idx="30">
                  <c:v>0.0322</c:v>
                </c:pt>
                <c:pt idx="31">
                  <c:v>0.0327</c:v>
                </c:pt>
                <c:pt idx="32">
                  <c:v>0.0332</c:v>
                </c:pt>
                <c:pt idx="33">
                  <c:v>0.0328</c:v>
                </c:pt>
                <c:pt idx="34">
                  <c:v>0.0322</c:v>
                </c:pt>
                <c:pt idx="35">
                  <c:v>0.0324</c:v>
                </c:pt>
                <c:pt idx="36">
                  <c:v>0.0327</c:v>
                </c:pt>
                <c:pt idx="37">
                  <c:v>0.0329</c:v>
                </c:pt>
                <c:pt idx="38">
                  <c:v>0.0325</c:v>
                </c:pt>
                <c:pt idx="39">
                  <c:v>0.0326</c:v>
                </c:pt>
                <c:pt idx="40">
                  <c:v>0.0334</c:v>
                </c:pt>
                <c:pt idx="41">
                  <c:v>0.0332</c:v>
                </c:pt>
                <c:pt idx="42">
                  <c:v>0.0328</c:v>
                </c:pt>
                <c:pt idx="43">
                  <c:v>0.0328</c:v>
                </c:pt>
                <c:pt idx="44">
                  <c:v>0.033</c:v>
                </c:pt>
                <c:pt idx="45">
                  <c:v>0.0333</c:v>
                </c:pt>
                <c:pt idx="46">
                  <c:v>0.0333</c:v>
                </c:pt>
                <c:pt idx="47">
                  <c:v>0.0331</c:v>
                </c:pt>
                <c:pt idx="48">
                  <c:v>0.0333</c:v>
                </c:pt>
                <c:pt idx="49">
                  <c:v>0.0336</c:v>
                </c:pt>
                <c:pt idx="50">
                  <c:v>0.0332</c:v>
                </c:pt>
                <c:pt idx="51">
                  <c:v>0.033</c:v>
                </c:pt>
                <c:pt idx="52">
                  <c:v>0.0334</c:v>
                </c:pt>
                <c:pt idx="53">
                  <c:v>0.0334</c:v>
                </c:pt>
                <c:pt idx="54">
                  <c:v>0.0332</c:v>
                </c:pt>
                <c:pt idx="55">
                  <c:v>0.0337</c:v>
                </c:pt>
                <c:pt idx="56">
                  <c:v>0.0336</c:v>
                </c:pt>
                <c:pt idx="57">
                  <c:v>0.0328</c:v>
                </c:pt>
                <c:pt idx="58">
                  <c:v>0.0329</c:v>
                </c:pt>
                <c:pt idx="59">
                  <c:v>0.0328</c:v>
                </c:pt>
                <c:pt idx="60">
                  <c:v>0.0326</c:v>
                </c:pt>
                <c:pt idx="61">
                  <c:v>0.0334</c:v>
                </c:pt>
                <c:pt idx="62">
                  <c:v>0.0337</c:v>
                </c:pt>
                <c:pt idx="63">
                  <c:v>0.0332</c:v>
                </c:pt>
                <c:pt idx="64">
                  <c:v>0.0332</c:v>
                </c:pt>
                <c:pt idx="65">
                  <c:v>0.0333</c:v>
                </c:pt>
                <c:pt idx="66">
                  <c:v>0.0335</c:v>
                </c:pt>
                <c:pt idx="67">
                  <c:v>0.0335</c:v>
                </c:pt>
                <c:pt idx="68">
                  <c:v>0.0334</c:v>
                </c:pt>
                <c:pt idx="69">
                  <c:v>0.0333</c:v>
                </c:pt>
                <c:pt idx="70">
                  <c:v>0.0337</c:v>
                </c:pt>
                <c:pt idx="71">
                  <c:v>0.0341</c:v>
                </c:pt>
                <c:pt idx="72">
                  <c:v>0.0334</c:v>
                </c:pt>
                <c:pt idx="73">
                  <c:v>0.0334</c:v>
                </c:pt>
                <c:pt idx="74">
                  <c:v>0.0339</c:v>
                </c:pt>
                <c:pt idx="75">
                  <c:v>0.0341</c:v>
                </c:pt>
                <c:pt idx="76">
                  <c:v>0.0338</c:v>
                </c:pt>
                <c:pt idx="77">
                  <c:v>0.0335</c:v>
                </c:pt>
                <c:pt idx="78">
                  <c:v>0.034</c:v>
                </c:pt>
                <c:pt idx="79">
                  <c:v>0.0345</c:v>
                </c:pt>
                <c:pt idx="80">
                  <c:v>0.0344</c:v>
                </c:pt>
                <c:pt idx="81">
                  <c:v>0.0339</c:v>
                </c:pt>
                <c:pt idx="82">
                  <c:v>0.0338</c:v>
                </c:pt>
                <c:pt idx="83">
                  <c:v>0.0343</c:v>
                </c:pt>
                <c:pt idx="84">
                  <c:v>0.0345</c:v>
                </c:pt>
                <c:pt idx="85">
                  <c:v>0.0345</c:v>
                </c:pt>
                <c:pt idx="86">
                  <c:v>0.0342</c:v>
                </c:pt>
                <c:pt idx="87">
                  <c:v>0.0341</c:v>
                </c:pt>
                <c:pt idx="88">
                  <c:v>0.0348</c:v>
                </c:pt>
                <c:pt idx="89">
                  <c:v>0.0344</c:v>
                </c:pt>
                <c:pt idx="90">
                  <c:v>0.0339</c:v>
                </c:pt>
                <c:pt idx="91">
                  <c:v>0.0346</c:v>
                </c:pt>
                <c:pt idx="92">
                  <c:v>0.0352</c:v>
                </c:pt>
                <c:pt idx="93">
                  <c:v>0.035</c:v>
                </c:pt>
                <c:pt idx="94">
                  <c:v>0.0347</c:v>
                </c:pt>
                <c:pt idx="95">
                  <c:v>0.0349</c:v>
                </c:pt>
                <c:pt idx="96">
                  <c:v>0.0352</c:v>
                </c:pt>
                <c:pt idx="97">
                  <c:v>0.0351</c:v>
                </c:pt>
                <c:pt idx="98">
                  <c:v>0.0348</c:v>
                </c:pt>
                <c:pt idx="99">
                  <c:v>0.0342</c:v>
                </c:pt>
                <c:pt idx="100">
                  <c:v>0.034</c:v>
                </c:pt>
                <c:pt idx="101">
                  <c:v>0.0347</c:v>
                </c:pt>
                <c:pt idx="102">
                  <c:v>0.0345</c:v>
                </c:pt>
                <c:pt idx="103">
                  <c:v>0.0342</c:v>
                </c:pt>
                <c:pt idx="104">
                  <c:v>0.0348</c:v>
                </c:pt>
                <c:pt idx="105">
                  <c:v>0.0353</c:v>
                </c:pt>
                <c:pt idx="106">
                  <c:v>0.0353</c:v>
                </c:pt>
                <c:pt idx="107">
                  <c:v>0.0349</c:v>
                </c:pt>
                <c:pt idx="108">
                  <c:v>0.0351</c:v>
                </c:pt>
                <c:pt idx="109">
                  <c:v>0.0356</c:v>
                </c:pt>
                <c:pt idx="110">
                  <c:v>0.0356</c:v>
                </c:pt>
                <c:pt idx="111">
                  <c:v>0.0353</c:v>
                </c:pt>
                <c:pt idx="112">
                  <c:v>0.0351</c:v>
                </c:pt>
                <c:pt idx="113">
                  <c:v>0.0356</c:v>
                </c:pt>
                <c:pt idx="114">
                  <c:v>0.0358</c:v>
                </c:pt>
                <c:pt idx="115">
                  <c:v>0.0349</c:v>
                </c:pt>
                <c:pt idx="116">
                  <c:v>0.0348</c:v>
                </c:pt>
                <c:pt idx="117">
                  <c:v>0.0355</c:v>
                </c:pt>
                <c:pt idx="118">
                  <c:v>0.0355</c:v>
                </c:pt>
                <c:pt idx="119">
                  <c:v>0.0352</c:v>
                </c:pt>
                <c:pt idx="120">
                  <c:v>0.0352</c:v>
                </c:pt>
                <c:pt idx="121">
                  <c:v>0.0358</c:v>
                </c:pt>
                <c:pt idx="122">
                  <c:v>0.0362</c:v>
                </c:pt>
                <c:pt idx="123">
                  <c:v>0.036</c:v>
                </c:pt>
                <c:pt idx="124">
                  <c:v>0.0356</c:v>
                </c:pt>
                <c:pt idx="125">
                  <c:v>0.0356</c:v>
                </c:pt>
                <c:pt idx="126">
                  <c:v>0.036</c:v>
                </c:pt>
                <c:pt idx="127">
                  <c:v>0.0363</c:v>
                </c:pt>
                <c:pt idx="128">
                  <c:v>0.0359</c:v>
                </c:pt>
                <c:pt idx="129">
                  <c:v>0.0358</c:v>
                </c:pt>
                <c:pt idx="130">
                  <c:v>0.0365</c:v>
                </c:pt>
                <c:pt idx="131">
                  <c:v>0.0365</c:v>
                </c:pt>
                <c:pt idx="132">
                  <c:v>0.0356</c:v>
                </c:pt>
                <c:pt idx="133">
                  <c:v>0.0356</c:v>
                </c:pt>
                <c:pt idx="134">
                  <c:v>0.0365</c:v>
                </c:pt>
                <c:pt idx="135">
                  <c:v>0.0367</c:v>
                </c:pt>
                <c:pt idx="136">
                  <c:v>0.0364</c:v>
                </c:pt>
                <c:pt idx="137">
                  <c:v>0.036</c:v>
                </c:pt>
                <c:pt idx="138">
                  <c:v>0.0355</c:v>
                </c:pt>
                <c:pt idx="139">
                  <c:v>0.0356</c:v>
                </c:pt>
                <c:pt idx="140">
                  <c:v>0.0361</c:v>
                </c:pt>
                <c:pt idx="141">
                  <c:v>0.0363</c:v>
                </c:pt>
                <c:pt idx="142">
                  <c:v>0.0359</c:v>
                </c:pt>
                <c:pt idx="143">
                  <c:v>0.0361</c:v>
                </c:pt>
                <c:pt idx="144">
                  <c:v>0.0365</c:v>
                </c:pt>
                <c:pt idx="145">
                  <c:v>0.0367</c:v>
                </c:pt>
                <c:pt idx="146">
                  <c:v>0.0364</c:v>
                </c:pt>
                <c:pt idx="147">
                  <c:v>0.0364</c:v>
                </c:pt>
                <c:pt idx="148">
                  <c:v>0.0369</c:v>
                </c:pt>
                <c:pt idx="149">
                  <c:v>0.037</c:v>
                </c:pt>
                <c:pt idx="150">
                  <c:v>0.0368</c:v>
                </c:pt>
                <c:pt idx="151">
                  <c:v>0.0367</c:v>
                </c:pt>
                <c:pt idx="152">
                  <c:v>0.0371</c:v>
                </c:pt>
                <c:pt idx="153">
                  <c:v>0.0372</c:v>
                </c:pt>
                <c:pt idx="154">
                  <c:v>0.037</c:v>
                </c:pt>
                <c:pt idx="155">
                  <c:v>0.0369</c:v>
                </c:pt>
                <c:pt idx="156">
                  <c:v>0.0368</c:v>
                </c:pt>
                <c:pt idx="157">
                  <c:v>0.0372</c:v>
                </c:pt>
                <c:pt idx="158">
                  <c:v>0.0374</c:v>
                </c:pt>
                <c:pt idx="159">
                  <c:v>0.0372</c:v>
                </c:pt>
                <c:pt idx="160">
                  <c:v>0.0372</c:v>
                </c:pt>
                <c:pt idx="161">
                  <c:v>0.0374</c:v>
                </c:pt>
                <c:pt idx="162">
                  <c:v>0.0376</c:v>
                </c:pt>
                <c:pt idx="163">
                  <c:v>0.0372</c:v>
                </c:pt>
                <c:pt idx="164">
                  <c:v>0.0372</c:v>
                </c:pt>
                <c:pt idx="165">
                  <c:v>0.0374</c:v>
                </c:pt>
                <c:pt idx="166">
                  <c:v>0.0375</c:v>
                </c:pt>
                <c:pt idx="167">
                  <c:v>0.0374</c:v>
                </c:pt>
                <c:pt idx="168">
                  <c:v>0.0375</c:v>
                </c:pt>
                <c:pt idx="169">
                  <c:v>0.038</c:v>
                </c:pt>
                <c:pt idx="170">
                  <c:v>0.0383</c:v>
                </c:pt>
                <c:pt idx="171">
                  <c:v>0.0383</c:v>
                </c:pt>
                <c:pt idx="172">
                  <c:v>0.0381</c:v>
                </c:pt>
                <c:pt idx="173">
                  <c:v>0.0379</c:v>
                </c:pt>
                <c:pt idx="174">
                  <c:v>0.038</c:v>
                </c:pt>
                <c:pt idx="175">
                  <c:v>0.0383</c:v>
                </c:pt>
                <c:pt idx="176">
                  <c:v>0.0383</c:v>
                </c:pt>
                <c:pt idx="177">
                  <c:v>0.0384</c:v>
                </c:pt>
                <c:pt idx="178">
                  <c:v>0.0387</c:v>
                </c:pt>
                <c:pt idx="179">
                  <c:v>0.0387</c:v>
                </c:pt>
                <c:pt idx="180">
                  <c:v>0.0384</c:v>
                </c:pt>
                <c:pt idx="181">
                  <c:v>0.0379</c:v>
                </c:pt>
                <c:pt idx="182">
                  <c:v>0.0384</c:v>
                </c:pt>
                <c:pt idx="183">
                  <c:v>0.0389</c:v>
                </c:pt>
                <c:pt idx="184">
                  <c:v>0.0385</c:v>
                </c:pt>
                <c:pt idx="185">
                  <c:v>0.0386</c:v>
                </c:pt>
                <c:pt idx="186">
                  <c:v>0.039</c:v>
                </c:pt>
                <c:pt idx="187">
                  <c:v>0.0394</c:v>
                </c:pt>
                <c:pt idx="188">
                  <c:v>0.0393</c:v>
                </c:pt>
                <c:pt idx="189">
                  <c:v>0.0392</c:v>
                </c:pt>
                <c:pt idx="190">
                  <c:v>0.0392</c:v>
                </c:pt>
                <c:pt idx="191">
                  <c:v>0.0391</c:v>
                </c:pt>
                <c:pt idx="192">
                  <c:v>0.039</c:v>
                </c:pt>
                <c:pt idx="193">
                  <c:v>0.039</c:v>
                </c:pt>
                <c:pt idx="194">
                  <c:v>0.0392</c:v>
                </c:pt>
                <c:pt idx="195">
                  <c:v>0.0392</c:v>
                </c:pt>
                <c:pt idx="196">
                  <c:v>0.0392</c:v>
                </c:pt>
                <c:pt idx="197">
                  <c:v>0.0393</c:v>
                </c:pt>
                <c:pt idx="198">
                  <c:v>0.0393</c:v>
                </c:pt>
                <c:pt idx="199">
                  <c:v>0.0394</c:v>
                </c:pt>
                <c:pt idx="200">
                  <c:v>0.0392</c:v>
                </c:pt>
                <c:pt idx="201">
                  <c:v>0.0391</c:v>
                </c:pt>
                <c:pt idx="202">
                  <c:v>0.0395</c:v>
                </c:pt>
                <c:pt idx="203">
                  <c:v>0.0402</c:v>
                </c:pt>
                <c:pt idx="204">
                  <c:v>0.04</c:v>
                </c:pt>
                <c:pt idx="205">
                  <c:v>0.0395</c:v>
                </c:pt>
                <c:pt idx="206">
                  <c:v>0.0401</c:v>
                </c:pt>
                <c:pt idx="207">
                  <c:v>0.0409</c:v>
                </c:pt>
                <c:pt idx="208">
                  <c:v>0.0409</c:v>
                </c:pt>
                <c:pt idx="209">
                  <c:v>0.04</c:v>
                </c:pt>
                <c:pt idx="210">
                  <c:v>0.0397</c:v>
                </c:pt>
                <c:pt idx="211">
                  <c:v>0.0412</c:v>
                </c:pt>
                <c:pt idx="212">
                  <c:v>0.0419</c:v>
                </c:pt>
                <c:pt idx="213">
                  <c:v>0.0406</c:v>
                </c:pt>
                <c:pt idx="214">
                  <c:v>0.0403</c:v>
                </c:pt>
                <c:pt idx="215">
                  <c:v>0.0418</c:v>
                </c:pt>
                <c:pt idx="216">
                  <c:v>0.0421</c:v>
                </c:pt>
                <c:pt idx="217">
                  <c:v>0.041</c:v>
                </c:pt>
                <c:pt idx="218">
                  <c:v>0.0406</c:v>
                </c:pt>
                <c:pt idx="219">
                  <c:v>0.0415</c:v>
                </c:pt>
                <c:pt idx="220">
                  <c:v>0.0419</c:v>
                </c:pt>
                <c:pt idx="221">
                  <c:v>0.0414</c:v>
                </c:pt>
                <c:pt idx="222">
                  <c:v>0.041</c:v>
                </c:pt>
                <c:pt idx="223">
                  <c:v>0.0413</c:v>
                </c:pt>
                <c:pt idx="224">
                  <c:v>0.0424</c:v>
                </c:pt>
                <c:pt idx="225">
                  <c:v>0.0424</c:v>
                </c:pt>
                <c:pt idx="226">
                  <c:v>0.0413</c:v>
                </c:pt>
                <c:pt idx="227">
                  <c:v>0.0415</c:v>
                </c:pt>
                <c:pt idx="228">
                  <c:v>0.0425</c:v>
                </c:pt>
                <c:pt idx="229">
                  <c:v>0.0427</c:v>
                </c:pt>
                <c:pt idx="230">
                  <c:v>0.0422</c:v>
                </c:pt>
                <c:pt idx="231">
                  <c:v>0.0423</c:v>
                </c:pt>
                <c:pt idx="232">
                  <c:v>0.0432</c:v>
                </c:pt>
                <c:pt idx="233">
                  <c:v>0.0433</c:v>
                </c:pt>
                <c:pt idx="234">
                  <c:v>0.0428</c:v>
                </c:pt>
                <c:pt idx="235">
                  <c:v>0.0425</c:v>
                </c:pt>
                <c:pt idx="236">
                  <c:v>0.043</c:v>
                </c:pt>
                <c:pt idx="237">
                  <c:v>0.0437</c:v>
                </c:pt>
                <c:pt idx="238">
                  <c:v>0.0433</c:v>
                </c:pt>
                <c:pt idx="239">
                  <c:v>0.0428</c:v>
                </c:pt>
                <c:pt idx="240">
                  <c:v>0.0434</c:v>
                </c:pt>
                <c:pt idx="241">
                  <c:v>0.044</c:v>
                </c:pt>
                <c:pt idx="242">
                  <c:v>0.0437</c:v>
                </c:pt>
                <c:pt idx="243">
                  <c:v>0.0431</c:v>
                </c:pt>
                <c:pt idx="244">
                  <c:v>0.0434</c:v>
                </c:pt>
                <c:pt idx="245">
                  <c:v>0.0445</c:v>
                </c:pt>
                <c:pt idx="246">
                  <c:v>0.045</c:v>
                </c:pt>
                <c:pt idx="247">
                  <c:v>0.0445</c:v>
                </c:pt>
                <c:pt idx="248">
                  <c:v>0.0444</c:v>
                </c:pt>
                <c:pt idx="249">
                  <c:v>0.045</c:v>
                </c:pt>
                <c:pt idx="250">
                  <c:v>0.045</c:v>
                </c:pt>
                <c:pt idx="251">
                  <c:v>0.0443</c:v>
                </c:pt>
                <c:pt idx="252">
                  <c:v>0.0443</c:v>
                </c:pt>
                <c:pt idx="253">
                  <c:v>0.045</c:v>
                </c:pt>
                <c:pt idx="254">
                  <c:v>0.0456</c:v>
                </c:pt>
                <c:pt idx="255">
                  <c:v>0.0451</c:v>
                </c:pt>
                <c:pt idx="256">
                  <c:v>0.0448</c:v>
                </c:pt>
                <c:pt idx="257">
                  <c:v>0.0457</c:v>
                </c:pt>
                <c:pt idx="258">
                  <c:v>0.0455</c:v>
                </c:pt>
                <c:pt idx="259">
                  <c:v>0.0448</c:v>
                </c:pt>
                <c:pt idx="260">
                  <c:v>0.0451</c:v>
                </c:pt>
                <c:pt idx="261">
                  <c:v>0.046</c:v>
                </c:pt>
                <c:pt idx="262">
                  <c:v>0.0466</c:v>
                </c:pt>
                <c:pt idx="263">
                  <c:v>0.0461</c:v>
                </c:pt>
                <c:pt idx="264">
                  <c:v>0.0458</c:v>
                </c:pt>
                <c:pt idx="265">
                  <c:v>0.0462</c:v>
                </c:pt>
                <c:pt idx="266">
                  <c:v>0.0464</c:v>
                </c:pt>
                <c:pt idx="267">
                  <c:v>0.0461</c:v>
                </c:pt>
                <c:pt idx="268">
                  <c:v>0.0459</c:v>
                </c:pt>
                <c:pt idx="269">
                  <c:v>0.0467</c:v>
                </c:pt>
                <c:pt idx="270">
                  <c:v>0.0472</c:v>
                </c:pt>
                <c:pt idx="271">
                  <c:v>0.047</c:v>
                </c:pt>
                <c:pt idx="272">
                  <c:v>0.0466</c:v>
                </c:pt>
                <c:pt idx="273">
                  <c:v>0.0467</c:v>
                </c:pt>
                <c:pt idx="274">
                  <c:v>0.0474</c:v>
                </c:pt>
                <c:pt idx="275">
                  <c:v>0.0479</c:v>
                </c:pt>
                <c:pt idx="276">
                  <c:v>0.0478</c:v>
                </c:pt>
                <c:pt idx="277">
                  <c:v>0.0473</c:v>
                </c:pt>
                <c:pt idx="278">
                  <c:v>0.0478</c:v>
                </c:pt>
                <c:pt idx="279">
                  <c:v>0.0485</c:v>
                </c:pt>
                <c:pt idx="280">
                  <c:v>0.048</c:v>
                </c:pt>
                <c:pt idx="281">
                  <c:v>0.0478</c:v>
                </c:pt>
                <c:pt idx="282">
                  <c:v>0.0484</c:v>
                </c:pt>
                <c:pt idx="283">
                  <c:v>0.049</c:v>
                </c:pt>
                <c:pt idx="284">
                  <c:v>0.0482</c:v>
                </c:pt>
                <c:pt idx="285">
                  <c:v>0.0479</c:v>
                </c:pt>
                <c:pt idx="286">
                  <c:v>0.0488</c:v>
                </c:pt>
                <c:pt idx="287">
                  <c:v>0.0497</c:v>
                </c:pt>
                <c:pt idx="288">
                  <c:v>0.0497</c:v>
                </c:pt>
                <c:pt idx="289">
                  <c:v>0.0491</c:v>
                </c:pt>
                <c:pt idx="290">
                  <c:v>0.0491</c:v>
                </c:pt>
                <c:pt idx="291">
                  <c:v>0.0498</c:v>
                </c:pt>
                <c:pt idx="292">
                  <c:v>0.0497</c:v>
                </c:pt>
                <c:pt idx="293">
                  <c:v>0.0494</c:v>
                </c:pt>
                <c:pt idx="294">
                  <c:v>0.0497</c:v>
                </c:pt>
                <c:pt idx="295">
                  <c:v>0.0504</c:v>
                </c:pt>
                <c:pt idx="296">
                  <c:v>0.0505</c:v>
                </c:pt>
                <c:pt idx="297">
                  <c:v>0.05</c:v>
                </c:pt>
                <c:pt idx="298">
                  <c:v>0.0506</c:v>
                </c:pt>
                <c:pt idx="299">
                  <c:v>0.0514</c:v>
                </c:pt>
                <c:pt idx="300">
                  <c:v>0.0516</c:v>
                </c:pt>
                <c:pt idx="301">
                  <c:v>0.0513</c:v>
                </c:pt>
                <c:pt idx="302">
                  <c:v>0.0513</c:v>
                </c:pt>
                <c:pt idx="303">
                  <c:v>0.0523</c:v>
                </c:pt>
                <c:pt idx="304">
                  <c:v>0.0529</c:v>
                </c:pt>
                <c:pt idx="305">
                  <c:v>0.0521</c:v>
                </c:pt>
                <c:pt idx="306">
                  <c:v>0.0516</c:v>
                </c:pt>
                <c:pt idx="307">
                  <c:v>0.0525</c:v>
                </c:pt>
                <c:pt idx="308">
                  <c:v>0.053</c:v>
                </c:pt>
                <c:pt idx="309">
                  <c:v>0.0528</c:v>
                </c:pt>
                <c:pt idx="310">
                  <c:v>0.0525</c:v>
                </c:pt>
                <c:pt idx="311">
                  <c:v>0.0528</c:v>
                </c:pt>
                <c:pt idx="312">
                  <c:v>0.0535</c:v>
                </c:pt>
                <c:pt idx="313">
                  <c:v>0.0538</c:v>
                </c:pt>
                <c:pt idx="314">
                  <c:v>0.0537</c:v>
                </c:pt>
                <c:pt idx="315">
                  <c:v>0.0535</c:v>
                </c:pt>
                <c:pt idx="316">
                  <c:v>0.054</c:v>
                </c:pt>
                <c:pt idx="317">
                  <c:v>0.0546</c:v>
                </c:pt>
                <c:pt idx="318">
                  <c:v>0.054</c:v>
                </c:pt>
                <c:pt idx="319">
                  <c:v>0.0538</c:v>
                </c:pt>
                <c:pt idx="320">
                  <c:v>0.0547</c:v>
                </c:pt>
                <c:pt idx="321">
                  <c:v>0.0553</c:v>
                </c:pt>
                <c:pt idx="322">
                  <c:v>0.0553</c:v>
                </c:pt>
                <c:pt idx="323">
                  <c:v>0.055</c:v>
                </c:pt>
                <c:pt idx="324">
                  <c:v>0.0554</c:v>
                </c:pt>
                <c:pt idx="325">
                  <c:v>0.0558</c:v>
                </c:pt>
                <c:pt idx="326">
                  <c:v>0.0559</c:v>
                </c:pt>
                <c:pt idx="327">
                  <c:v>0.0554</c:v>
                </c:pt>
                <c:pt idx="328">
                  <c:v>0.0555</c:v>
                </c:pt>
                <c:pt idx="329">
                  <c:v>0.0561</c:v>
                </c:pt>
                <c:pt idx="330">
                  <c:v>0.0561</c:v>
                </c:pt>
                <c:pt idx="331">
                  <c:v>0.0557</c:v>
                </c:pt>
                <c:pt idx="332">
                  <c:v>0.056</c:v>
                </c:pt>
                <c:pt idx="333">
                  <c:v>0.057</c:v>
                </c:pt>
                <c:pt idx="334">
                  <c:v>0.0574</c:v>
                </c:pt>
                <c:pt idx="335">
                  <c:v>0.0564</c:v>
                </c:pt>
                <c:pt idx="336">
                  <c:v>0.0562</c:v>
                </c:pt>
                <c:pt idx="337">
                  <c:v>0.058</c:v>
                </c:pt>
                <c:pt idx="338">
                  <c:v>0.0586</c:v>
                </c:pt>
                <c:pt idx="339">
                  <c:v>0.0581</c:v>
                </c:pt>
                <c:pt idx="340">
                  <c:v>0.0577</c:v>
                </c:pt>
                <c:pt idx="341">
                  <c:v>0.0585</c:v>
                </c:pt>
                <c:pt idx="342">
                  <c:v>0.059</c:v>
                </c:pt>
                <c:pt idx="343">
                  <c:v>0.0585</c:v>
                </c:pt>
                <c:pt idx="344">
                  <c:v>0.0587</c:v>
                </c:pt>
                <c:pt idx="345">
                  <c:v>0.0597</c:v>
                </c:pt>
                <c:pt idx="346">
                  <c:v>0.0601</c:v>
                </c:pt>
                <c:pt idx="347">
                  <c:v>0.06</c:v>
                </c:pt>
                <c:pt idx="348">
                  <c:v>0.0597</c:v>
                </c:pt>
                <c:pt idx="349">
                  <c:v>0.0601</c:v>
                </c:pt>
                <c:pt idx="350">
                  <c:v>0.0614</c:v>
                </c:pt>
                <c:pt idx="351">
                  <c:v>0.0617</c:v>
                </c:pt>
                <c:pt idx="352">
                  <c:v>0.0608</c:v>
                </c:pt>
                <c:pt idx="353">
                  <c:v>0.0603</c:v>
                </c:pt>
                <c:pt idx="354">
                  <c:v>0.0615</c:v>
                </c:pt>
                <c:pt idx="355">
                  <c:v>0.0627</c:v>
                </c:pt>
                <c:pt idx="356">
                  <c:v>0.0621</c:v>
                </c:pt>
                <c:pt idx="357">
                  <c:v>0.0615</c:v>
                </c:pt>
                <c:pt idx="358">
                  <c:v>0.0625</c:v>
                </c:pt>
                <c:pt idx="359">
                  <c:v>0.0631</c:v>
                </c:pt>
                <c:pt idx="360">
                  <c:v>0.0623</c:v>
                </c:pt>
                <c:pt idx="361">
                  <c:v>0.062</c:v>
                </c:pt>
                <c:pt idx="362">
                  <c:v>0.063</c:v>
                </c:pt>
                <c:pt idx="363">
                  <c:v>0.0634</c:v>
                </c:pt>
                <c:pt idx="364">
                  <c:v>0.0628</c:v>
                </c:pt>
                <c:pt idx="365">
                  <c:v>0.063</c:v>
                </c:pt>
                <c:pt idx="366">
                  <c:v>0.0642</c:v>
                </c:pt>
                <c:pt idx="367">
                  <c:v>0.0649</c:v>
                </c:pt>
                <c:pt idx="368">
                  <c:v>0.0644</c:v>
                </c:pt>
                <c:pt idx="369">
                  <c:v>0.0646</c:v>
                </c:pt>
                <c:pt idx="370">
                  <c:v>0.0653</c:v>
                </c:pt>
                <c:pt idx="371">
                  <c:v>0.0656</c:v>
                </c:pt>
                <c:pt idx="372">
                  <c:v>0.0657</c:v>
                </c:pt>
                <c:pt idx="373">
                  <c:v>0.0659</c:v>
                </c:pt>
                <c:pt idx="374">
                  <c:v>0.066</c:v>
                </c:pt>
                <c:pt idx="375">
                  <c:v>0.0667</c:v>
                </c:pt>
                <c:pt idx="376">
                  <c:v>0.0665</c:v>
                </c:pt>
                <c:pt idx="377">
                  <c:v>0.0655</c:v>
                </c:pt>
                <c:pt idx="378">
                  <c:v>0.0663</c:v>
                </c:pt>
                <c:pt idx="379">
                  <c:v>0.0677</c:v>
                </c:pt>
                <c:pt idx="380">
                  <c:v>0.0683</c:v>
                </c:pt>
                <c:pt idx="381">
                  <c:v>0.0675</c:v>
                </c:pt>
                <c:pt idx="382">
                  <c:v>0.0666</c:v>
                </c:pt>
                <c:pt idx="383">
                  <c:v>0.0677</c:v>
                </c:pt>
                <c:pt idx="384">
                  <c:v>0.0685</c:v>
                </c:pt>
                <c:pt idx="385">
                  <c:v>0.0678</c:v>
                </c:pt>
                <c:pt idx="386">
                  <c:v>0.0674</c:v>
                </c:pt>
                <c:pt idx="387">
                  <c:v>0.0688</c:v>
                </c:pt>
                <c:pt idx="388">
                  <c:v>0.0691</c:v>
                </c:pt>
                <c:pt idx="389">
                  <c:v>0.0688</c:v>
                </c:pt>
                <c:pt idx="390">
                  <c:v>0.0689</c:v>
                </c:pt>
                <c:pt idx="391">
                  <c:v>0.0695</c:v>
                </c:pt>
                <c:pt idx="392">
                  <c:v>0.0701</c:v>
                </c:pt>
                <c:pt idx="393">
                  <c:v>0.0696</c:v>
                </c:pt>
                <c:pt idx="394">
                  <c:v>0.0701</c:v>
                </c:pt>
                <c:pt idx="395">
                  <c:v>0.0708</c:v>
                </c:pt>
                <c:pt idx="396">
                  <c:v>0.0711</c:v>
                </c:pt>
                <c:pt idx="397">
                  <c:v>0.0711</c:v>
                </c:pt>
                <c:pt idx="398">
                  <c:v>0.0713</c:v>
                </c:pt>
                <c:pt idx="399">
                  <c:v>0.0717</c:v>
                </c:pt>
                <c:pt idx="400">
                  <c:v>0.0724</c:v>
                </c:pt>
                <c:pt idx="401">
                  <c:v>0.0727</c:v>
                </c:pt>
                <c:pt idx="402">
                  <c:v>0.0719</c:v>
                </c:pt>
                <c:pt idx="403">
                  <c:v>0.072</c:v>
                </c:pt>
                <c:pt idx="404">
                  <c:v>0.0727</c:v>
                </c:pt>
                <c:pt idx="405">
                  <c:v>0.0724</c:v>
                </c:pt>
                <c:pt idx="406">
                  <c:v>0.0721</c:v>
                </c:pt>
                <c:pt idx="407">
                  <c:v>0.0725</c:v>
                </c:pt>
                <c:pt idx="408">
                  <c:v>0.0737</c:v>
                </c:pt>
                <c:pt idx="409">
                  <c:v>0.0748</c:v>
                </c:pt>
                <c:pt idx="410">
                  <c:v>0.074</c:v>
                </c:pt>
                <c:pt idx="411">
                  <c:v>0.0735</c:v>
                </c:pt>
                <c:pt idx="412">
                  <c:v>0.0751</c:v>
                </c:pt>
                <c:pt idx="413">
                  <c:v>0.0762</c:v>
                </c:pt>
                <c:pt idx="414">
                  <c:v>0.0755</c:v>
                </c:pt>
                <c:pt idx="415">
                  <c:v>0.0754</c:v>
                </c:pt>
                <c:pt idx="416">
                  <c:v>0.0759</c:v>
                </c:pt>
                <c:pt idx="417">
                  <c:v>0.0762</c:v>
                </c:pt>
                <c:pt idx="418">
                  <c:v>0.0768</c:v>
                </c:pt>
                <c:pt idx="419">
                  <c:v>0.0771</c:v>
                </c:pt>
                <c:pt idx="420">
                  <c:v>0.0776</c:v>
                </c:pt>
                <c:pt idx="421">
                  <c:v>0.0789</c:v>
                </c:pt>
                <c:pt idx="422">
                  <c:v>0.079</c:v>
                </c:pt>
                <c:pt idx="423">
                  <c:v>0.078</c:v>
                </c:pt>
                <c:pt idx="424">
                  <c:v>0.0778</c:v>
                </c:pt>
                <c:pt idx="425">
                  <c:v>0.079</c:v>
                </c:pt>
                <c:pt idx="426">
                  <c:v>0.0793</c:v>
                </c:pt>
                <c:pt idx="427">
                  <c:v>0.0787</c:v>
                </c:pt>
                <c:pt idx="428">
                  <c:v>0.0789</c:v>
                </c:pt>
                <c:pt idx="429">
                  <c:v>0.0797</c:v>
                </c:pt>
                <c:pt idx="430">
                  <c:v>0.0808</c:v>
                </c:pt>
                <c:pt idx="431">
                  <c:v>0.0806</c:v>
                </c:pt>
                <c:pt idx="432">
                  <c:v>0.0805</c:v>
                </c:pt>
                <c:pt idx="433">
                  <c:v>0.0822</c:v>
                </c:pt>
                <c:pt idx="434">
                  <c:v>0.0827</c:v>
                </c:pt>
                <c:pt idx="435">
                  <c:v>0.0812</c:v>
                </c:pt>
                <c:pt idx="436">
                  <c:v>0.0815</c:v>
                </c:pt>
                <c:pt idx="437">
                  <c:v>0.0835</c:v>
                </c:pt>
                <c:pt idx="438">
                  <c:v>0.0843</c:v>
                </c:pt>
                <c:pt idx="439">
                  <c:v>0.0836</c:v>
                </c:pt>
                <c:pt idx="440">
                  <c:v>0.0833</c:v>
                </c:pt>
                <c:pt idx="441">
                  <c:v>0.0846</c:v>
                </c:pt>
                <c:pt idx="442">
                  <c:v>0.0857</c:v>
                </c:pt>
                <c:pt idx="443">
                  <c:v>0.0853</c:v>
                </c:pt>
                <c:pt idx="444">
                  <c:v>0.0851</c:v>
                </c:pt>
                <c:pt idx="445">
                  <c:v>0.0863</c:v>
                </c:pt>
                <c:pt idx="446">
                  <c:v>0.0876</c:v>
                </c:pt>
                <c:pt idx="447">
                  <c:v>0.0876</c:v>
                </c:pt>
                <c:pt idx="448">
                  <c:v>0.0872</c:v>
                </c:pt>
                <c:pt idx="449">
                  <c:v>0.0871</c:v>
                </c:pt>
                <c:pt idx="450">
                  <c:v>0.0887</c:v>
                </c:pt>
                <c:pt idx="451">
                  <c:v>0.0896</c:v>
                </c:pt>
                <c:pt idx="452">
                  <c:v>0.0881</c:v>
                </c:pt>
                <c:pt idx="453">
                  <c:v>0.0879</c:v>
                </c:pt>
                <c:pt idx="454">
                  <c:v>0.09</c:v>
                </c:pt>
                <c:pt idx="455">
                  <c:v>0.0918</c:v>
                </c:pt>
                <c:pt idx="456">
                  <c:v>0.0911</c:v>
                </c:pt>
                <c:pt idx="457">
                  <c:v>0.0901</c:v>
                </c:pt>
                <c:pt idx="458">
                  <c:v>0.0919</c:v>
                </c:pt>
                <c:pt idx="459">
                  <c:v>0.0934</c:v>
                </c:pt>
                <c:pt idx="460">
                  <c:v>0.0925</c:v>
                </c:pt>
                <c:pt idx="461">
                  <c:v>0.0928</c:v>
                </c:pt>
                <c:pt idx="462">
                  <c:v>0.0947</c:v>
                </c:pt>
                <c:pt idx="463">
                  <c:v>0.0962</c:v>
                </c:pt>
                <c:pt idx="464">
                  <c:v>0.0953</c:v>
                </c:pt>
                <c:pt idx="465">
                  <c:v>0.0947</c:v>
                </c:pt>
                <c:pt idx="466">
                  <c:v>0.0963</c:v>
                </c:pt>
                <c:pt idx="467">
                  <c:v>0.0985</c:v>
                </c:pt>
                <c:pt idx="468">
                  <c:v>0.0988</c:v>
                </c:pt>
                <c:pt idx="469">
                  <c:v>0.0973</c:v>
                </c:pt>
                <c:pt idx="470">
                  <c:v>0.0974</c:v>
                </c:pt>
                <c:pt idx="471">
                  <c:v>0.0991</c:v>
                </c:pt>
                <c:pt idx="472">
                  <c:v>0.0998</c:v>
                </c:pt>
                <c:pt idx="473">
                  <c:v>0.0996</c:v>
                </c:pt>
                <c:pt idx="474">
                  <c:v>0.1007</c:v>
                </c:pt>
                <c:pt idx="475">
                  <c:v>0.1032</c:v>
                </c:pt>
                <c:pt idx="476">
                  <c:v>0.1037</c:v>
                </c:pt>
                <c:pt idx="477">
                  <c:v>0.1017</c:v>
                </c:pt>
                <c:pt idx="478">
                  <c:v>0.1017</c:v>
                </c:pt>
                <c:pt idx="479">
                  <c:v>0.1039</c:v>
                </c:pt>
                <c:pt idx="480">
                  <c:v>0.1025</c:v>
                </c:pt>
                <c:pt idx="481">
                  <c:v>0.101</c:v>
                </c:pt>
                <c:pt idx="482">
                  <c:v>0.1018</c:v>
                </c:pt>
                <c:pt idx="483">
                  <c:v>0.1013</c:v>
                </c:pt>
                <c:pt idx="484">
                  <c:v>0.101</c:v>
                </c:pt>
                <c:pt idx="485">
                  <c:v>0.1034</c:v>
                </c:pt>
                <c:pt idx="486">
                  <c:v>0.1036</c:v>
                </c:pt>
                <c:pt idx="487">
                  <c:v>0.1022</c:v>
                </c:pt>
                <c:pt idx="488">
                  <c:v>0.1028</c:v>
                </c:pt>
                <c:pt idx="489">
                  <c:v>0.1014</c:v>
                </c:pt>
                <c:pt idx="490">
                  <c:v>0.1042</c:v>
                </c:pt>
                <c:pt idx="491">
                  <c:v>0.1065</c:v>
                </c:pt>
                <c:pt idx="492">
                  <c:v>0.1045</c:v>
                </c:pt>
                <c:pt idx="493">
                  <c:v>0.1046</c:v>
                </c:pt>
                <c:pt idx="494">
                  <c:v>0.1084</c:v>
                </c:pt>
                <c:pt idx="495">
                  <c:v>0.1121</c:v>
                </c:pt>
                <c:pt idx="496">
                  <c:v>0.1123</c:v>
                </c:pt>
                <c:pt idx="497">
                  <c:v>0.114</c:v>
                </c:pt>
                <c:pt idx="498">
                  <c:v>0.113</c:v>
                </c:pt>
                <c:pt idx="499">
                  <c:v>0.1095</c:v>
                </c:pt>
                <c:pt idx="500">
                  <c:v>0.1122</c:v>
                </c:pt>
                <c:pt idx="501">
                  <c:v>0.1143</c:v>
                </c:pt>
                <c:pt idx="502">
                  <c:v>0.1166</c:v>
                </c:pt>
                <c:pt idx="503">
                  <c:v>0.1172</c:v>
                </c:pt>
                <c:pt idx="504">
                  <c:v>0.1179</c:v>
                </c:pt>
                <c:pt idx="505">
                  <c:v>0.1183</c:v>
                </c:pt>
                <c:pt idx="506">
                  <c:v>0.1166</c:v>
                </c:pt>
                <c:pt idx="507">
                  <c:v>0.1183</c:v>
                </c:pt>
                <c:pt idx="508">
                  <c:v>0.1194</c:v>
                </c:pt>
                <c:pt idx="509">
                  <c:v>0.1182</c:v>
                </c:pt>
                <c:pt idx="510">
                  <c:v>0.1201</c:v>
                </c:pt>
                <c:pt idx="511">
                  <c:v>0.1229</c:v>
                </c:pt>
                <c:pt idx="512">
                  <c:v>0.1241</c:v>
                </c:pt>
                <c:pt idx="513">
                  <c:v>0.1253</c:v>
                </c:pt>
                <c:pt idx="514">
                  <c:v>0.1273</c:v>
                </c:pt>
                <c:pt idx="515">
                  <c:v>0.1281</c:v>
                </c:pt>
                <c:pt idx="516">
                  <c:v>0.1256</c:v>
                </c:pt>
                <c:pt idx="517">
                  <c:v>0.126</c:v>
                </c:pt>
                <c:pt idx="518">
                  <c:v>0.1297</c:v>
                </c:pt>
                <c:pt idx="519">
                  <c:v>0.1313</c:v>
                </c:pt>
                <c:pt idx="520">
                  <c:v>0.1302</c:v>
                </c:pt>
                <c:pt idx="521">
                  <c:v>0.1298</c:v>
                </c:pt>
                <c:pt idx="522">
                  <c:v>0.1345</c:v>
                </c:pt>
                <c:pt idx="523">
                  <c:v>0.1375</c:v>
                </c:pt>
                <c:pt idx="524">
                  <c:v>0.1353</c:v>
                </c:pt>
                <c:pt idx="525">
                  <c:v>0.1355</c:v>
                </c:pt>
                <c:pt idx="526">
                  <c:v>0.1381</c:v>
                </c:pt>
                <c:pt idx="527">
                  <c:v>0.1407</c:v>
                </c:pt>
                <c:pt idx="528">
                  <c:v>0.1407</c:v>
                </c:pt>
                <c:pt idx="529">
                  <c:v>0.1415</c:v>
                </c:pt>
                <c:pt idx="530">
                  <c:v>0.143</c:v>
                </c:pt>
                <c:pt idx="531">
                  <c:v>0.1436</c:v>
                </c:pt>
                <c:pt idx="532">
                  <c:v>0.1463</c:v>
                </c:pt>
                <c:pt idx="533">
                  <c:v>0.1486</c:v>
                </c:pt>
                <c:pt idx="534">
                  <c:v>0.1487</c:v>
                </c:pt>
                <c:pt idx="535">
                  <c:v>0.1507</c:v>
                </c:pt>
                <c:pt idx="536">
                  <c:v>0.154</c:v>
                </c:pt>
                <c:pt idx="537">
                  <c:v>0.1536</c:v>
                </c:pt>
                <c:pt idx="538">
                  <c:v>0.1526</c:v>
                </c:pt>
                <c:pt idx="539">
                  <c:v>0.1555</c:v>
                </c:pt>
                <c:pt idx="540">
                  <c:v>0.1568</c:v>
                </c:pt>
                <c:pt idx="541">
                  <c:v>0.1569</c:v>
                </c:pt>
                <c:pt idx="542">
                  <c:v>0.1617</c:v>
                </c:pt>
                <c:pt idx="543">
                  <c:v>0.1619</c:v>
                </c:pt>
                <c:pt idx="544">
                  <c:v>0.1602</c:v>
                </c:pt>
                <c:pt idx="545">
                  <c:v>0.1634</c:v>
                </c:pt>
                <c:pt idx="546">
                  <c:v>0.167</c:v>
                </c:pt>
                <c:pt idx="547">
                  <c:v>0.1685</c:v>
                </c:pt>
                <c:pt idx="548">
                  <c:v>0.1678</c:v>
                </c:pt>
                <c:pt idx="549">
                  <c:v>0.1696</c:v>
                </c:pt>
                <c:pt idx="550">
                  <c:v>0.1732</c:v>
                </c:pt>
                <c:pt idx="551">
                  <c:v>0.1749</c:v>
                </c:pt>
                <c:pt idx="552">
                  <c:v>0.1743</c:v>
                </c:pt>
                <c:pt idx="553">
                  <c:v>0.1746</c:v>
                </c:pt>
                <c:pt idx="554">
                  <c:v>0.1779</c:v>
                </c:pt>
                <c:pt idx="555">
                  <c:v>0.1788</c:v>
                </c:pt>
                <c:pt idx="556">
                  <c:v>0.1809</c:v>
                </c:pt>
                <c:pt idx="557">
                  <c:v>0.1858</c:v>
                </c:pt>
                <c:pt idx="558">
                  <c:v>0.1882</c:v>
                </c:pt>
                <c:pt idx="559">
                  <c:v>0.19</c:v>
                </c:pt>
                <c:pt idx="560">
                  <c:v>0.1913</c:v>
                </c:pt>
                <c:pt idx="561">
                  <c:v>0.1935</c:v>
                </c:pt>
                <c:pt idx="562">
                  <c:v>0.1957</c:v>
                </c:pt>
                <c:pt idx="563">
                  <c:v>0.1964</c:v>
                </c:pt>
                <c:pt idx="564">
                  <c:v>0.1995</c:v>
                </c:pt>
                <c:pt idx="565">
                  <c:v>0.2041</c:v>
                </c:pt>
                <c:pt idx="566">
                  <c:v>0.2057</c:v>
                </c:pt>
                <c:pt idx="567">
                  <c:v>0.2045</c:v>
                </c:pt>
                <c:pt idx="568">
                  <c:v>0.2048</c:v>
                </c:pt>
                <c:pt idx="569">
                  <c:v>0.2064</c:v>
                </c:pt>
                <c:pt idx="570">
                  <c:v>0.2096</c:v>
                </c:pt>
                <c:pt idx="571">
                  <c:v>0.2141</c:v>
                </c:pt>
                <c:pt idx="572">
                  <c:v>0.2157</c:v>
                </c:pt>
                <c:pt idx="573">
                  <c:v>0.2149</c:v>
                </c:pt>
                <c:pt idx="574">
                  <c:v>0.2183</c:v>
                </c:pt>
                <c:pt idx="575">
                  <c:v>0.2237</c:v>
                </c:pt>
                <c:pt idx="576">
                  <c:v>0.2252</c:v>
                </c:pt>
                <c:pt idx="577">
                  <c:v>0.2279</c:v>
                </c:pt>
                <c:pt idx="578">
                  <c:v>0.2305</c:v>
                </c:pt>
                <c:pt idx="579">
                  <c:v>0.2321</c:v>
                </c:pt>
                <c:pt idx="580">
                  <c:v>0.2356</c:v>
                </c:pt>
                <c:pt idx="581">
                  <c:v>0.2387</c:v>
                </c:pt>
                <c:pt idx="582">
                  <c:v>0.2416</c:v>
                </c:pt>
                <c:pt idx="583">
                  <c:v>0.2446</c:v>
                </c:pt>
                <c:pt idx="584">
                  <c:v>0.2456</c:v>
                </c:pt>
                <c:pt idx="585">
                  <c:v>0.2488</c:v>
                </c:pt>
                <c:pt idx="586">
                  <c:v>0.2532</c:v>
                </c:pt>
                <c:pt idx="587">
                  <c:v>0.255</c:v>
                </c:pt>
                <c:pt idx="588">
                  <c:v>0.2583</c:v>
                </c:pt>
                <c:pt idx="589">
                  <c:v>0.2607</c:v>
                </c:pt>
                <c:pt idx="590">
                  <c:v>0.2629</c:v>
                </c:pt>
                <c:pt idx="591">
                  <c:v>0.2682</c:v>
                </c:pt>
                <c:pt idx="592">
                  <c:v>0.2702</c:v>
                </c:pt>
                <c:pt idx="593">
                  <c:v>0.2698</c:v>
                </c:pt>
                <c:pt idx="594">
                  <c:v>0.2742</c:v>
                </c:pt>
                <c:pt idx="595">
                  <c:v>0.279</c:v>
                </c:pt>
                <c:pt idx="596">
                  <c:v>0.281</c:v>
                </c:pt>
                <c:pt idx="597">
                  <c:v>0.2834</c:v>
                </c:pt>
                <c:pt idx="598">
                  <c:v>0.2873</c:v>
                </c:pt>
                <c:pt idx="599">
                  <c:v>0.2905</c:v>
                </c:pt>
                <c:pt idx="600">
                  <c:v>0.2901</c:v>
                </c:pt>
                <c:pt idx="601">
                  <c:v>0.2925</c:v>
                </c:pt>
                <c:pt idx="602">
                  <c:v>0.2982</c:v>
                </c:pt>
                <c:pt idx="603">
                  <c:v>0.3017</c:v>
                </c:pt>
                <c:pt idx="604">
                  <c:v>0.304</c:v>
                </c:pt>
                <c:pt idx="605">
                  <c:v>0.3074</c:v>
                </c:pt>
                <c:pt idx="606">
                  <c:v>0.3126</c:v>
                </c:pt>
                <c:pt idx="607">
                  <c:v>0.3167</c:v>
                </c:pt>
                <c:pt idx="608">
                  <c:v>0.3188</c:v>
                </c:pt>
                <c:pt idx="609">
                  <c:v>0.3223</c:v>
                </c:pt>
                <c:pt idx="610">
                  <c:v>0.3262</c:v>
                </c:pt>
                <c:pt idx="611">
                  <c:v>0.3287</c:v>
                </c:pt>
                <c:pt idx="612">
                  <c:v>0.3326</c:v>
                </c:pt>
                <c:pt idx="613">
                  <c:v>0.3351</c:v>
                </c:pt>
                <c:pt idx="614">
                  <c:v>0.3375</c:v>
                </c:pt>
                <c:pt idx="615">
                  <c:v>0.344</c:v>
                </c:pt>
                <c:pt idx="616">
                  <c:v>0.3483</c:v>
                </c:pt>
                <c:pt idx="617">
                  <c:v>0.3498</c:v>
                </c:pt>
                <c:pt idx="618">
                  <c:v>0.3544</c:v>
                </c:pt>
                <c:pt idx="619">
                  <c:v>0.3589</c:v>
                </c:pt>
                <c:pt idx="620">
                  <c:v>0.3609</c:v>
                </c:pt>
                <c:pt idx="621">
                  <c:v>0.3657</c:v>
                </c:pt>
                <c:pt idx="622">
                  <c:v>0.3717</c:v>
                </c:pt>
                <c:pt idx="623">
                  <c:v>0.3742</c:v>
                </c:pt>
                <c:pt idx="624">
                  <c:v>0.377</c:v>
                </c:pt>
                <c:pt idx="625">
                  <c:v>0.3817</c:v>
                </c:pt>
                <c:pt idx="626">
                  <c:v>0.3858</c:v>
                </c:pt>
                <c:pt idx="627">
                  <c:v>0.3906</c:v>
                </c:pt>
                <c:pt idx="628">
                  <c:v>0.395</c:v>
                </c:pt>
                <c:pt idx="629">
                  <c:v>0.4014</c:v>
                </c:pt>
                <c:pt idx="630">
                  <c:v>0.4053</c:v>
                </c:pt>
                <c:pt idx="631">
                  <c:v>0.4068</c:v>
                </c:pt>
                <c:pt idx="632">
                  <c:v>0.41</c:v>
                </c:pt>
                <c:pt idx="633">
                  <c:v>0.4143</c:v>
                </c:pt>
                <c:pt idx="634">
                  <c:v>0.4191</c:v>
                </c:pt>
                <c:pt idx="635">
                  <c:v>0.4233</c:v>
                </c:pt>
                <c:pt idx="636">
                  <c:v>0.4282</c:v>
                </c:pt>
                <c:pt idx="637">
                  <c:v>0.4336</c:v>
                </c:pt>
                <c:pt idx="638">
                  <c:v>0.4396</c:v>
                </c:pt>
                <c:pt idx="639">
                  <c:v>0.4424</c:v>
                </c:pt>
                <c:pt idx="640">
                  <c:v>0.4462</c:v>
                </c:pt>
                <c:pt idx="641">
                  <c:v>0.4534</c:v>
                </c:pt>
                <c:pt idx="642">
                  <c:v>0.4591</c:v>
                </c:pt>
                <c:pt idx="643">
                  <c:v>0.4644</c:v>
                </c:pt>
                <c:pt idx="644">
                  <c:v>0.4698</c:v>
                </c:pt>
                <c:pt idx="645">
                  <c:v>0.4731</c:v>
                </c:pt>
                <c:pt idx="646">
                  <c:v>0.4784</c:v>
                </c:pt>
                <c:pt idx="647">
                  <c:v>0.4858</c:v>
                </c:pt>
                <c:pt idx="648">
                  <c:v>0.4914</c:v>
                </c:pt>
                <c:pt idx="649">
                  <c:v>0.4976</c:v>
                </c:pt>
                <c:pt idx="650">
                  <c:v>0.5041</c:v>
                </c:pt>
                <c:pt idx="651">
                  <c:v>0.5087</c:v>
                </c:pt>
                <c:pt idx="652">
                  <c:v>0.5174</c:v>
                </c:pt>
                <c:pt idx="653">
                  <c:v>0.5242</c:v>
                </c:pt>
                <c:pt idx="654">
                  <c:v>0.5253</c:v>
                </c:pt>
                <c:pt idx="655">
                  <c:v>0.5325</c:v>
                </c:pt>
                <c:pt idx="656">
                  <c:v>0.5416</c:v>
                </c:pt>
                <c:pt idx="657">
                  <c:v>0.5456</c:v>
                </c:pt>
                <c:pt idx="658">
                  <c:v>0.5519</c:v>
                </c:pt>
                <c:pt idx="659">
                  <c:v>0.5596</c:v>
                </c:pt>
                <c:pt idx="660">
                  <c:v>0.5645</c:v>
                </c:pt>
                <c:pt idx="661">
                  <c:v>0.5715</c:v>
                </c:pt>
                <c:pt idx="662">
                  <c:v>0.5788</c:v>
                </c:pt>
                <c:pt idx="663">
                  <c:v>0.5833</c:v>
                </c:pt>
                <c:pt idx="664">
                  <c:v>0.5885</c:v>
                </c:pt>
                <c:pt idx="665">
                  <c:v>0.5967</c:v>
                </c:pt>
                <c:pt idx="666">
                  <c:v>0.6025</c:v>
                </c:pt>
                <c:pt idx="667">
                  <c:v>0.6066</c:v>
                </c:pt>
                <c:pt idx="668">
                  <c:v>0.6146</c:v>
                </c:pt>
                <c:pt idx="669">
                  <c:v>0.6217</c:v>
                </c:pt>
                <c:pt idx="670">
                  <c:v>0.6268</c:v>
                </c:pt>
                <c:pt idx="671">
                  <c:v>0.6324</c:v>
                </c:pt>
                <c:pt idx="672">
                  <c:v>0.6385</c:v>
                </c:pt>
                <c:pt idx="673">
                  <c:v>0.6422</c:v>
                </c:pt>
                <c:pt idx="674">
                  <c:v>0.648</c:v>
                </c:pt>
                <c:pt idx="675">
                  <c:v>0.655</c:v>
                </c:pt>
                <c:pt idx="676">
                  <c:v>0.6623</c:v>
                </c:pt>
                <c:pt idx="677">
                  <c:v>0.6682</c:v>
                </c:pt>
                <c:pt idx="678">
                  <c:v>0.6713</c:v>
                </c:pt>
                <c:pt idx="679">
                  <c:v>0.6772</c:v>
                </c:pt>
                <c:pt idx="680">
                  <c:v>0.6847</c:v>
                </c:pt>
                <c:pt idx="681">
                  <c:v>0.6903</c:v>
                </c:pt>
                <c:pt idx="682">
                  <c:v>0.694</c:v>
                </c:pt>
                <c:pt idx="683">
                  <c:v>0.7007</c:v>
                </c:pt>
                <c:pt idx="684">
                  <c:v>0.7076</c:v>
                </c:pt>
                <c:pt idx="685">
                  <c:v>0.7133</c:v>
                </c:pt>
                <c:pt idx="686">
                  <c:v>0.7187</c:v>
                </c:pt>
                <c:pt idx="687">
                  <c:v>0.7241</c:v>
                </c:pt>
                <c:pt idx="688">
                  <c:v>0.7312</c:v>
                </c:pt>
                <c:pt idx="689">
                  <c:v>0.7386</c:v>
                </c:pt>
                <c:pt idx="690">
                  <c:v>0.7471</c:v>
                </c:pt>
                <c:pt idx="691">
                  <c:v>0.7531</c:v>
                </c:pt>
                <c:pt idx="692">
                  <c:v>0.7583</c:v>
                </c:pt>
                <c:pt idx="693">
                  <c:v>0.7655</c:v>
                </c:pt>
                <c:pt idx="694">
                  <c:v>0.7701</c:v>
                </c:pt>
                <c:pt idx="695">
                  <c:v>0.7759</c:v>
                </c:pt>
                <c:pt idx="696">
                  <c:v>0.7828</c:v>
                </c:pt>
                <c:pt idx="697">
                  <c:v>0.788</c:v>
                </c:pt>
                <c:pt idx="698">
                  <c:v>0.7953</c:v>
                </c:pt>
                <c:pt idx="699">
                  <c:v>0.8018</c:v>
                </c:pt>
                <c:pt idx="700">
                  <c:v>0.8072</c:v>
                </c:pt>
                <c:pt idx="701">
                  <c:v>0.8166</c:v>
                </c:pt>
                <c:pt idx="702">
                  <c:v>0.8235</c:v>
                </c:pt>
                <c:pt idx="703">
                  <c:v>0.8287</c:v>
                </c:pt>
                <c:pt idx="704">
                  <c:v>0.8368</c:v>
                </c:pt>
                <c:pt idx="705">
                  <c:v>0.8443</c:v>
                </c:pt>
                <c:pt idx="706">
                  <c:v>0.8527</c:v>
                </c:pt>
                <c:pt idx="707">
                  <c:v>0.862</c:v>
                </c:pt>
                <c:pt idx="708">
                  <c:v>0.8691</c:v>
                </c:pt>
                <c:pt idx="709">
                  <c:v>0.8786</c:v>
                </c:pt>
                <c:pt idx="710">
                  <c:v>0.8872</c:v>
                </c:pt>
                <c:pt idx="711">
                  <c:v>0.892</c:v>
                </c:pt>
                <c:pt idx="712">
                  <c:v>0.9013</c:v>
                </c:pt>
                <c:pt idx="713">
                  <c:v>0.91</c:v>
                </c:pt>
                <c:pt idx="714">
                  <c:v>0.9155</c:v>
                </c:pt>
                <c:pt idx="715">
                  <c:v>0.9245</c:v>
                </c:pt>
                <c:pt idx="716">
                  <c:v>0.9337</c:v>
                </c:pt>
                <c:pt idx="717">
                  <c:v>0.9415</c:v>
                </c:pt>
                <c:pt idx="718">
                  <c:v>0.9487</c:v>
                </c:pt>
                <c:pt idx="719">
                  <c:v>0.9563</c:v>
                </c:pt>
                <c:pt idx="720">
                  <c:v>0.9686</c:v>
                </c:pt>
                <c:pt idx="721">
                  <c:v>0.9776</c:v>
                </c:pt>
                <c:pt idx="722">
                  <c:v>0.9869</c:v>
                </c:pt>
                <c:pt idx="723">
                  <c:v>0.9987</c:v>
                </c:pt>
                <c:pt idx="724">
                  <c:v>1.0092</c:v>
                </c:pt>
                <c:pt idx="725">
                  <c:v>1.0193</c:v>
                </c:pt>
                <c:pt idx="726">
                  <c:v>1.0259</c:v>
                </c:pt>
                <c:pt idx="727">
                  <c:v>1.0365</c:v>
                </c:pt>
                <c:pt idx="728">
                  <c:v>1.0494</c:v>
                </c:pt>
                <c:pt idx="729">
                  <c:v>1.0598</c:v>
                </c:pt>
                <c:pt idx="730">
                  <c:v>1.0684</c:v>
                </c:pt>
                <c:pt idx="731">
                  <c:v>1.0804</c:v>
                </c:pt>
                <c:pt idx="732">
                  <c:v>1.0921</c:v>
                </c:pt>
                <c:pt idx="733">
                  <c:v>1.1012</c:v>
                </c:pt>
                <c:pt idx="734">
                  <c:v>1.1077</c:v>
                </c:pt>
                <c:pt idx="735">
                  <c:v>1.1158</c:v>
                </c:pt>
                <c:pt idx="736">
                  <c:v>1.1297</c:v>
                </c:pt>
                <c:pt idx="737">
                  <c:v>1.1438</c:v>
                </c:pt>
                <c:pt idx="738">
                  <c:v>1.1553</c:v>
                </c:pt>
                <c:pt idx="739">
                  <c:v>1.1587</c:v>
                </c:pt>
                <c:pt idx="740">
                  <c:v>1.1663</c:v>
                </c:pt>
                <c:pt idx="741">
                  <c:v>1.1817</c:v>
                </c:pt>
                <c:pt idx="742">
                  <c:v>1.1912</c:v>
                </c:pt>
                <c:pt idx="743">
                  <c:v>1.193</c:v>
                </c:pt>
                <c:pt idx="744">
                  <c:v>1.1983</c:v>
                </c:pt>
                <c:pt idx="745">
                  <c:v>1.21</c:v>
                </c:pt>
                <c:pt idx="746">
                  <c:v>1.2151</c:v>
                </c:pt>
                <c:pt idx="747">
                  <c:v>1.2183</c:v>
                </c:pt>
                <c:pt idx="748">
                  <c:v>1.2279</c:v>
                </c:pt>
                <c:pt idx="749">
                  <c:v>1.2297</c:v>
                </c:pt>
                <c:pt idx="750">
                  <c:v>1.231</c:v>
                </c:pt>
                <c:pt idx="751">
                  <c:v>1.238</c:v>
                </c:pt>
                <c:pt idx="752">
                  <c:v>1.2419</c:v>
                </c:pt>
                <c:pt idx="753">
                  <c:v>1.2424</c:v>
                </c:pt>
                <c:pt idx="754">
                  <c:v>1.2419</c:v>
                </c:pt>
                <c:pt idx="755">
                  <c:v>1.2451</c:v>
                </c:pt>
                <c:pt idx="756">
                  <c:v>1.2453</c:v>
                </c:pt>
                <c:pt idx="757">
                  <c:v>1.2414</c:v>
                </c:pt>
                <c:pt idx="758">
                  <c:v>1.2493</c:v>
                </c:pt>
                <c:pt idx="759">
                  <c:v>1.259</c:v>
                </c:pt>
                <c:pt idx="760">
                  <c:v>1.2471</c:v>
                </c:pt>
                <c:pt idx="761">
                  <c:v>1.2372</c:v>
                </c:pt>
                <c:pt idx="762">
                  <c:v>1.2334</c:v>
                </c:pt>
                <c:pt idx="763">
                  <c:v>1.2251</c:v>
                </c:pt>
                <c:pt idx="764">
                  <c:v>1.2179</c:v>
                </c:pt>
                <c:pt idx="765">
                  <c:v>1.21</c:v>
                </c:pt>
                <c:pt idx="766">
                  <c:v>1.2048</c:v>
                </c:pt>
                <c:pt idx="767">
                  <c:v>1.1937</c:v>
                </c:pt>
                <c:pt idx="768">
                  <c:v>1.19</c:v>
                </c:pt>
                <c:pt idx="769">
                  <c:v>1.1837</c:v>
                </c:pt>
                <c:pt idx="770">
                  <c:v>1.1737</c:v>
                </c:pt>
                <c:pt idx="771">
                  <c:v>1.1776</c:v>
                </c:pt>
                <c:pt idx="772">
                  <c:v>1.1792</c:v>
                </c:pt>
                <c:pt idx="773">
                  <c:v>1.1616</c:v>
                </c:pt>
                <c:pt idx="774">
                  <c:v>1.1118</c:v>
                </c:pt>
                <c:pt idx="775">
                  <c:v>1.0775</c:v>
                </c:pt>
                <c:pt idx="776">
                  <c:v>1.1032</c:v>
                </c:pt>
                <c:pt idx="777">
                  <c:v>1.0416</c:v>
                </c:pt>
                <c:pt idx="778">
                  <c:v>0.9905</c:v>
                </c:pt>
                <c:pt idx="779">
                  <c:v>1.019</c:v>
                </c:pt>
                <c:pt idx="780">
                  <c:v>1.0101</c:v>
                </c:pt>
                <c:pt idx="781">
                  <c:v>0.9705</c:v>
                </c:pt>
                <c:pt idx="782">
                  <c:v>1.0423</c:v>
                </c:pt>
                <c:pt idx="783">
                  <c:v>0.9403</c:v>
                </c:pt>
                <c:pt idx="784">
                  <c:v>0.718</c:v>
                </c:pt>
                <c:pt idx="785">
                  <c:v>0.851</c:v>
                </c:pt>
                <c:pt idx="786">
                  <c:v>0.9768</c:v>
                </c:pt>
                <c:pt idx="787">
                  <c:v>0.9607</c:v>
                </c:pt>
                <c:pt idx="788">
                  <c:v>0.7174</c:v>
                </c:pt>
                <c:pt idx="789">
                  <c:v>0.7174</c:v>
                </c:pt>
                <c:pt idx="790">
                  <c:v>0.9768</c:v>
                </c:pt>
                <c:pt idx="791">
                  <c:v>0.8424</c:v>
                </c:pt>
                <c:pt idx="792">
                  <c:v>0.8424</c:v>
                </c:pt>
                <c:pt idx="793">
                  <c:v>0.7493</c:v>
                </c:pt>
                <c:pt idx="794">
                  <c:v>0.7668</c:v>
                </c:pt>
                <c:pt idx="795">
                  <c:v>0.8774</c:v>
                </c:pt>
                <c:pt idx="796">
                  <c:v>0.7269</c:v>
                </c:pt>
                <c:pt idx="797">
                  <c:v>0.6333</c:v>
                </c:pt>
                <c:pt idx="798">
                  <c:v>0.6333</c:v>
                </c:pt>
                <c:pt idx="799">
                  <c:v>0.7362</c:v>
                </c:pt>
                <c:pt idx="800">
                  <c:v>0.6609</c:v>
                </c:pt>
              </c:numCache>
            </c:numRef>
          </c:yVal>
          <c:smooth val="1"/>
        </c:ser>
        <c:ser>
          <c:idx val="2"/>
          <c:order val="2"/>
          <c:tx>
            <c:strRef>
              <c:f>'Macintosh HD:Users:Brian:Desktop:GoMRI:Sand Patty Scans:[Composite.xlsx]12hdark1.asc'!$D$1</c:f>
              <c:strCache>
                <c:ptCount val="1"/>
                <c:pt idx="0">
                  <c:v>24 Hr Dark</c:v>
                </c:pt>
              </c:strCache>
            </c:strRef>
          </c:tx>
          <c:spPr>
            <a:ln w="19050" cmpd="sng"/>
          </c:spPr>
          <c:marker>
            <c:symbol val="none"/>
          </c:marker>
          <c:xVal>
            <c:numRef>
              <c:f>'Macintosh HD:Users:Brian:Desktop:GoMRI:Sand Patty Scans:[Composite.xlsx]12hdark1.asc'!$A$2:$A$802</c:f>
              <c:numCache>
                <c:formatCode>General</c:formatCode>
                <c:ptCount val="801"/>
                <c:pt idx="0">
                  <c:v>600.0</c:v>
                </c:pt>
                <c:pt idx="1">
                  <c:v>599.5</c:v>
                </c:pt>
                <c:pt idx="2">
                  <c:v>599.0</c:v>
                </c:pt>
                <c:pt idx="3">
                  <c:v>598.5</c:v>
                </c:pt>
                <c:pt idx="4">
                  <c:v>598.0</c:v>
                </c:pt>
                <c:pt idx="5">
                  <c:v>597.5</c:v>
                </c:pt>
                <c:pt idx="6">
                  <c:v>597.0</c:v>
                </c:pt>
                <c:pt idx="7">
                  <c:v>596.5</c:v>
                </c:pt>
                <c:pt idx="8">
                  <c:v>596.0</c:v>
                </c:pt>
                <c:pt idx="9">
                  <c:v>595.5</c:v>
                </c:pt>
                <c:pt idx="10">
                  <c:v>595.0</c:v>
                </c:pt>
                <c:pt idx="11">
                  <c:v>594.5</c:v>
                </c:pt>
                <c:pt idx="12">
                  <c:v>594.0</c:v>
                </c:pt>
                <c:pt idx="13">
                  <c:v>593.5</c:v>
                </c:pt>
                <c:pt idx="14">
                  <c:v>593.0</c:v>
                </c:pt>
                <c:pt idx="15">
                  <c:v>592.5</c:v>
                </c:pt>
                <c:pt idx="16">
                  <c:v>592.0</c:v>
                </c:pt>
                <c:pt idx="17">
                  <c:v>591.5</c:v>
                </c:pt>
                <c:pt idx="18">
                  <c:v>591.0</c:v>
                </c:pt>
                <c:pt idx="19">
                  <c:v>590.5</c:v>
                </c:pt>
                <c:pt idx="20">
                  <c:v>590.0</c:v>
                </c:pt>
                <c:pt idx="21">
                  <c:v>589.5</c:v>
                </c:pt>
                <c:pt idx="22">
                  <c:v>589.0</c:v>
                </c:pt>
                <c:pt idx="23">
                  <c:v>588.5</c:v>
                </c:pt>
                <c:pt idx="24">
                  <c:v>588.0</c:v>
                </c:pt>
                <c:pt idx="25">
                  <c:v>587.5</c:v>
                </c:pt>
                <c:pt idx="26">
                  <c:v>587.0</c:v>
                </c:pt>
                <c:pt idx="27">
                  <c:v>586.5</c:v>
                </c:pt>
                <c:pt idx="28">
                  <c:v>586.0</c:v>
                </c:pt>
                <c:pt idx="29">
                  <c:v>585.5</c:v>
                </c:pt>
                <c:pt idx="30">
                  <c:v>585.0</c:v>
                </c:pt>
                <c:pt idx="31">
                  <c:v>584.5</c:v>
                </c:pt>
                <c:pt idx="32">
                  <c:v>584.0</c:v>
                </c:pt>
                <c:pt idx="33">
                  <c:v>583.5</c:v>
                </c:pt>
                <c:pt idx="34">
                  <c:v>583.0</c:v>
                </c:pt>
                <c:pt idx="35">
                  <c:v>582.5</c:v>
                </c:pt>
                <c:pt idx="36">
                  <c:v>582.0</c:v>
                </c:pt>
                <c:pt idx="37">
                  <c:v>581.5</c:v>
                </c:pt>
                <c:pt idx="38">
                  <c:v>581.0</c:v>
                </c:pt>
                <c:pt idx="39">
                  <c:v>580.5</c:v>
                </c:pt>
                <c:pt idx="40">
                  <c:v>580.0</c:v>
                </c:pt>
                <c:pt idx="41">
                  <c:v>579.5</c:v>
                </c:pt>
                <c:pt idx="42">
                  <c:v>579.0</c:v>
                </c:pt>
                <c:pt idx="43">
                  <c:v>578.5</c:v>
                </c:pt>
                <c:pt idx="44">
                  <c:v>578.0</c:v>
                </c:pt>
                <c:pt idx="45">
                  <c:v>577.5</c:v>
                </c:pt>
                <c:pt idx="46">
                  <c:v>577.0</c:v>
                </c:pt>
                <c:pt idx="47">
                  <c:v>576.5</c:v>
                </c:pt>
                <c:pt idx="48">
                  <c:v>576.0</c:v>
                </c:pt>
                <c:pt idx="49">
                  <c:v>575.5</c:v>
                </c:pt>
                <c:pt idx="50">
                  <c:v>575.0</c:v>
                </c:pt>
                <c:pt idx="51">
                  <c:v>574.5</c:v>
                </c:pt>
                <c:pt idx="52">
                  <c:v>574.0</c:v>
                </c:pt>
                <c:pt idx="53">
                  <c:v>573.5</c:v>
                </c:pt>
                <c:pt idx="54">
                  <c:v>573.0</c:v>
                </c:pt>
                <c:pt idx="55">
                  <c:v>572.5</c:v>
                </c:pt>
                <c:pt idx="56">
                  <c:v>572.0</c:v>
                </c:pt>
                <c:pt idx="57">
                  <c:v>571.5</c:v>
                </c:pt>
                <c:pt idx="58">
                  <c:v>571.0</c:v>
                </c:pt>
                <c:pt idx="59">
                  <c:v>570.5</c:v>
                </c:pt>
                <c:pt idx="60">
                  <c:v>570.0</c:v>
                </c:pt>
                <c:pt idx="61">
                  <c:v>569.5</c:v>
                </c:pt>
                <c:pt idx="62">
                  <c:v>569.0</c:v>
                </c:pt>
                <c:pt idx="63">
                  <c:v>568.5</c:v>
                </c:pt>
                <c:pt idx="64">
                  <c:v>568.0</c:v>
                </c:pt>
                <c:pt idx="65">
                  <c:v>567.5</c:v>
                </c:pt>
                <c:pt idx="66">
                  <c:v>567.0</c:v>
                </c:pt>
                <c:pt idx="67">
                  <c:v>566.5</c:v>
                </c:pt>
                <c:pt idx="68">
                  <c:v>566.0</c:v>
                </c:pt>
                <c:pt idx="69">
                  <c:v>565.5</c:v>
                </c:pt>
                <c:pt idx="70">
                  <c:v>565.0</c:v>
                </c:pt>
                <c:pt idx="71">
                  <c:v>564.5</c:v>
                </c:pt>
                <c:pt idx="72">
                  <c:v>564.0</c:v>
                </c:pt>
                <c:pt idx="73">
                  <c:v>563.5</c:v>
                </c:pt>
                <c:pt idx="74">
                  <c:v>563.0</c:v>
                </c:pt>
                <c:pt idx="75">
                  <c:v>562.5</c:v>
                </c:pt>
                <c:pt idx="76">
                  <c:v>562.0</c:v>
                </c:pt>
                <c:pt idx="77">
                  <c:v>561.5</c:v>
                </c:pt>
                <c:pt idx="78">
                  <c:v>561.0</c:v>
                </c:pt>
                <c:pt idx="79">
                  <c:v>560.5</c:v>
                </c:pt>
                <c:pt idx="80">
                  <c:v>560.0</c:v>
                </c:pt>
                <c:pt idx="81">
                  <c:v>559.5</c:v>
                </c:pt>
                <c:pt idx="82">
                  <c:v>559.0</c:v>
                </c:pt>
                <c:pt idx="83">
                  <c:v>558.5</c:v>
                </c:pt>
                <c:pt idx="84">
                  <c:v>558.0</c:v>
                </c:pt>
                <c:pt idx="85">
                  <c:v>557.5</c:v>
                </c:pt>
                <c:pt idx="86">
                  <c:v>557.0</c:v>
                </c:pt>
                <c:pt idx="87">
                  <c:v>556.5</c:v>
                </c:pt>
                <c:pt idx="88">
                  <c:v>556.0</c:v>
                </c:pt>
                <c:pt idx="89">
                  <c:v>555.5</c:v>
                </c:pt>
                <c:pt idx="90">
                  <c:v>555.0</c:v>
                </c:pt>
                <c:pt idx="91">
                  <c:v>554.5</c:v>
                </c:pt>
                <c:pt idx="92">
                  <c:v>554.0</c:v>
                </c:pt>
                <c:pt idx="93">
                  <c:v>553.5</c:v>
                </c:pt>
                <c:pt idx="94">
                  <c:v>553.0</c:v>
                </c:pt>
                <c:pt idx="95">
                  <c:v>552.5</c:v>
                </c:pt>
                <c:pt idx="96">
                  <c:v>552.0</c:v>
                </c:pt>
                <c:pt idx="97">
                  <c:v>551.5</c:v>
                </c:pt>
                <c:pt idx="98">
                  <c:v>551.0</c:v>
                </c:pt>
                <c:pt idx="99">
                  <c:v>550.5</c:v>
                </c:pt>
                <c:pt idx="100">
                  <c:v>550.0</c:v>
                </c:pt>
                <c:pt idx="101">
                  <c:v>549.5</c:v>
                </c:pt>
                <c:pt idx="102">
                  <c:v>549.0</c:v>
                </c:pt>
                <c:pt idx="103">
                  <c:v>548.5</c:v>
                </c:pt>
                <c:pt idx="104">
                  <c:v>548.0</c:v>
                </c:pt>
                <c:pt idx="105">
                  <c:v>547.5</c:v>
                </c:pt>
                <c:pt idx="106">
                  <c:v>547.0</c:v>
                </c:pt>
                <c:pt idx="107">
                  <c:v>546.5</c:v>
                </c:pt>
                <c:pt idx="108">
                  <c:v>546.0</c:v>
                </c:pt>
                <c:pt idx="109">
                  <c:v>545.5</c:v>
                </c:pt>
                <c:pt idx="110">
                  <c:v>545.0</c:v>
                </c:pt>
                <c:pt idx="111">
                  <c:v>544.5</c:v>
                </c:pt>
                <c:pt idx="112">
                  <c:v>544.0</c:v>
                </c:pt>
                <c:pt idx="113">
                  <c:v>543.5</c:v>
                </c:pt>
                <c:pt idx="114">
                  <c:v>543.0</c:v>
                </c:pt>
                <c:pt idx="115">
                  <c:v>542.5</c:v>
                </c:pt>
                <c:pt idx="116">
                  <c:v>542.0</c:v>
                </c:pt>
                <c:pt idx="117">
                  <c:v>541.5</c:v>
                </c:pt>
                <c:pt idx="118">
                  <c:v>541.0</c:v>
                </c:pt>
                <c:pt idx="119">
                  <c:v>540.5</c:v>
                </c:pt>
                <c:pt idx="120">
                  <c:v>540.0</c:v>
                </c:pt>
                <c:pt idx="121">
                  <c:v>539.5</c:v>
                </c:pt>
                <c:pt idx="122">
                  <c:v>539.0</c:v>
                </c:pt>
                <c:pt idx="123">
                  <c:v>538.5</c:v>
                </c:pt>
                <c:pt idx="124">
                  <c:v>538.0</c:v>
                </c:pt>
                <c:pt idx="125">
                  <c:v>537.5</c:v>
                </c:pt>
                <c:pt idx="126">
                  <c:v>537.0</c:v>
                </c:pt>
                <c:pt idx="127">
                  <c:v>536.5</c:v>
                </c:pt>
                <c:pt idx="128">
                  <c:v>536.0</c:v>
                </c:pt>
                <c:pt idx="129">
                  <c:v>535.5</c:v>
                </c:pt>
                <c:pt idx="130">
                  <c:v>535.0</c:v>
                </c:pt>
                <c:pt idx="131">
                  <c:v>534.5</c:v>
                </c:pt>
                <c:pt idx="132">
                  <c:v>534.0</c:v>
                </c:pt>
                <c:pt idx="133">
                  <c:v>533.5</c:v>
                </c:pt>
                <c:pt idx="134">
                  <c:v>533.0</c:v>
                </c:pt>
                <c:pt idx="135">
                  <c:v>532.5</c:v>
                </c:pt>
                <c:pt idx="136">
                  <c:v>532.0</c:v>
                </c:pt>
                <c:pt idx="137">
                  <c:v>531.5</c:v>
                </c:pt>
                <c:pt idx="138">
                  <c:v>531.0</c:v>
                </c:pt>
                <c:pt idx="139">
                  <c:v>530.5</c:v>
                </c:pt>
                <c:pt idx="140">
                  <c:v>530.0</c:v>
                </c:pt>
                <c:pt idx="141">
                  <c:v>529.5</c:v>
                </c:pt>
                <c:pt idx="142">
                  <c:v>529.0</c:v>
                </c:pt>
                <c:pt idx="143">
                  <c:v>528.5</c:v>
                </c:pt>
                <c:pt idx="144">
                  <c:v>528.0</c:v>
                </c:pt>
                <c:pt idx="145">
                  <c:v>527.5</c:v>
                </c:pt>
                <c:pt idx="146">
                  <c:v>527.0</c:v>
                </c:pt>
                <c:pt idx="147">
                  <c:v>526.5</c:v>
                </c:pt>
                <c:pt idx="148">
                  <c:v>526.0</c:v>
                </c:pt>
                <c:pt idx="149">
                  <c:v>525.5</c:v>
                </c:pt>
                <c:pt idx="150">
                  <c:v>525.0</c:v>
                </c:pt>
                <c:pt idx="151">
                  <c:v>524.5</c:v>
                </c:pt>
                <c:pt idx="152">
                  <c:v>524.0</c:v>
                </c:pt>
                <c:pt idx="153">
                  <c:v>523.5</c:v>
                </c:pt>
                <c:pt idx="154">
                  <c:v>523.0</c:v>
                </c:pt>
                <c:pt idx="155">
                  <c:v>522.5</c:v>
                </c:pt>
                <c:pt idx="156">
                  <c:v>522.0</c:v>
                </c:pt>
                <c:pt idx="157">
                  <c:v>521.5</c:v>
                </c:pt>
                <c:pt idx="158">
                  <c:v>521.0</c:v>
                </c:pt>
                <c:pt idx="159">
                  <c:v>520.5</c:v>
                </c:pt>
                <c:pt idx="160">
                  <c:v>520.0</c:v>
                </c:pt>
                <c:pt idx="161">
                  <c:v>519.5</c:v>
                </c:pt>
                <c:pt idx="162">
                  <c:v>519.0</c:v>
                </c:pt>
                <c:pt idx="163">
                  <c:v>518.5</c:v>
                </c:pt>
                <c:pt idx="164">
                  <c:v>518.0</c:v>
                </c:pt>
                <c:pt idx="165">
                  <c:v>517.5</c:v>
                </c:pt>
                <c:pt idx="166">
                  <c:v>517.0</c:v>
                </c:pt>
                <c:pt idx="167">
                  <c:v>516.5</c:v>
                </c:pt>
                <c:pt idx="168">
                  <c:v>516.0</c:v>
                </c:pt>
                <c:pt idx="169">
                  <c:v>515.5</c:v>
                </c:pt>
                <c:pt idx="170">
                  <c:v>515.0</c:v>
                </c:pt>
                <c:pt idx="171">
                  <c:v>514.5</c:v>
                </c:pt>
                <c:pt idx="172">
                  <c:v>514.0</c:v>
                </c:pt>
                <c:pt idx="173">
                  <c:v>513.5</c:v>
                </c:pt>
                <c:pt idx="174">
                  <c:v>513.0</c:v>
                </c:pt>
                <c:pt idx="175">
                  <c:v>512.5</c:v>
                </c:pt>
                <c:pt idx="176">
                  <c:v>512.0</c:v>
                </c:pt>
                <c:pt idx="177">
                  <c:v>511.5</c:v>
                </c:pt>
                <c:pt idx="178">
                  <c:v>511.0</c:v>
                </c:pt>
                <c:pt idx="179">
                  <c:v>510.5</c:v>
                </c:pt>
                <c:pt idx="180">
                  <c:v>510.0</c:v>
                </c:pt>
                <c:pt idx="181">
                  <c:v>509.5</c:v>
                </c:pt>
                <c:pt idx="182">
                  <c:v>509.0</c:v>
                </c:pt>
                <c:pt idx="183">
                  <c:v>508.5</c:v>
                </c:pt>
                <c:pt idx="184">
                  <c:v>508.0</c:v>
                </c:pt>
                <c:pt idx="185">
                  <c:v>507.5</c:v>
                </c:pt>
                <c:pt idx="186">
                  <c:v>507.0</c:v>
                </c:pt>
                <c:pt idx="187">
                  <c:v>506.5</c:v>
                </c:pt>
                <c:pt idx="188">
                  <c:v>506.0</c:v>
                </c:pt>
                <c:pt idx="189">
                  <c:v>505.5</c:v>
                </c:pt>
                <c:pt idx="190">
                  <c:v>505.0</c:v>
                </c:pt>
                <c:pt idx="191">
                  <c:v>504.5</c:v>
                </c:pt>
                <c:pt idx="192">
                  <c:v>504.0</c:v>
                </c:pt>
                <c:pt idx="193">
                  <c:v>503.5</c:v>
                </c:pt>
                <c:pt idx="194">
                  <c:v>503.0</c:v>
                </c:pt>
                <c:pt idx="195">
                  <c:v>502.5</c:v>
                </c:pt>
                <c:pt idx="196">
                  <c:v>502.0</c:v>
                </c:pt>
                <c:pt idx="197">
                  <c:v>501.5</c:v>
                </c:pt>
                <c:pt idx="198">
                  <c:v>501.0</c:v>
                </c:pt>
                <c:pt idx="199">
                  <c:v>500.5</c:v>
                </c:pt>
                <c:pt idx="200">
                  <c:v>500.0</c:v>
                </c:pt>
                <c:pt idx="201">
                  <c:v>499.5</c:v>
                </c:pt>
                <c:pt idx="202">
                  <c:v>499.0</c:v>
                </c:pt>
                <c:pt idx="203">
                  <c:v>498.5</c:v>
                </c:pt>
                <c:pt idx="204">
                  <c:v>498.0</c:v>
                </c:pt>
                <c:pt idx="205">
                  <c:v>497.5</c:v>
                </c:pt>
                <c:pt idx="206">
                  <c:v>497.0</c:v>
                </c:pt>
                <c:pt idx="207">
                  <c:v>496.5</c:v>
                </c:pt>
                <c:pt idx="208">
                  <c:v>496.0</c:v>
                </c:pt>
                <c:pt idx="209">
                  <c:v>495.5</c:v>
                </c:pt>
                <c:pt idx="210">
                  <c:v>495.0</c:v>
                </c:pt>
                <c:pt idx="211">
                  <c:v>494.5</c:v>
                </c:pt>
                <c:pt idx="212">
                  <c:v>494.0</c:v>
                </c:pt>
                <c:pt idx="213">
                  <c:v>493.5</c:v>
                </c:pt>
                <c:pt idx="214">
                  <c:v>493.0</c:v>
                </c:pt>
                <c:pt idx="215">
                  <c:v>492.5</c:v>
                </c:pt>
                <c:pt idx="216">
                  <c:v>492.0</c:v>
                </c:pt>
                <c:pt idx="217">
                  <c:v>491.5</c:v>
                </c:pt>
                <c:pt idx="218">
                  <c:v>491.0</c:v>
                </c:pt>
                <c:pt idx="219">
                  <c:v>490.5</c:v>
                </c:pt>
                <c:pt idx="220">
                  <c:v>490.0</c:v>
                </c:pt>
                <c:pt idx="221">
                  <c:v>489.5</c:v>
                </c:pt>
                <c:pt idx="222">
                  <c:v>489.0</c:v>
                </c:pt>
                <c:pt idx="223">
                  <c:v>488.5</c:v>
                </c:pt>
                <c:pt idx="224">
                  <c:v>488.0</c:v>
                </c:pt>
                <c:pt idx="225">
                  <c:v>487.5</c:v>
                </c:pt>
                <c:pt idx="226">
                  <c:v>487.0</c:v>
                </c:pt>
                <c:pt idx="227">
                  <c:v>486.5</c:v>
                </c:pt>
                <c:pt idx="228">
                  <c:v>486.0</c:v>
                </c:pt>
                <c:pt idx="229">
                  <c:v>485.5</c:v>
                </c:pt>
                <c:pt idx="230">
                  <c:v>485.0</c:v>
                </c:pt>
                <c:pt idx="231">
                  <c:v>484.5</c:v>
                </c:pt>
                <c:pt idx="232">
                  <c:v>484.0</c:v>
                </c:pt>
                <c:pt idx="233">
                  <c:v>483.5</c:v>
                </c:pt>
                <c:pt idx="234">
                  <c:v>483.0</c:v>
                </c:pt>
                <c:pt idx="235">
                  <c:v>482.5</c:v>
                </c:pt>
                <c:pt idx="236">
                  <c:v>482.0</c:v>
                </c:pt>
                <c:pt idx="237">
                  <c:v>481.5</c:v>
                </c:pt>
                <c:pt idx="238">
                  <c:v>481.0</c:v>
                </c:pt>
                <c:pt idx="239">
                  <c:v>480.5</c:v>
                </c:pt>
                <c:pt idx="240">
                  <c:v>480.0</c:v>
                </c:pt>
                <c:pt idx="241">
                  <c:v>479.5</c:v>
                </c:pt>
                <c:pt idx="242">
                  <c:v>479.0</c:v>
                </c:pt>
                <c:pt idx="243">
                  <c:v>478.5</c:v>
                </c:pt>
                <c:pt idx="244">
                  <c:v>478.0</c:v>
                </c:pt>
                <c:pt idx="245">
                  <c:v>477.5</c:v>
                </c:pt>
                <c:pt idx="246">
                  <c:v>477.0</c:v>
                </c:pt>
                <c:pt idx="247">
                  <c:v>476.5</c:v>
                </c:pt>
                <c:pt idx="248">
                  <c:v>476.0</c:v>
                </c:pt>
                <c:pt idx="249">
                  <c:v>475.5</c:v>
                </c:pt>
                <c:pt idx="250">
                  <c:v>475.0</c:v>
                </c:pt>
                <c:pt idx="251">
                  <c:v>474.5</c:v>
                </c:pt>
                <c:pt idx="252">
                  <c:v>474.0</c:v>
                </c:pt>
                <c:pt idx="253">
                  <c:v>473.5</c:v>
                </c:pt>
                <c:pt idx="254">
                  <c:v>473.0</c:v>
                </c:pt>
                <c:pt idx="255">
                  <c:v>472.5</c:v>
                </c:pt>
                <c:pt idx="256">
                  <c:v>472.0</c:v>
                </c:pt>
                <c:pt idx="257">
                  <c:v>471.5</c:v>
                </c:pt>
                <c:pt idx="258">
                  <c:v>471.0</c:v>
                </c:pt>
                <c:pt idx="259">
                  <c:v>470.5</c:v>
                </c:pt>
                <c:pt idx="260">
                  <c:v>470.0</c:v>
                </c:pt>
                <c:pt idx="261">
                  <c:v>469.5</c:v>
                </c:pt>
                <c:pt idx="262">
                  <c:v>469.0</c:v>
                </c:pt>
                <c:pt idx="263">
                  <c:v>468.5</c:v>
                </c:pt>
                <c:pt idx="264">
                  <c:v>468.0</c:v>
                </c:pt>
                <c:pt idx="265">
                  <c:v>467.5</c:v>
                </c:pt>
                <c:pt idx="266">
                  <c:v>467.0</c:v>
                </c:pt>
                <c:pt idx="267">
                  <c:v>466.5</c:v>
                </c:pt>
                <c:pt idx="268">
                  <c:v>466.0</c:v>
                </c:pt>
                <c:pt idx="269">
                  <c:v>465.5</c:v>
                </c:pt>
                <c:pt idx="270">
                  <c:v>465.0</c:v>
                </c:pt>
                <c:pt idx="271">
                  <c:v>464.5</c:v>
                </c:pt>
                <c:pt idx="272">
                  <c:v>464.0</c:v>
                </c:pt>
                <c:pt idx="273">
                  <c:v>463.5</c:v>
                </c:pt>
                <c:pt idx="274">
                  <c:v>463.0</c:v>
                </c:pt>
                <c:pt idx="275">
                  <c:v>462.5</c:v>
                </c:pt>
                <c:pt idx="276">
                  <c:v>462.0</c:v>
                </c:pt>
                <c:pt idx="277">
                  <c:v>461.5</c:v>
                </c:pt>
                <c:pt idx="278">
                  <c:v>461.0</c:v>
                </c:pt>
                <c:pt idx="279">
                  <c:v>460.5</c:v>
                </c:pt>
                <c:pt idx="280">
                  <c:v>460.0</c:v>
                </c:pt>
                <c:pt idx="281">
                  <c:v>459.5</c:v>
                </c:pt>
                <c:pt idx="282">
                  <c:v>459.0</c:v>
                </c:pt>
                <c:pt idx="283">
                  <c:v>458.5</c:v>
                </c:pt>
                <c:pt idx="284">
                  <c:v>458.0</c:v>
                </c:pt>
                <c:pt idx="285">
                  <c:v>457.5</c:v>
                </c:pt>
                <c:pt idx="286">
                  <c:v>457.0</c:v>
                </c:pt>
                <c:pt idx="287">
                  <c:v>456.5</c:v>
                </c:pt>
                <c:pt idx="288">
                  <c:v>456.0</c:v>
                </c:pt>
                <c:pt idx="289">
                  <c:v>455.5</c:v>
                </c:pt>
                <c:pt idx="290">
                  <c:v>455.0</c:v>
                </c:pt>
                <c:pt idx="291">
                  <c:v>454.5</c:v>
                </c:pt>
                <c:pt idx="292">
                  <c:v>454.0</c:v>
                </c:pt>
                <c:pt idx="293">
                  <c:v>453.5</c:v>
                </c:pt>
                <c:pt idx="294">
                  <c:v>453.0</c:v>
                </c:pt>
                <c:pt idx="295">
                  <c:v>452.5</c:v>
                </c:pt>
                <c:pt idx="296">
                  <c:v>452.0</c:v>
                </c:pt>
                <c:pt idx="297">
                  <c:v>451.5</c:v>
                </c:pt>
                <c:pt idx="298">
                  <c:v>451.0</c:v>
                </c:pt>
                <c:pt idx="299">
                  <c:v>450.5</c:v>
                </c:pt>
                <c:pt idx="300">
                  <c:v>450.0</c:v>
                </c:pt>
                <c:pt idx="301">
                  <c:v>449.5</c:v>
                </c:pt>
                <c:pt idx="302">
                  <c:v>449.0</c:v>
                </c:pt>
                <c:pt idx="303">
                  <c:v>448.5</c:v>
                </c:pt>
                <c:pt idx="304">
                  <c:v>448.0</c:v>
                </c:pt>
                <c:pt idx="305">
                  <c:v>447.5</c:v>
                </c:pt>
                <c:pt idx="306">
                  <c:v>447.0</c:v>
                </c:pt>
                <c:pt idx="307">
                  <c:v>446.5</c:v>
                </c:pt>
                <c:pt idx="308">
                  <c:v>446.0</c:v>
                </c:pt>
                <c:pt idx="309">
                  <c:v>445.5</c:v>
                </c:pt>
                <c:pt idx="310">
                  <c:v>445.0</c:v>
                </c:pt>
                <c:pt idx="311">
                  <c:v>444.5</c:v>
                </c:pt>
                <c:pt idx="312">
                  <c:v>444.0</c:v>
                </c:pt>
                <c:pt idx="313">
                  <c:v>443.5</c:v>
                </c:pt>
                <c:pt idx="314">
                  <c:v>443.0</c:v>
                </c:pt>
                <c:pt idx="315">
                  <c:v>442.5</c:v>
                </c:pt>
                <c:pt idx="316">
                  <c:v>442.0</c:v>
                </c:pt>
                <c:pt idx="317">
                  <c:v>441.5</c:v>
                </c:pt>
                <c:pt idx="318">
                  <c:v>441.0</c:v>
                </c:pt>
                <c:pt idx="319">
                  <c:v>440.5</c:v>
                </c:pt>
                <c:pt idx="320">
                  <c:v>440.0</c:v>
                </c:pt>
                <c:pt idx="321">
                  <c:v>439.5</c:v>
                </c:pt>
                <c:pt idx="322">
                  <c:v>439.0</c:v>
                </c:pt>
                <c:pt idx="323">
                  <c:v>438.5</c:v>
                </c:pt>
                <c:pt idx="324">
                  <c:v>438.0</c:v>
                </c:pt>
                <c:pt idx="325">
                  <c:v>437.5</c:v>
                </c:pt>
                <c:pt idx="326">
                  <c:v>437.0</c:v>
                </c:pt>
                <c:pt idx="327">
                  <c:v>436.5</c:v>
                </c:pt>
                <c:pt idx="328">
                  <c:v>436.0</c:v>
                </c:pt>
                <c:pt idx="329">
                  <c:v>435.5</c:v>
                </c:pt>
                <c:pt idx="330">
                  <c:v>435.0</c:v>
                </c:pt>
                <c:pt idx="331">
                  <c:v>434.5</c:v>
                </c:pt>
                <c:pt idx="332">
                  <c:v>434.0</c:v>
                </c:pt>
                <c:pt idx="333">
                  <c:v>433.5</c:v>
                </c:pt>
                <c:pt idx="334">
                  <c:v>433.0</c:v>
                </c:pt>
                <c:pt idx="335">
                  <c:v>432.5</c:v>
                </c:pt>
                <c:pt idx="336">
                  <c:v>432.0</c:v>
                </c:pt>
                <c:pt idx="337">
                  <c:v>431.5</c:v>
                </c:pt>
                <c:pt idx="338">
                  <c:v>431.0</c:v>
                </c:pt>
                <c:pt idx="339">
                  <c:v>430.5</c:v>
                </c:pt>
                <c:pt idx="340">
                  <c:v>430.0</c:v>
                </c:pt>
                <c:pt idx="341">
                  <c:v>429.5</c:v>
                </c:pt>
                <c:pt idx="342">
                  <c:v>429.0</c:v>
                </c:pt>
                <c:pt idx="343">
                  <c:v>428.5</c:v>
                </c:pt>
                <c:pt idx="344">
                  <c:v>428.0</c:v>
                </c:pt>
                <c:pt idx="345">
                  <c:v>427.5</c:v>
                </c:pt>
                <c:pt idx="346">
                  <c:v>427.0</c:v>
                </c:pt>
                <c:pt idx="347">
                  <c:v>426.5</c:v>
                </c:pt>
                <c:pt idx="348">
                  <c:v>426.0</c:v>
                </c:pt>
                <c:pt idx="349">
                  <c:v>425.5</c:v>
                </c:pt>
                <c:pt idx="350">
                  <c:v>425.0</c:v>
                </c:pt>
                <c:pt idx="351">
                  <c:v>424.5</c:v>
                </c:pt>
                <c:pt idx="352">
                  <c:v>424.0</c:v>
                </c:pt>
                <c:pt idx="353">
                  <c:v>423.5</c:v>
                </c:pt>
                <c:pt idx="354">
                  <c:v>423.0</c:v>
                </c:pt>
                <c:pt idx="355">
                  <c:v>422.5</c:v>
                </c:pt>
                <c:pt idx="356">
                  <c:v>422.0</c:v>
                </c:pt>
                <c:pt idx="357">
                  <c:v>421.5</c:v>
                </c:pt>
                <c:pt idx="358">
                  <c:v>421.0</c:v>
                </c:pt>
                <c:pt idx="359">
                  <c:v>420.5</c:v>
                </c:pt>
                <c:pt idx="360">
                  <c:v>420.0</c:v>
                </c:pt>
                <c:pt idx="361">
                  <c:v>419.5</c:v>
                </c:pt>
                <c:pt idx="362">
                  <c:v>419.0</c:v>
                </c:pt>
                <c:pt idx="363">
                  <c:v>418.5</c:v>
                </c:pt>
                <c:pt idx="364">
                  <c:v>418.0</c:v>
                </c:pt>
                <c:pt idx="365">
                  <c:v>417.5</c:v>
                </c:pt>
                <c:pt idx="366">
                  <c:v>417.0</c:v>
                </c:pt>
                <c:pt idx="367">
                  <c:v>416.5</c:v>
                </c:pt>
                <c:pt idx="368">
                  <c:v>416.0</c:v>
                </c:pt>
                <c:pt idx="369">
                  <c:v>415.5</c:v>
                </c:pt>
                <c:pt idx="370">
                  <c:v>415.0</c:v>
                </c:pt>
                <c:pt idx="371">
                  <c:v>414.5</c:v>
                </c:pt>
                <c:pt idx="372">
                  <c:v>414.0</c:v>
                </c:pt>
                <c:pt idx="373">
                  <c:v>413.5</c:v>
                </c:pt>
                <c:pt idx="374">
                  <c:v>413.0</c:v>
                </c:pt>
                <c:pt idx="375">
                  <c:v>412.5</c:v>
                </c:pt>
                <c:pt idx="376">
                  <c:v>412.0</c:v>
                </c:pt>
                <c:pt idx="377">
                  <c:v>411.5</c:v>
                </c:pt>
                <c:pt idx="378">
                  <c:v>411.0</c:v>
                </c:pt>
                <c:pt idx="379">
                  <c:v>410.5</c:v>
                </c:pt>
                <c:pt idx="380">
                  <c:v>410.0</c:v>
                </c:pt>
                <c:pt idx="381">
                  <c:v>409.5</c:v>
                </c:pt>
                <c:pt idx="382">
                  <c:v>409.0</c:v>
                </c:pt>
                <c:pt idx="383">
                  <c:v>408.5</c:v>
                </c:pt>
                <c:pt idx="384">
                  <c:v>408.0</c:v>
                </c:pt>
                <c:pt idx="385">
                  <c:v>407.5</c:v>
                </c:pt>
                <c:pt idx="386">
                  <c:v>407.0</c:v>
                </c:pt>
                <c:pt idx="387">
                  <c:v>406.5</c:v>
                </c:pt>
                <c:pt idx="388">
                  <c:v>406.0</c:v>
                </c:pt>
                <c:pt idx="389">
                  <c:v>405.5</c:v>
                </c:pt>
                <c:pt idx="390">
                  <c:v>405.0</c:v>
                </c:pt>
                <c:pt idx="391">
                  <c:v>404.5</c:v>
                </c:pt>
                <c:pt idx="392">
                  <c:v>404.0</c:v>
                </c:pt>
                <c:pt idx="393">
                  <c:v>403.5</c:v>
                </c:pt>
                <c:pt idx="394">
                  <c:v>403.0</c:v>
                </c:pt>
                <c:pt idx="395">
                  <c:v>402.5</c:v>
                </c:pt>
                <c:pt idx="396">
                  <c:v>402.0</c:v>
                </c:pt>
                <c:pt idx="397">
                  <c:v>401.5</c:v>
                </c:pt>
                <c:pt idx="398">
                  <c:v>401.0</c:v>
                </c:pt>
                <c:pt idx="399">
                  <c:v>400.5</c:v>
                </c:pt>
                <c:pt idx="400">
                  <c:v>400.0</c:v>
                </c:pt>
                <c:pt idx="401">
                  <c:v>399.5</c:v>
                </c:pt>
                <c:pt idx="402">
                  <c:v>399.0</c:v>
                </c:pt>
                <c:pt idx="403">
                  <c:v>398.5</c:v>
                </c:pt>
                <c:pt idx="404">
                  <c:v>398.0</c:v>
                </c:pt>
                <c:pt idx="405">
                  <c:v>397.5</c:v>
                </c:pt>
                <c:pt idx="406">
                  <c:v>397.0</c:v>
                </c:pt>
                <c:pt idx="407">
                  <c:v>396.5</c:v>
                </c:pt>
                <c:pt idx="408">
                  <c:v>396.0</c:v>
                </c:pt>
                <c:pt idx="409">
                  <c:v>395.5</c:v>
                </c:pt>
                <c:pt idx="410">
                  <c:v>395.0</c:v>
                </c:pt>
                <c:pt idx="411">
                  <c:v>394.5</c:v>
                </c:pt>
                <c:pt idx="412">
                  <c:v>394.0</c:v>
                </c:pt>
                <c:pt idx="413">
                  <c:v>393.5</c:v>
                </c:pt>
                <c:pt idx="414">
                  <c:v>393.0</c:v>
                </c:pt>
                <c:pt idx="415">
                  <c:v>392.5</c:v>
                </c:pt>
                <c:pt idx="416">
                  <c:v>392.0</c:v>
                </c:pt>
                <c:pt idx="417">
                  <c:v>391.5</c:v>
                </c:pt>
                <c:pt idx="418">
                  <c:v>391.0</c:v>
                </c:pt>
                <c:pt idx="419">
                  <c:v>390.5</c:v>
                </c:pt>
                <c:pt idx="420">
                  <c:v>390.0</c:v>
                </c:pt>
                <c:pt idx="421">
                  <c:v>389.5</c:v>
                </c:pt>
                <c:pt idx="422">
                  <c:v>389.0</c:v>
                </c:pt>
                <c:pt idx="423">
                  <c:v>388.5</c:v>
                </c:pt>
                <c:pt idx="424">
                  <c:v>388.0</c:v>
                </c:pt>
                <c:pt idx="425">
                  <c:v>387.5</c:v>
                </c:pt>
                <c:pt idx="426">
                  <c:v>387.0</c:v>
                </c:pt>
                <c:pt idx="427">
                  <c:v>386.5</c:v>
                </c:pt>
                <c:pt idx="428">
                  <c:v>386.0</c:v>
                </c:pt>
                <c:pt idx="429">
                  <c:v>385.5</c:v>
                </c:pt>
                <c:pt idx="430">
                  <c:v>385.0</c:v>
                </c:pt>
                <c:pt idx="431">
                  <c:v>384.5</c:v>
                </c:pt>
                <c:pt idx="432">
                  <c:v>384.0</c:v>
                </c:pt>
                <c:pt idx="433">
                  <c:v>383.5</c:v>
                </c:pt>
                <c:pt idx="434">
                  <c:v>383.0</c:v>
                </c:pt>
                <c:pt idx="435">
                  <c:v>382.5</c:v>
                </c:pt>
                <c:pt idx="436">
                  <c:v>382.0</c:v>
                </c:pt>
                <c:pt idx="437">
                  <c:v>381.5</c:v>
                </c:pt>
                <c:pt idx="438">
                  <c:v>381.0</c:v>
                </c:pt>
                <c:pt idx="439">
                  <c:v>380.5</c:v>
                </c:pt>
                <c:pt idx="440">
                  <c:v>380.0</c:v>
                </c:pt>
                <c:pt idx="441">
                  <c:v>379.5</c:v>
                </c:pt>
                <c:pt idx="442">
                  <c:v>379.0</c:v>
                </c:pt>
                <c:pt idx="443">
                  <c:v>378.5</c:v>
                </c:pt>
                <c:pt idx="444">
                  <c:v>378.0</c:v>
                </c:pt>
                <c:pt idx="445">
                  <c:v>377.5</c:v>
                </c:pt>
                <c:pt idx="446">
                  <c:v>377.0</c:v>
                </c:pt>
                <c:pt idx="447">
                  <c:v>376.5</c:v>
                </c:pt>
                <c:pt idx="448">
                  <c:v>376.0</c:v>
                </c:pt>
                <c:pt idx="449">
                  <c:v>375.5</c:v>
                </c:pt>
                <c:pt idx="450">
                  <c:v>375.0</c:v>
                </c:pt>
                <c:pt idx="451">
                  <c:v>374.5</c:v>
                </c:pt>
                <c:pt idx="452">
                  <c:v>374.0</c:v>
                </c:pt>
                <c:pt idx="453">
                  <c:v>373.5</c:v>
                </c:pt>
                <c:pt idx="454">
                  <c:v>373.0</c:v>
                </c:pt>
                <c:pt idx="455">
                  <c:v>372.5</c:v>
                </c:pt>
                <c:pt idx="456">
                  <c:v>372.0</c:v>
                </c:pt>
                <c:pt idx="457">
                  <c:v>371.5</c:v>
                </c:pt>
                <c:pt idx="458">
                  <c:v>371.0</c:v>
                </c:pt>
                <c:pt idx="459">
                  <c:v>370.5</c:v>
                </c:pt>
                <c:pt idx="460">
                  <c:v>370.0</c:v>
                </c:pt>
                <c:pt idx="461">
                  <c:v>369.5</c:v>
                </c:pt>
                <c:pt idx="462">
                  <c:v>369.0</c:v>
                </c:pt>
                <c:pt idx="463">
                  <c:v>368.5</c:v>
                </c:pt>
                <c:pt idx="464">
                  <c:v>368.0</c:v>
                </c:pt>
                <c:pt idx="465">
                  <c:v>367.5</c:v>
                </c:pt>
                <c:pt idx="466">
                  <c:v>367.0</c:v>
                </c:pt>
                <c:pt idx="467">
                  <c:v>366.5</c:v>
                </c:pt>
                <c:pt idx="468">
                  <c:v>366.0</c:v>
                </c:pt>
                <c:pt idx="469">
                  <c:v>365.5</c:v>
                </c:pt>
                <c:pt idx="470">
                  <c:v>365.0</c:v>
                </c:pt>
                <c:pt idx="471">
                  <c:v>364.5</c:v>
                </c:pt>
                <c:pt idx="472">
                  <c:v>364.0</c:v>
                </c:pt>
                <c:pt idx="473">
                  <c:v>363.5</c:v>
                </c:pt>
                <c:pt idx="474">
                  <c:v>363.0</c:v>
                </c:pt>
                <c:pt idx="475">
                  <c:v>362.5</c:v>
                </c:pt>
                <c:pt idx="476">
                  <c:v>362.0</c:v>
                </c:pt>
                <c:pt idx="477">
                  <c:v>361.5</c:v>
                </c:pt>
                <c:pt idx="478">
                  <c:v>361.0</c:v>
                </c:pt>
                <c:pt idx="479">
                  <c:v>360.5</c:v>
                </c:pt>
                <c:pt idx="480">
                  <c:v>360.0</c:v>
                </c:pt>
                <c:pt idx="481">
                  <c:v>359.5</c:v>
                </c:pt>
                <c:pt idx="482">
                  <c:v>359.0</c:v>
                </c:pt>
                <c:pt idx="483">
                  <c:v>358.5</c:v>
                </c:pt>
                <c:pt idx="484">
                  <c:v>358.0</c:v>
                </c:pt>
                <c:pt idx="485">
                  <c:v>357.5</c:v>
                </c:pt>
                <c:pt idx="486">
                  <c:v>357.0</c:v>
                </c:pt>
                <c:pt idx="487">
                  <c:v>356.5</c:v>
                </c:pt>
                <c:pt idx="488">
                  <c:v>356.0</c:v>
                </c:pt>
                <c:pt idx="489">
                  <c:v>355.5</c:v>
                </c:pt>
                <c:pt idx="490">
                  <c:v>355.0</c:v>
                </c:pt>
                <c:pt idx="491">
                  <c:v>354.5</c:v>
                </c:pt>
                <c:pt idx="492">
                  <c:v>354.0</c:v>
                </c:pt>
                <c:pt idx="493">
                  <c:v>353.5</c:v>
                </c:pt>
                <c:pt idx="494">
                  <c:v>353.0</c:v>
                </c:pt>
                <c:pt idx="495">
                  <c:v>352.5</c:v>
                </c:pt>
                <c:pt idx="496">
                  <c:v>352.0</c:v>
                </c:pt>
                <c:pt idx="497">
                  <c:v>351.5</c:v>
                </c:pt>
                <c:pt idx="498">
                  <c:v>351.0</c:v>
                </c:pt>
                <c:pt idx="499">
                  <c:v>350.5</c:v>
                </c:pt>
                <c:pt idx="500">
                  <c:v>350.0</c:v>
                </c:pt>
                <c:pt idx="501">
                  <c:v>349.5</c:v>
                </c:pt>
                <c:pt idx="502">
                  <c:v>349.0</c:v>
                </c:pt>
                <c:pt idx="503">
                  <c:v>348.5</c:v>
                </c:pt>
                <c:pt idx="504">
                  <c:v>348.0</c:v>
                </c:pt>
                <c:pt idx="505">
                  <c:v>347.5</c:v>
                </c:pt>
                <c:pt idx="506">
                  <c:v>347.0</c:v>
                </c:pt>
                <c:pt idx="507">
                  <c:v>346.5</c:v>
                </c:pt>
                <c:pt idx="508">
                  <c:v>346.0</c:v>
                </c:pt>
                <c:pt idx="509">
                  <c:v>345.5</c:v>
                </c:pt>
                <c:pt idx="510">
                  <c:v>345.0</c:v>
                </c:pt>
                <c:pt idx="511">
                  <c:v>344.5</c:v>
                </c:pt>
                <c:pt idx="512">
                  <c:v>344.0</c:v>
                </c:pt>
                <c:pt idx="513">
                  <c:v>343.5</c:v>
                </c:pt>
                <c:pt idx="514">
                  <c:v>343.0</c:v>
                </c:pt>
                <c:pt idx="515">
                  <c:v>342.5</c:v>
                </c:pt>
                <c:pt idx="516">
                  <c:v>342.0</c:v>
                </c:pt>
                <c:pt idx="517">
                  <c:v>341.5</c:v>
                </c:pt>
                <c:pt idx="518">
                  <c:v>341.0</c:v>
                </c:pt>
                <c:pt idx="519">
                  <c:v>340.5</c:v>
                </c:pt>
                <c:pt idx="520">
                  <c:v>340.0</c:v>
                </c:pt>
                <c:pt idx="521">
                  <c:v>339.5</c:v>
                </c:pt>
                <c:pt idx="522">
                  <c:v>339.0</c:v>
                </c:pt>
                <c:pt idx="523">
                  <c:v>338.5</c:v>
                </c:pt>
                <c:pt idx="524">
                  <c:v>338.0</c:v>
                </c:pt>
                <c:pt idx="525">
                  <c:v>337.5</c:v>
                </c:pt>
                <c:pt idx="526">
                  <c:v>337.0</c:v>
                </c:pt>
                <c:pt idx="527">
                  <c:v>336.5</c:v>
                </c:pt>
                <c:pt idx="528">
                  <c:v>336.0</c:v>
                </c:pt>
                <c:pt idx="529">
                  <c:v>335.5</c:v>
                </c:pt>
                <c:pt idx="530">
                  <c:v>335.0</c:v>
                </c:pt>
                <c:pt idx="531">
                  <c:v>334.5</c:v>
                </c:pt>
                <c:pt idx="532">
                  <c:v>334.0</c:v>
                </c:pt>
                <c:pt idx="533">
                  <c:v>333.5</c:v>
                </c:pt>
                <c:pt idx="534">
                  <c:v>333.0</c:v>
                </c:pt>
                <c:pt idx="535">
                  <c:v>332.5</c:v>
                </c:pt>
                <c:pt idx="536">
                  <c:v>332.0</c:v>
                </c:pt>
                <c:pt idx="537">
                  <c:v>331.5</c:v>
                </c:pt>
                <c:pt idx="538">
                  <c:v>331.0</c:v>
                </c:pt>
                <c:pt idx="539">
                  <c:v>330.5</c:v>
                </c:pt>
                <c:pt idx="540">
                  <c:v>330.0</c:v>
                </c:pt>
                <c:pt idx="541">
                  <c:v>329.5</c:v>
                </c:pt>
                <c:pt idx="542">
                  <c:v>329.0</c:v>
                </c:pt>
                <c:pt idx="543">
                  <c:v>328.5</c:v>
                </c:pt>
                <c:pt idx="544">
                  <c:v>328.0</c:v>
                </c:pt>
                <c:pt idx="545">
                  <c:v>327.5</c:v>
                </c:pt>
                <c:pt idx="546">
                  <c:v>327.0</c:v>
                </c:pt>
                <c:pt idx="547">
                  <c:v>326.5</c:v>
                </c:pt>
                <c:pt idx="548">
                  <c:v>326.0</c:v>
                </c:pt>
                <c:pt idx="549">
                  <c:v>325.5</c:v>
                </c:pt>
                <c:pt idx="550">
                  <c:v>325.0</c:v>
                </c:pt>
                <c:pt idx="551">
                  <c:v>324.5</c:v>
                </c:pt>
                <c:pt idx="552">
                  <c:v>324.0</c:v>
                </c:pt>
                <c:pt idx="553">
                  <c:v>323.5</c:v>
                </c:pt>
                <c:pt idx="554">
                  <c:v>323.0</c:v>
                </c:pt>
                <c:pt idx="555">
                  <c:v>322.5</c:v>
                </c:pt>
                <c:pt idx="556">
                  <c:v>322.0</c:v>
                </c:pt>
                <c:pt idx="557">
                  <c:v>321.5</c:v>
                </c:pt>
                <c:pt idx="558">
                  <c:v>321.0</c:v>
                </c:pt>
                <c:pt idx="559">
                  <c:v>320.5</c:v>
                </c:pt>
                <c:pt idx="560">
                  <c:v>320.0</c:v>
                </c:pt>
                <c:pt idx="561">
                  <c:v>319.5</c:v>
                </c:pt>
                <c:pt idx="562">
                  <c:v>319.0</c:v>
                </c:pt>
                <c:pt idx="563">
                  <c:v>318.5</c:v>
                </c:pt>
                <c:pt idx="564">
                  <c:v>318.0</c:v>
                </c:pt>
                <c:pt idx="565">
                  <c:v>317.5</c:v>
                </c:pt>
                <c:pt idx="566">
                  <c:v>317.0</c:v>
                </c:pt>
                <c:pt idx="567">
                  <c:v>316.5</c:v>
                </c:pt>
                <c:pt idx="568">
                  <c:v>316.0</c:v>
                </c:pt>
                <c:pt idx="569">
                  <c:v>315.5</c:v>
                </c:pt>
                <c:pt idx="570">
                  <c:v>315.0</c:v>
                </c:pt>
                <c:pt idx="571">
                  <c:v>314.5</c:v>
                </c:pt>
                <c:pt idx="572">
                  <c:v>314.0</c:v>
                </c:pt>
                <c:pt idx="573">
                  <c:v>313.5</c:v>
                </c:pt>
                <c:pt idx="574">
                  <c:v>313.0</c:v>
                </c:pt>
                <c:pt idx="575">
                  <c:v>312.5</c:v>
                </c:pt>
                <c:pt idx="576">
                  <c:v>312.0</c:v>
                </c:pt>
                <c:pt idx="577">
                  <c:v>311.5</c:v>
                </c:pt>
                <c:pt idx="578">
                  <c:v>311.0</c:v>
                </c:pt>
                <c:pt idx="579">
                  <c:v>310.5</c:v>
                </c:pt>
                <c:pt idx="580">
                  <c:v>310.0</c:v>
                </c:pt>
                <c:pt idx="581">
                  <c:v>309.5</c:v>
                </c:pt>
                <c:pt idx="582">
                  <c:v>309.0</c:v>
                </c:pt>
                <c:pt idx="583">
                  <c:v>308.5</c:v>
                </c:pt>
                <c:pt idx="584">
                  <c:v>308.0</c:v>
                </c:pt>
                <c:pt idx="585">
                  <c:v>307.5</c:v>
                </c:pt>
                <c:pt idx="586">
                  <c:v>307.0</c:v>
                </c:pt>
                <c:pt idx="587">
                  <c:v>306.5</c:v>
                </c:pt>
                <c:pt idx="588">
                  <c:v>306.0</c:v>
                </c:pt>
                <c:pt idx="589">
                  <c:v>305.5</c:v>
                </c:pt>
                <c:pt idx="590">
                  <c:v>305.0</c:v>
                </c:pt>
                <c:pt idx="591">
                  <c:v>304.5</c:v>
                </c:pt>
                <c:pt idx="592">
                  <c:v>304.0</c:v>
                </c:pt>
                <c:pt idx="593">
                  <c:v>303.5</c:v>
                </c:pt>
                <c:pt idx="594">
                  <c:v>303.0</c:v>
                </c:pt>
                <c:pt idx="595">
                  <c:v>302.5</c:v>
                </c:pt>
                <c:pt idx="596">
                  <c:v>302.0</c:v>
                </c:pt>
                <c:pt idx="597">
                  <c:v>301.5</c:v>
                </c:pt>
                <c:pt idx="598">
                  <c:v>301.0</c:v>
                </c:pt>
                <c:pt idx="599">
                  <c:v>300.5</c:v>
                </c:pt>
                <c:pt idx="600">
                  <c:v>300.0</c:v>
                </c:pt>
                <c:pt idx="601">
                  <c:v>299.5</c:v>
                </c:pt>
                <c:pt idx="602">
                  <c:v>299.0</c:v>
                </c:pt>
                <c:pt idx="603">
                  <c:v>298.5</c:v>
                </c:pt>
                <c:pt idx="604">
                  <c:v>298.0</c:v>
                </c:pt>
                <c:pt idx="605">
                  <c:v>297.5</c:v>
                </c:pt>
                <c:pt idx="606">
                  <c:v>297.0</c:v>
                </c:pt>
                <c:pt idx="607">
                  <c:v>296.5</c:v>
                </c:pt>
                <c:pt idx="608">
                  <c:v>296.0</c:v>
                </c:pt>
                <c:pt idx="609">
                  <c:v>295.5</c:v>
                </c:pt>
                <c:pt idx="610">
                  <c:v>295.0</c:v>
                </c:pt>
                <c:pt idx="611">
                  <c:v>294.5</c:v>
                </c:pt>
                <c:pt idx="612">
                  <c:v>294.0</c:v>
                </c:pt>
                <c:pt idx="613">
                  <c:v>293.5</c:v>
                </c:pt>
                <c:pt idx="614">
                  <c:v>293.0</c:v>
                </c:pt>
                <c:pt idx="615">
                  <c:v>292.5</c:v>
                </c:pt>
                <c:pt idx="616">
                  <c:v>292.0</c:v>
                </c:pt>
                <c:pt idx="617">
                  <c:v>291.5</c:v>
                </c:pt>
                <c:pt idx="618">
                  <c:v>291.0</c:v>
                </c:pt>
                <c:pt idx="619">
                  <c:v>290.5</c:v>
                </c:pt>
                <c:pt idx="620">
                  <c:v>290.0</c:v>
                </c:pt>
                <c:pt idx="621">
                  <c:v>289.5</c:v>
                </c:pt>
                <c:pt idx="622">
                  <c:v>289.0</c:v>
                </c:pt>
                <c:pt idx="623">
                  <c:v>288.5</c:v>
                </c:pt>
                <c:pt idx="624">
                  <c:v>288.0</c:v>
                </c:pt>
                <c:pt idx="625">
                  <c:v>287.5</c:v>
                </c:pt>
                <c:pt idx="626">
                  <c:v>287.0</c:v>
                </c:pt>
                <c:pt idx="627">
                  <c:v>286.5</c:v>
                </c:pt>
                <c:pt idx="628">
                  <c:v>286.0</c:v>
                </c:pt>
                <c:pt idx="629">
                  <c:v>285.5</c:v>
                </c:pt>
                <c:pt idx="630">
                  <c:v>285.0</c:v>
                </c:pt>
                <c:pt idx="631">
                  <c:v>284.5</c:v>
                </c:pt>
                <c:pt idx="632">
                  <c:v>284.0</c:v>
                </c:pt>
                <c:pt idx="633">
                  <c:v>283.5</c:v>
                </c:pt>
                <c:pt idx="634">
                  <c:v>283.0</c:v>
                </c:pt>
                <c:pt idx="635">
                  <c:v>282.5</c:v>
                </c:pt>
                <c:pt idx="636">
                  <c:v>282.0</c:v>
                </c:pt>
                <c:pt idx="637">
                  <c:v>281.5</c:v>
                </c:pt>
                <c:pt idx="638">
                  <c:v>281.0</c:v>
                </c:pt>
                <c:pt idx="639">
                  <c:v>280.5</c:v>
                </c:pt>
                <c:pt idx="640">
                  <c:v>280.0</c:v>
                </c:pt>
                <c:pt idx="641">
                  <c:v>279.5</c:v>
                </c:pt>
                <c:pt idx="642">
                  <c:v>279.0</c:v>
                </c:pt>
                <c:pt idx="643">
                  <c:v>278.5</c:v>
                </c:pt>
                <c:pt idx="644">
                  <c:v>278.0</c:v>
                </c:pt>
                <c:pt idx="645">
                  <c:v>277.5</c:v>
                </c:pt>
                <c:pt idx="646">
                  <c:v>277.0</c:v>
                </c:pt>
                <c:pt idx="647">
                  <c:v>276.5</c:v>
                </c:pt>
                <c:pt idx="648">
                  <c:v>276.0</c:v>
                </c:pt>
                <c:pt idx="649">
                  <c:v>275.5</c:v>
                </c:pt>
                <c:pt idx="650">
                  <c:v>275.0</c:v>
                </c:pt>
                <c:pt idx="651">
                  <c:v>274.5</c:v>
                </c:pt>
                <c:pt idx="652">
                  <c:v>274.0</c:v>
                </c:pt>
                <c:pt idx="653">
                  <c:v>273.5</c:v>
                </c:pt>
                <c:pt idx="654">
                  <c:v>273.0</c:v>
                </c:pt>
                <c:pt idx="655">
                  <c:v>272.5</c:v>
                </c:pt>
                <c:pt idx="656">
                  <c:v>272.0</c:v>
                </c:pt>
                <c:pt idx="657">
                  <c:v>271.5</c:v>
                </c:pt>
                <c:pt idx="658">
                  <c:v>271.0</c:v>
                </c:pt>
                <c:pt idx="659">
                  <c:v>270.5</c:v>
                </c:pt>
                <c:pt idx="660">
                  <c:v>270.0</c:v>
                </c:pt>
                <c:pt idx="661">
                  <c:v>269.5</c:v>
                </c:pt>
                <c:pt idx="662">
                  <c:v>269.0</c:v>
                </c:pt>
                <c:pt idx="663">
                  <c:v>268.5</c:v>
                </c:pt>
                <c:pt idx="664">
                  <c:v>268.0</c:v>
                </c:pt>
                <c:pt idx="665">
                  <c:v>267.5</c:v>
                </c:pt>
                <c:pt idx="666">
                  <c:v>267.0</c:v>
                </c:pt>
                <c:pt idx="667">
                  <c:v>266.5</c:v>
                </c:pt>
                <c:pt idx="668">
                  <c:v>266.0</c:v>
                </c:pt>
                <c:pt idx="669">
                  <c:v>265.5</c:v>
                </c:pt>
                <c:pt idx="670">
                  <c:v>265.0</c:v>
                </c:pt>
                <c:pt idx="671">
                  <c:v>264.5</c:v>
                </c:pt>
                <c:pt idx="672">
                  <c:v>264.0</c:v>
                </c:pt>
                <c:pt idx="673">
                  <c:v>263.5</c:v>
                </c:pt>
                <c:pt idx="674">
                  <c:v>263.0</c:v>
                </c:pt>
                <c:pt idx="675">
                  <c:v>262.5</c:v>
                </c:pt>
                <c:pt idx="676">
                  <c:v>262.0</c:v>
                </c:pt>
                <c:pt idx="677">
                  <c:v>261.5</c:v>
                </c:pt>
                <c:pt idx="678">
                  <c:v>261.0</c:v>
                </c:pt>
                <c:pt idx="679">
                  <c:v>260.5</c:v>
                </c:pt>
                <c:pt idx="680">
                  <c:v>260.0</c:v>
                </c:pt>
                <c:pt idx="681">
                  <c:v>259.5</c:v>
                </c:pt>
                <c:pt idx="682">
                  <c:v>259.0</c:v>
                </c:pt>
                <c:pt idx="683">
                  <c:v>258.5</c:v>
                </c:pt>
                <c:pt idx="684">
                  <c:v>258.0</c:v>
                </c:pt>
                <c:pt idx="685">
                  <c:v>257.5</c:v>
                </c:pt>
                <c:pt idx="686">
                  <c:v>257.0</c:v>
                </c:pt>
                <c:pt idx="687">
                  <c:v>256.5</c:v>
                </c:pt>
                <c:pt idx="688">
                  <c:v>256.0</c:v>
                </c:pt>
                <c:pt idx="689">
                  <c:v>255.5</c:v>
                </c:pt>
                <c:pt idx="690">
                  <c:v>255.0</c:v>
                </c:pt>
                <c:pt idx="691">
                  <c:v>254.5</c:v>
                </c:pt>
                <c:pt idx="692">
                  <c:v>254.0</c:v>
                </c:pt>
                <c:pt idx="693">
                  <c:v>253.5</c:v>
                </c:pt>
                <c:pt idx="694">
                  <c:v>253.0</c:v>
                </c:pt>
                <c:pt idx="695">
                  <c:v>252.5</c:v>
                </c:pt>
                <c:pt idx="696">
                  <c:v>252.0</c:v>
                </c:pt>
                <c:pt idx="697">
                  <c:v>251.5</c:v>
                </c:pt>
                <c:pt idx="698">
                  <c:v>251.0</c:v>
                </c:pt>
                <c:pt idx="699">
                  <c:v>250.5</c:v>
                </c:pt>
                <c:pt idx="700">
                  <c:v>250.0</c:v>
                </c:pt>
                <c:pt idx="701">
                  <c:v>249.5</c:v>
                </c:pt>
                <c:pt idx="702">
                  <c:v>249.0</c:v>
                </c:pt>
                <c:pt idx="703">
                  <c:v>248.5</c:v>
                </c:pt>
                <c:pt idx="704">
                  <c:v>248.0</c:v>
                </c:pt>
                <c:pt idx="705">
                  <c:v>247.5</c:v>
                </c:pt>
                <c:pt idx="706">
                  <c:v>247.0</c:v>
                </c:pt>
                <c:pt idx="707">
                  <c:v>246.5</c:v>
                </c:pt>
                <c:pt idx="708">
                  <c:v>246.0</c:v>
                </c:pt>
                <c:pt idx="709">
                  <c:v>245.5</c:v>
                </c:pt>
                <c:pt idx="710">
                  <c:v>245.0</c:v>
                </c:pt>
                <c:pt idx="711">
                  <c:v>244.5</c:v>
                </c:pt>
                <c:pt idx="712">
                  <c:v>244.0</c:v>
                </c:pt>
                <c:pt idx="713">
                  <c:v>243.5</c:v>
                </c:pt>
                <c:pt idx="714">
                  <c:v>243.0</c:v>
                </c:pt>
                <c:pt idx="715">
                  <c:v>242.5</c:v>
                </c:pt>
                <c:pt idx="716">
                  <c:v>242.0</c:v>
                </c:pt>
                <c:pt idx="717">
                  <c:v>241.5</c:v>
                </c:pt>
                <c:pt idx="718">
                  <c:v>241.0</c:v>
                </c:pt>
                <c:pt idx="719">
                  <c:v>240.5</c:v>
                </c:pt>
                <c:pt idx="720">
                  <c:v>240.0</c:v>
                </c:pt>
                <c:pt idx="721">
                  <c:v>239.5</c:v>
                </c:pt>
                <c:pt idx="722">
                  <c:v>239.0</c:v>
                </c:pt>
                <c:pt idx="723">
                  <c:v>238.5</c:v>
                </c:pt>
                <c:pt idx="724">
                  <c:v>238.0</c:v>
                </c:pt>
                <c:pt idx="725">
                  <c:v>237.5</c:v>
                </c:pt>
                <c:pt idx="726">
                  <c:v>237.0</c:v>
                </c:pt>
                <c:pt idx="727">
                  <c:v>236.5</c:v>
                </c:pt>
                <c:pt idx="728">
                  <c:v>236.0</c:v>
                </c:pt>
                <c:pt idx="729">
                  <c:v>235.5</c:v>
                </c:pt>
                <c:pt idx="730">
                  <c:v>235.0</c:v>
                </c:pt>
                <c:pt idx="731">
                  <c:v>234.5</c:v>
                </c:pt>
                <c:pt idx="732">
                  <c:v>234.0</c:v>
                </c:pt>
                <c:pt idx="733">
                  <c:v>233.5</c:v>
                </c:pt>
                <c:pt idx="734">
                  <c:v>233.0</c:v>
                </c:pt>
                <c:pt idx="735">
                  <c:v>232.5</c:v>
                </c:pt>
                <c:pt idx="736">
                  <c:v>232.0</c:v>
                </c:pt>
                <c:pt idx="737">
                  <c:v>231.5</c:v>
                </c:pt>
                <c:pt idx="738">
                  <c:v>231.0</c:v>
                </c:pt>
                <c:pt idx="739">
                  <c:v>230.5</c:v>
                </c:pt>
                <c:pt idx="740">
                  <c:v>230.0</c:v>
                </c:pt>
                <c:pt idx="741">
                  <c:v>229.5</c:v>
                </c:pt>
                <c:pt idx="742">
                  <c:v>229.0</c:v>
                </c:pt>
                <c:pt idx="743">
                  <c:v>228.5</c:v>
                </c:pt>
                <c:pt idx="744">
                  <c:v>228.0</c:v>
                </c:pt>
                <c:pt idx="745">
                  <c:v>227.5</c:v>
                </c:pt>
                <c:pt idx="746">
                  <c:v>227.0</c:v>
                </c:pt>
                <c:pt idx="747">
                  <c:v>226.5</c:v>
                </c:pt>
                <c:pt idx="748">
                  <c:v>226.0</c:v>
                </c:pt>
                <c:pt idx="749">
                  <c:v>225.5</c:v>
                </c:pt>
                <c:pt idx="750">
                  <c:v>225.0</c:v>
                </c:pt>
                <c:pt idx="751">
                  <c:v>224.5</c:v>
                </c:pt>
                <c:pt idx="752">
                  <c:v>224.0</c:v>
                </c:pt>
                <c:pt idx="753">
                  <c:v>223.5</c:v>
                </c:pt>
                <c:pt idx="754">
                  <c:v>223.0</c:v>
                </c:pt>
                <c:pt idx="755">
                  <c:v>222.5</c:v>
                </c:pt>
                <c:pt idx="756">
                  <c:v>222.0</c:v>
                </c:pt>
                <c:pt idx="757">
                  <c:v>221.5</c:v>
                </c:pt>
                <c:pt idx="758">
                  <c:v>221.0</c:v>
                </c:pt>
                <c:pt idx="759">
                  <c:v>220.5</c:v>
                </c:pt>
                <c:pt idx="760">
                  <c:v>220.0</c:v>
                </c:pt>
                <c:pt idx="761">
                  <c:v>219.5</c:v>
                </c:pt>
                <c:pt idx="762">
                  <c:v>219.0</c:v>
                </c:pt>
                <c:pt idx="763">
                  <c:v>218.5</c:v>
                </c:pt>
                <c:pt idx="764">
                  <c:v>218.0</c:v>
                </c:pt>
                <c:pt idx="765">
                  <c:v>217.5</c:v>
                </c:pt>
                <c:pt idx="766">
                  <c:v>217.0</c:v>
                </c:pt>
                <c:pt idx="767">
                  <c:v>216.5</c:v>
                </c:pt>
                <c:pt idx="768">
                  <c:v>216.0</c:v>
                </c:pt>
                <c:pt idx="769">
                  <c:v>215.5</c:v>
                </c:pt>
                <c:pt idx="770">
                  <c:v>215.0</c:v>
                </c:pt>
                <c:pt idx="771">
                  <c:v>214.5</c:v>
                </c:pt>
                <c:pt idx="772">
                  <c:v>214.0</c:v>
                </c:pt>
                <c:pt idx="773">
                  <c:v>213.5</c:v>
                </c:pt>
                <c:pt idx="774">
                  <c:v>213.0</c:v>
                </c:pt>
                <c:pt idx="775">
                  <c:v>212.5</c:v>
                </c:pt>
                <c:pt idx="776">
                  <c:v>212.0</c:v>
                </c:pt>
                <c:pt idx="777">
                  <c:v>211.5</c:v>
                </c:pt>
                <c:pt idx="778">
                  <c:v>211.0</c:v>
                </c:pt>
                <c:pt idx="779">
                  <c:v>210.5</c:v>
                </c:pt>
                <c:pt idx="780">
                  <c:v>210.0</c:v>
                </c:pt>
                <c:pt idx="781">
                  <c:v>209.5</c:v>
                </c:pt>
                <c:pt idx="782">
                  <c:v>209.0</c:v>
                </c:pt>
                <c:pt idx="783">
                  <c:v>208.5</c:v>
                </c:pt>
                <c:pt idx="784">
                  <c:v>208.0</c:v>
                </c:pt>
                <c:pt idx="785">
                  <c:v>207.5</c:v>
                </c:pt>
                <c:pt idx="786">
                  <c:v>207.0</c:v>
                </c:pt>
                <c:pt idx="787">
                  <c:v>206.5</c:v>
                </c:pt>
                <c:pt idx="788">
                  <c:v>206.0</c:v>
                </c:pt>
                <c:pt idx="789">
                  <c:v>205.5</c:v>
                </c:pt>
                <c:pt idx="790">
                  <c:v>205.0</c:v>
                </c:pt>
                <c:pt idx="791">
                  <c:v>204.5</c:v>
                </c:pt>
                <c:pt idx="792">
                  <c:v>204.0</c:v>
                </c:pt>
                <c:pt idx="793">
                  <c:v>203.5</c:v>
                </c:pt>
                <c:pt idx="794">
                  <c:v>203.0</c:v>
                </c:pt>
                <c:pt idx="795">
                  <c:v>202.5</c:v>
                </c:pt>
                <c:pt idx="796">
                  <c:v>202.0</c:v>
                </c:pt>
                <c:pt idx="797">
                  <c:v>201.5</c:v>
                </c:pt>
                <c:pt idx="798">
                  <c:v>201.0</c:v>
                </c:pt>
                <c:pt idx="799">
                  <c:v>200.5</c:v>
                </c:pt>
                <c:pt idx="800">
                  <c:v>200.0</c:v>
                </c:pt>
              </c:numCache>
            </c:numRef>
          </c:xVal>
          <c:yVal>
            <c:numRef>
              <c:f>'Macintosh HD:Users:Brian:Desktop:GoMRI:Sand Patty Scans:[Composite.xlsx]12hdark1.asc'!$D$2:$D$802</c:f>
              <c:numCache>
                <c:formatCode>General</c:formatCode>
                <c:ptCount val="801"/>
                <c:pt idx="0">
                  <c:v>0.0261</c:v>
                </c:pt>
                <c:pt idx="1">
                  <c:v>0.0258</c:v>
                </c:pt>
                <c:pt idx="2">
                  <c:v>0.0262</c:v>
                </c:pt>
                <c:pt idx="3">
                  <c:v>0.0267</c:v>
                </c:pt>
                <c:pt idx="4">
                  <c:v>0.0264</c:v>
                </c:pt>
                <c:pt idx="5">
                  <c:v>0.0257</c:v>
                </c:pt>
                <c:pt idx="6">
                  <c:v>0.0253</c:v>
                </c:pt>
                <c:pt idx="7">
                  <c:v>0.0256</c:v>
                </c:pt>
                <c:pt idx="8">
                  <c:v>0.0257</c:v>
                </c:pt>
                <c:pt idx="9">
                  <c:v>0.0254</c:v>
                </c:pt>
                <c:pt idx="10">
                  <c:v>0.0252</c:v>
                </c:pt>
                <c:pt idx="11">
                  <c:v>0.0256</c:v>
                </c:pt>
                <c:pt idx="12">
                  <c:v>0.0254</c:v>
                </c:pt>
                <c:pt idx="13">
                  <c:v>0.0252</c:v>
                </c:pt>
                <c:pt idx="14">
                  <c:v>0.0256</c:v>
                </c:pt>
                <c:pt idx="15">
                  <c:v>0.0258</c:v>
                </c:pt>
                <c:pt idx="16">
                  <c:v>0.0258</c:v>
                </c:pt>
                <c:pt idx="17">
                  <c:v>0.0258</c:v>
                </c:pt>
                <c:pt idx="18">
                  <c:v>0.0255</c:v>
                </c:pt>
                <c:pt idx="19">
                  <c:v>0.0253</c:v>
                </c:pt>
                <c:pt idx="20">
                  <c:v>0.0256</c:v>
                </c:pt>
                <c:pt idx="21">
                  <c:v>0.0252</c:v>
                </c:pt>
                <c:pt idx="22">
                  <c:v>0.0247</c:v>
                </c:pt>
                <c:pt idx="23">
                  <c:v>0.0249</c:v>
                </c:pt>
                <c:pt idx="24">
                  <c:v>0.0252</c:v>
                </c:pt>
                <c:pt idx="25">
                  <c:v>0.0252</c:v>
                </c:pt>
                <c:pt idx="26">
                  <c:v>0.0251</c:v>
                </c:pt>
                <c:pt idx="27">
                  <c:v>0.0257</c:v>
                </c:pt>
                <c:pt idx="28">
                  <c:v>0.0255</c:v>
                </c:pt>
                <c:pt idx="29">
                  <c:v>0.0249</c:v>
                </c:pt>
                <c:pt idx="30">
                  <c:v>0.0249</c:v>
                </c:pt>
                <c:pt idx="31">
                  <c:v>0.0253</c:v>
                </c:pt>
                <c:pt idx="32">
                  <c:v>0.0255</c:v>
                </c:pt>
                <c:pt idx="33">
                  <c:v>0.0255</c:v>
                </c:pt>
                <c:pt idx="34">
                  <c:v>0.0255</c:v>
                </c:pt>
                <c:pt idx="35">
                  <c:v>0.0255</c:v>
                </c:pt>
                <c:pt idx="36">
                  <c:v>0.0256</c:v>
                </c:pt>
                <c:pt idx="37">
                  <c:v>0.026</c:v>
                </c:pt>
                <c:pt idx="38">
                  <c:v>0.0263</c:v>
                </c:pt>
                <c:pt idx="39">
                  <c:v>0.0262</c:v>
                </c:pt>
                <c:pt idx="40">
                  <c:v>0.026</c:v>
                </c:pt>
                <c:pt idx="41">
                  <c:v>0.0259</c:v>
                </c:pt>
                <c:pt idx="42">
                  <c:v>0.0256</c:v>
                </c:pt>
                <c:pt idx="43">
                  <c:v>0.0255</c:v>
                </c:pt>
                <c:pt idx="44">
                  <c:v>0.0256</c:v>
                </c:pt>
                <c:pt idx="45">
                  <c:v>0.0259</c:v>
                </c:pt>
                <c:pt idx="46">
                  <c:v>0.0258</c:v>
                </c:pt>
                <c:pt idx="47">
                  <c:v>0.0258</c:v>
                </c:pt>
                <c:pt idx="48">
                  <c:v>0.0258</c:v>
                </c:pt>
                <c:pt idx="49">
                  <c:v>0.0257</c:v>
                </c:pt>
                <c:pt idx="50">
                  <c:v>0.0257</c:v>
                </c:pt>
                <c:pt idx="51">
                  <c:v>0.0254</c:v>
                </c:pt>
                <c:pt idx="52">
                  <c:v>0.025</c:v>
                </c:pt>
                <c:pt idx="53">
                  <c:v>0.0254</c:v>
                </c:pt>
                <c:pt idx="54">
                  <c:v>0.026</c:v>
                </c:pt>
                <c:pt idx="55">
                  <c:v>0.0253</c:v>
                </c:pt>
                <c:pt idx="56">
                  <c:v>0.0253</c:v>
                </c:pt>
                <c:pt idx="57">
                  <c:v>0.0258</c:v>
                </c:pt>
                <c:pt idx="58">
                  <c:v>0.0253</c:v>
                </c:pt>
                <c:pt idx="59">
                  <c:v>0.0251</c:v>
                </c:pt>
                <c:pt idx="60">
                  <c:v>0.0253</c:v>
                </c:pt>
                <c:pt idx="61">
                  <c:v>0.0253</c:v>
                </c:pt>
                <c:pt idx="62">
                  <c:v>0.0249</c:v>
                </c:pt>
                <c:pt idx="63">
                  <c:v>0.0251</c:v>
                </c:pt>
                <c:pt idx="64">
                  <c:v>0.0251</c:v>
                </c:pt>
                <c:pt idx="65">
                  <c:v>0.0248</c:v>
                </c:pt>
                <c:pt idx="66">
                  <c:v>0.0254</c:v>
                </c:pt>
                <c:pt idx="67">
                  <c:v>0.0257</c:v>
                </c:pt>
                <c:pt idx="68">
                  <c:v>0.0254</c:v>
                </c:pt>
                <c:pt idx="69">
                  <c:v>0.0252</c:v>
                </c:pt>
                <c:pt idx="70">
                  <c:v>0.0254</c:v>
                </c:pt>
                <c:pt idx="71">
                  <c:v>0.0255</c:v>
                </c:pt>
                <c:pt idx="72">
                  <c:v>0.0253</c:v>
                </c:pt>
                <c:pt idx="73">
                  <c:v>0.0253</c:v>
                </c:pt>
                <c:pt idx="74">
                  <c:v>0.0261</c:v>
                </c:pt>
                <c:pt idx="75">
                  <c:v>0.0264</c:v>
                </c:pt>
                <c:pt idx="76">
                  <c:v>0.0264</c:v>
                </c:pt>
                <c:pt idx="77">
                  <c:v>0.0261</c:v>
                </c:pt>
                <c:pt idx="78">
                  <c:v>0.0258</c:v>
                </c:pt>
                <c:pt idx="79">
                  <c:v>0.0262</c:v>
                </c:pt>
                <c:pt idx="80">
                  <c:v>0.0266</c:v>
                </c:pt>
                <c:pt idx="81">
                  <c:v>0.0264</c:v>
                </c:pt>
                <c:pt idx="82">
                  <c:v>0.0262</c:v>
                </c:pt>
                <c:pt idx="83">
                  <c:v>0.026</c:v>
                </c:pt>
                <c:pt idx="84">
                  <c:v>0.0261</c:v>
                </c:pt>
                <c:pt idx="85">
                  <c:v>0.0261</c:v>
                </c:pt>
                <c:pt idx="86">
                  <c:v>0.0255</c:v>
                </c:pt>
                <c:pt idx="87">
                  <c:v>0.0255</c:v>
                </c:pt>
                <c:pt idx="88">
                  <c:v>0.026</c:v>
                </c:pt>
                <c:pt idx="89">
                  <c:v>0.026</c:v>
                </c:pt>
                <c:pt idx="90">
                  <c:v>0.0257</c:v>
                </c:pt>
                <c:pt idx="91">
                  <c:v>0.0257</c:v>
                </c:pt>
                <c:pt idx="92">
                  <c:v>0.0261</c:v>
                </c:pt>
                <c:pt idx="93">
                  <c:v>0.0264</c:v>
                </c:pt>
                <c:pt idx="94">
                  <c:v>0.026</c:v>
                </c:pt>
                <c:pt idx="95">
                  <c:v>0.0255</c:v>
                </c:pt>
                <c:pt idx="96">
                  <c:v>0.026</c:v>
                </c:pt>
                <c:pt idx="97">
                  <c:v>0.0262</c:v>
                </c:pt>
                <c:pt idx="98">
                  <c:v>0.0256</c:v>
                </c:pt>
                <c:pt idx="99">
                  <c:v>0.0252</c:v>
                </c:pt>
                <c:pt idx="100">
                  <c:v>0.0256</c:v>
                </c:pt>
                <c:pt idx="101">
                  <c:v>0.0255</c:v>
                </c:pt>
                <c:pt idx="102">
                  <c:v>0.0251</c:v>
                </c:pt>
                <c:pt idx="103">
                  <c:v>0.0254</c:v>
                </c:pt>
                <c:pt idx="104">
                  <c:v>0.0256</c:v>
                </c:pt>
                <c:pt idx="105">
                  <c:v>0.0258</c:v>
                </c:pt>
                <c:pt idx="106">
                  <c:v>0.0264</c:v>
                </c:pt>
                <c:pt idx="107">
                  <c:v>0.026</c:v>
                </c:pt>
                <c:pt idx="108">
                  <c:v>0.0258</c:v>
                </c:pt>
                <c:pt idx="109">
                  <c:v>0.0262</c:v>
                </c:pt>
                <c:pt idx="110">
                  <c:v>0.0264</c:v>
                </c:pt>
                <c:pt idx="111">
                  <c:v>0.0261</c:v>
                </c:pt>
                <c:pt idx="112">
                  <c:v>0.0259</c:v>
                </c:pt>
                <c:pt idx="113">
                  <c:v>0.0264</c:v>
                </c:pt>
                <c:pt idx="114">
                  <c:v>0.0265</c:v>
                </c:pt>
                <c:pt idx="115">
                  <c:v>0.0264</c:v>
                </c:pt>
                <c:pt idx="116">
                  <c:v>0.0262</c:v>
                </c:pt>
                <c:pt idx="117">
                  <c:v>0.0261</c:v>
                </c:pt>
                <c:pt idx="118">
                  <c:v>0.0264</c:v>
                </c:pt>
                <c:pt idx="119">
                  <c:v>0.0264</c:v>
                </c:pt>
                <c:pt idx="120">
                  <c:v>0.026</c:v>
                </c:pt>
                <c:pt idx="121">
                  <c:v>0.026</c:v>
                </c:pt>
                <c:pt idx="122">
                  <c:v>0.0268</c:v>
                </c:pt>
                <c:pt idx="123">
                  <c:v>0.0268</c:v>
                </c:pt>
                <c:pt idx="124">
                  <c:v>0.026</c:v>
                </c:pt>
                <c:pt idx="125">
                  <c:v>0.0258</c:v>
                </c:pt>
                <c:pt idx="126">
                  <c:v>0.0263</c:v>
                </c:pt>
                <c:pt idx="127">
                  <c:v>0.0267</c:v>
                </c:pt>
                <c:pt idx="128">
                  <c:v>0.0266</c:v>
                </c:pt>
                <c:pt idx="129">
                  <c:v>0.026</c:v>
                </c:pt>
                <c:pt idx="130">
                  <c:v>0.0261</c:v>
                </c:pt>
                <c:pt idx="131">
                  <c:v>0.0266</c:v>
                </c:pt>
                <c:pt idx="132">
                  <c:v>0.0268</c:v>
                </c:pt>
                <c:pt idx="133">
                  <c:v>0.0259</c:v>
                </c:pt>
                <c:pt idx="134">
                  <c:v>0.0256</c:v>
                </c:pt>
                <c:pt idx="135">
                  <c:v>0.0266</c:v>
                </c:pt>
                <c:pt idx="136">
                  <c:v>0.0268</c:v>
                </c:pt>
                <c:pt idx="137">
                  <c:v>0.026</c:v>
                </c:pt>
                <c:pt idx="138">
                  <c:v>0.0255</c:v>
                </c:pt>
                <c:pt idx="139">
                  <c:v>0.0254</c:v>
                </c:pt>
                <c:pt idx="140">
                  <c:v>0.0258</c:v>
                </c:pt>
                <c:pt idx="141">
                  <c:v>0.0262</c:v>
                </c:pt>
                <c:pt idx="142">
                  <c:v>0.026</c:v>
                </c:pt>
                <c:pt idx="143">
                  <c:v>0.0262</c:v>
                </c:pt>
                <c:pt idx="144">
                  <c:v>0.0261</c:v>
                </c:pt>
                <c:pt idx="145">
                  <c:v>0.0263</c:v>
                </c:pt>
                <c:pt idx="146">
                  <c:v>0.0267</c:v>
                </c:pt>
                <c:pt idx="147">
                  <c:v>0.0262</c:v>
                </c:pt>
                <c:pt idx="148">
                  <c:v>0.026</c:v>
                </c:pt>
                <c:pt idx="149">
                  <c:v>0.0267</c:v>
                </c:pt>
                <c:pt idx="150">
                  <c:v>0.0271</c:v>
                </c:pt>
                <c:pt idx="151">
                  <c:v>0.0266</c:v>
                </c:pt>
                <c:pt idx="152">
                  <c:v>0.0267</c:v>
                </c:pt>
                <c:pt idx="153">
                  <c:v>0.0274</c:v>
                </c:pt>
                <c:pt idx="154">
                  <c:v>0.027</c:v>
                </c:pt>
                <c:pt idx="155">
                  <c:v>0.0265</c:v>
                </c:pt>
                <c:pt idx="156">
                  <c:v>0.0267</c:v>
                </c:pt>
                <c:pt idx="157">
                  <c:v>0.027</c:v>
                </c:pt>
                <c:pt idx="158">
                  <c:v>0.0268</c:v>
                </c:pt>
                <c:pt idx="159">
                  <c:v>0.0264</c:v>
                </c:pt>
                <c:pt idx="160">
                  <c:v>0.0264</c:v>
                </c:pt>
                <c:pt idx="161">
                  <c:v>0.0268</c:v>
                </c:pt>
                <c:pt idx="162">
                  <c:v>0.0272</c:v>
                </c:pt>
                <c:pt idx="163">
                  <c:v>0.0269</c:v>
                </c:pt>
                <c:pt idx="164">
                  <c:v>0.0263</c:v>
                </c:pt>
                <c:pt idx="165">
                  <c:v>0.0265</c:v>
                </c:pt>
                <c:pt idx="166">
                  <c:v>0.0271</c:v>
                </c:pt>
                <c:pt idx="167">
                  <c:v>0.0267</c:v>
                </c:pt>
                <c:pt idx="168">
                  <c:v>0.0265</c:v>
                </c:pt>
                <c:pt idx="169">
                  <c:v>0.0268</c:v>
                </c:pt>
                <c:pt idx="170">
                  <c:v>0.0271</c:v>
                </c:pt>
                <c:pt idx="171">
                  <c:v>0.027</c:v>
                </c:pt>
                <c:pt idx="172">
                  <c:v>0.0262</c:v>
                </c:pt>
                <c:pt idx="173">
                  <c:v>0.0263</c:v>
                </c:pt>
                <c:pt idx="174">
                  <c:v>0.0268</c:v>
                </c:pt>
                <c:pt idx="175">
                  <c:v>0.027</c:v>
                </c:pt>
                <c:pt idx="176">
                  <c:v>0.0266</c:v>
                </c:pt>
                <c:pt idx="177">
                  <c:v>0.0264</c:v>
                </c:pt>
                <c:pt idx="178">
                  <c:v>0.0269</c:v>
                </c:pt>
                <c:pt idx="179">
                  <c:v>0.0269</c:v>
                </c:pt>
                <c:pt idx="180">
                  <c:v>0.0269</c:v>
                </c:pt>
                <c:pt idx="181">
                  <c:v>0.0272</c:v>
                </c:pt>
                <c:pt idx="182">
                  <c:v>0.0267</c:v>
                </c:pt>
                <c:pt idx="183">
                  <c:v>0.0266</c:v>
                </c:pt>
                <c:pt idx="184">
                  <c:v>0.0273</c:v>
                </c:pt>
                <c:pt idx="185">
                  <c:v>0.0269</c:v>
                </c:pt>
                <c:pt idx="186">
                  <c:v>0.0264</c:v>
                </c:pt>
                <c:pt idx="187">
                  <c:v>0.0267</c:v>
                </c:pt>
                <c:pt idx="188">
                  <c:v>0.0267</c:v>
                </c:pt>
                <c:pt idx="189">
                  <c:v>0.0266</c:v>
                </c:pt>
                <c:pt idx="190">
                  <c:v>0.0267</c:v>
                </c:pt>
                <c:pt idx="191">
                  <c:v>0.027</c:v>
                </c:pt>
                <c:pt idx="192">
                  <c:v>0.0271</c:v>
                </c:pt>
                <c:pt idx="193">
                  <c:v>0.0266</c:v>
                </c:pt>
                <c:pt idx="194">
                  <c:v>0.0268</c:v>
                </c:pt>
                <c:pt idx="195">
                  <c:v>0.0276</c:v>
                </c:pt>
                <c:pt idx="196">
                  <c:v>0.0276</c:v>
                </c:pt>
                <c:pt idx="197">
                  <c:v>0.0273</c:v>
                </c:pt>
                <c:pt idx="198">
                  <c:v>0.0275</c:v>
                </c:pt>
                <c:pt idx="199">
                  <c:v>0.0277</c:v>
                </c:pt>
                <c:pt idx="200">
                  <c:v>0.0275</c:v>
                </c:pt>
                <c:pt idx="201">
                  <c:v>0.0269</c:v>
                </c:pt>
                <c:pt idx="202">
                  <c:v>0.0273</c:v>
                </c:pt>
                <c:pt idx="203">
                  <c:v>0.028</c:v>
                </c:pt>
                <c:pt idx="204">
                  <c:v>0.0275</c:v>
                </c:pt>
                <c:pt idx="205">
                  <c:v>0.0268</c:v>
                </c:pt>
                <c:pt idx="206">
                  <c:v>0.0269</c:v>
                </c:pt>
                <c:pt idx="207">
                  <c:v>0.0279</c:v>
                </c:pt>
                <c:pt idx="208">
                  <c:v>0.0281</c:v>
                </c:pt>
                <c:pt idx="209">
                  <c:v>0.027</c:v>
                </c:pt>
                <c:pt idx="210">
                  <c:v>0.0268</c:v>
                </c:pt>
                <c:pt idx="211">
                  <c:v>0.0275</c:v>
                </c:pt>
                <c:pt idx="212">
                  <c:v>0.0273</c:v>
                </c:pt>
                <c:pt idx="213">
                  <c:v>0.0269</c:v>
                </c:pt>
                <c:pt idx="214">
                  <c:v>0.0268</c:v>
                </c:pt>
                <c:pt idx="215">
                  <c:v>0.0273</c:v>
                </c:pt>
                <c:pt idx="216">
                  <c:v>0.028</c:v>
                </c:pt>
                <c:pt idx="217">
                  <c:v>0.0278</c:v>
                </c:pt>
                <c:pt idx="218">
                  <c:v>0.0268</c:v>
                </c:pt>
                <c:pt idx="219">
                  <c:v>0.0266</c:v>
                </c:pt>
                <c:pt idx="220">
                  <c:v>0.0277</c:v>
                </c:pt>
                <c:pt idx="221">
                  <c:v>0.0281</c:v>
                </c:pt>
                <c:pt idx="222">
                  <c:v>0.0267</c:v>
                </c:pt>
                <c:pt idx="223">
                  <c:v>0.0264</c:v>
                </c:pt>
                <c:pt idx="224">
                  <c:v>0.0276</c:v>
                </c:pt>
                <c:pt idx="225">
                  <c:v>0.0281</c:v>
                </c:pt>
                <c:pt idx="226">
                  <c:v>0.0277</c:v>
                </c:pt>
                <c:pt idx="227">
                  <c:v>0.0275</c:v>
                </c:pt>
                <c:pt idx="228">
                  <c:v>0.0282</c:v>
                </c:pt>
                <c:pt idx="229">
                  <c:v>0.0285</c:v>
                </c:pt>
                <c:pt idx="230">
                  <c:v>0.0281</c:v>
                </c:pt>
                <c:pt idx="231">
                  <c:v>0.0276</c:v>
                </c:pt>
                <c:pt idx="232">
                  <c:v>0.0283</c:v>
                </c:pt>
                <c:pt idx="233">
                  <c:v>0.0288</c:v>
                </c:pt>
                <c:pt idx="234">
                  <c:v>0.0284</c:v>
                </c:pt>
                <c:pt idx="235">
                  <c:v>0.0282</c:v>
                </c:pt>
                <c:pt idx="236">
                  <c:v>0.0281</c:v>
                </c:pt>
                <c:pt idx="237">
                  <c:v>0.0284</c:v>
                </c:pt>
                <c:pt idx="238">
                  <c:v>0.0289</c:v>
                </c:pt>
                <c:pt idx="239">
                  <c:v>0.0287</c:v>
                </c:pt>
                <c:pt idx="240">
                  <c:v>0.0284</c:v>
                </c:pt>
                <c:pt idx="241">
                  <c:v>0.0288</c:v>
                </c:pt>
                <c:pt idx="242">
                  <c:v>0.0289</c:v>
                </c:pt>
                <c:pt idx="243">
                  <c:v>0.0285</c:v>
                </c:pt>
                <c:pt idx="244">
                  <c:v>0.0283</c:v>
                </c:pt>
                <c:pt idx="245">
                  <c:v>0.0286</c:v>
                </c:pt>
                <c:pt idx="246">
                  <c:v>0.0292</c:v>
                </c:pt>
                <c:pt idx="247">
                  <c:v>0.0285</c:v>
                </c:pt>
                <c:pt idx="248">
                  <c:v>0.0278</c:v>
                </c:pt>
                <c:pt idx="249">
                  <c:v>0.0282</c:v>
                </c:pt>
                <c:pt idx="250">
                  <c:v>0.0284</c:v>
                </c:pt>
                <c:pt idx="251">
                  <c:v>0.0277</c:v>
                </c:pt>
                <c:pt idx="252">
                  <c:v>0.0278</c:v>
                </c:pt>
                <c:pt idx="253">
                  <c:v>0.029</c:v>
                </c:pt>
                <c:pt idx="254">
                  <c:v>0.0291</c:v>
                </c:pt>
                <c:pt idx="255">
                  <c:v>0.0288</c:v>
                </c:pt>
                <c:pt idx="256">
                  <c:v>0.0282</c:v>
                </c:pt>
                <c:pt idx="257">
                  <c:v>0.0282</c:v>
                </c:pt>
                <c:pt idx="258">
                  <c:v>0.0289</c:v>
                </c:pt>
                <c:pt idx="259">
                  <c:v>0.0289</c:v>
                </c:pt>
                <c:pt idx="260">
                  <c:v>0.0284</c:v>
                </c:pt>
                <c:pt idx="261">
                  <c:v>0.0287</c:v>
                </c:pt>
                <c:pt idx="262">
                  <c:v>0.0291</c:v>
                </c:pt>
                <c:pt idx="263">
                  <c:v>0.0291</c:v>
                </c:pt>
                <c:pt idx="264">
                  <c:v>0.0288</c:v>
                </c:pt>
                <c:pt idx="265">
                  <c:v>0.0285</c:v>
                </c:pt>
                <c:pt idx="266">
                  <c:v>0.029</c:v>
                </c:pt>
                <c:pt idx="267">
                  <c:v>0.0289</c:v>
                </c:pt>
                <c:pt idx="268">
                  <c:v>0.0284</c:v>
                </c:pt>
                <c:pt idx="269">
                  <c:v>0.0286</c:v>
                </c:pt>
                <c:pt idx="270">
                  <c:v>0.0293</c:v>
                </c:pt>
                <c:pt idx="271">
                  <c:v>0.0292</c:v>
                </c:pt>
                <c:pt idx="272">
                  <c:v>0.0286</c:v>
                </c:pt>
                <c:pt idx="273">
                  <c:v>0.0285</c:v>
                </c:pt>
                <c:pt idx="274">
                  <c:v>0.0296</c:v>
                </c:pt>
                <c:pt idx="275">
                  <c:v>0.0303</c:v>
                </c:pt>
                <c:pt idx="276">
                  <c:v>0.0299</c:v>
                </c:pt>
                <c:pt idx="277">
                  <c:v>0.0297</c:v>
                </c:pt>
                <c:pt idx="278">
                  <c:v>0.0298</c:v>
                </c:pt>
                <c:pt idx="279">
                  <c:v>0.0303</c:v>
                </c:pt>
                <c:pt idx="280">
                  <c:v>0.0303</c:v>
                </c:pt>
                <c:pt idx="281">
                  <c:v>0.0295</c:v>
                </c:pt>
                <c:pt idx="282">
                  <c:v>0.0293</c:v>
                </c:pt>
                <c:pt idx="283">
                  <c:v>0.0298</c:v>
                </c:pt>
                <c:pt idx="284">
                  <c:v>0.03</c:v>
                </c:pt>
                <c:pt idx="285">
                  <c:v>0.0291</c:v>
                </c:pt>
                <c:pt idx="286">
                  <c:v>0.0286</c:v>
                </c:pt>
                <c:pt idx="287">
                  <c:v>0.0299</c:v>
                </c:pt>
                <c:pt idx="288">
                  <c:v>0.0305</c:v>
                </c:pt>
                <c:pt idx="289">
                  <c:v>0.0295</c:v>
                </c:pt>
                <c:pt idx="290">
                  <c:v>0.029</c:v>
                </c:pt>
                <c:pt idx="291">
                  <c:v>0.0296</c:v>
                </c:pt>
                <c:pt idx="292">
                  <c:v>0.0297</c:v>
                </c:pt>
                <c:pt idx="293">
                  <c:v>0.0293</c:v>
                </c:pt>
                <c:pt idx="294">
                  <c:v>0.0294</c:v>
                </c:pt>
                <c:pt idx="295">
                  <c:v>0.0297</c:v>
                </c:pt>
                <c:pt idx="296">
                  <c:v>0.0299</c:v>
                </c:pt>
                <c:pt idx="297">
                  <c:v>0.0298</c:v>
                </c:pt>
                <c:pt idx="298">
                  <c:v>0.0297</c:v>
                </c:pt>
                <c:pt idx="299">
                  <c:v>0.0299</c:v>
                </c:pt>
                <c:pt idx="300">
                  <c:v>0.0302</c:v>
                </c:pt>
                <c:pt idx="301">
                  <c:v>0.0305</c:v>
                </c:pt>
                <c:pt idx="302">
                  <c:v>0.0303</c:v>
                </c:pt>
                <c:pt idx="303">
                  <c:v>0.0299</c:v>
                </c:pt>
                <c:pt idx="304">
                  <c:v>0.0304</c:v>
                </c:pt>
                <c:pt idx="305">
                  <c:v>0.0307</c:v>
                </c:pt>
                <c:pt idx="306">
                  <c:v>0.0299</c:v>
                </c:pt>
                <c:pt idx="307">
                  <c:v>0.0296</c:v>
                </c:pt>
                <c:pt idx="308">
                  <c:v>0.0304</c:v>
                </c:pt>
                <c:pt idx="309">
                  <c:v>0.0308</c:v>
                </c:pt>
                <c:pt idx="310">
                  <c:v>0.0308</c:v>
                </c:pt>
                <c:pt idx="311">
                  <c:v>0.0305</c:v>
                </c:pt>
                <c:pt idx="312">
                  <c:v>0.0308</c:v>
                </c:pt>
                <c:pt idx="313">
                  <c:v>0.0318</c:v>
                </c:pt>
                <c:pt idx="314">
                  <c:v>0.0318</c:v>
                </c:pt>
                <c:pt idx="315">
                  <c:v>0.031</c:v>
                </c:pt>
                <c:pt idx="316">
                  <c:v>0.0305</c:v>
                </c:pt>
                <c:pt idx="317">
                  <c:v>0.0312</c:v>
                </c:pt>
                <c:pt idx="318">
                  <c:v>0.0317</c:v>
                </c:pt>
                <c:pt idx="319">
                  <c:v>0.0312</c:v>
                </c:pt>
                <c:pt idx="320">
                  <c:v>0.0309</c:v>
                </c:pt>
                <c:pt idx="321">
                  <c:v>0.0315</c:v>
                </c:pt>
                <c:pt idx="322">
                  <c:v>0.0323</c:v>
                </c:pt>
                <c:pt idx="323">
                  <c:v>0.0319</c:v>
                </c:pt>
                <c:pt idx="324">
                  <c:v>0.0312</c:v>
                </c:pt>
                <c:pt idx="325">
                  <c:v>0.0314</c:v>
                </c:pt>
                <c:pt idx="326">
                  <c:v>0.0321</c:v>
                </c:pt>
                <c:pt idx="327">
                  <c:v>0.032</c:v>
                </c:pt>
                <c:pt idx="328">
                  <c:v>0.0315</c:v>
                </c:pt>
                <c:pt idx="329">
                  <c:v>0.0311</c:v>
                </c:pt>
                <c:pt idx="330">
                  <c:v>0.0312</c:v>
                </c:pt>
                <c:pt idx="331">
                  <c:v>0.0317</c:v>
                </c:pt>
                <c:pt idx="332">
                  <c:v>0.031</c:v>
                </c:pt>
                <c:pt idx="333">
                  <c:v>0.0307</c:v>
                </c:pt>
                <c:pt idx="334">
                  <c:v>0.0316</c:v>
                </c:pt>
                <c:pt idx="335">
                  <c:v>0.0324</c:v>
                </c:pt>
                <c:pt idx="336">
                  <c:v>0.0318</c:v>
                </c:pt>
                <c:pt idx="337">
                  <c:v>0.0312</c:v>
                </c:pt>
                <c:pt idx="338">
                  <c:v>0.0322</c:v>
                </c:pt>
                <c:pt idx="339">
                  <c:v>0.0323</c:v>
                </c:pt>
                <c:pt idx="340">
                  <c:v>0.0317</c:v>
                </c:pt>
                <c:pt idx="341">
                  <c:v>0.0318</c:v>
                </c:pt>
                <c:pt idx="342">
                  <c:v>0.0323</c:v>
                </c:pt>
                <c:pt idx="343">
                  <c:v>0.0322</c:v>
                </c:pt>
                <c:pt idx="344">
                  <c:v>0.032</c:v>
                </c:pt>
                <c:pt idx="345">
                  <c:v>0.032</c:v>
                </c:pt>
                <c:pt idx="346">
                  <c:v>0.0321</c:v>
                </c:pt>
                <c:pt idx="347">
                  <c:v>0.0329</c:v>
                </c:pt>
                <c:pt idx="348">
                  <c:v>0.0333</c:v>
                </c:pt>
                <c:pt idx="349">
                  <c:v>0.0325</c:v>
                </c:pt>
                <c:pt idx="350">
                  <c:v>0.0323</c:v>
                </c:pt>
                <c:pt idx="351">
                  <c:v>0.0333</c:v>
                </c:pt>
                <c:pt idx="352">
                  <c:v>0.0336</c:v>
                </c:pt>
                <c:pt idx="353">
                  <c:v>0.0326</c:v>
                </c:pt>
                <c:pt idx="354">
                  <c:v>0.0322</c:v>
                </c:pt>
                <c:pt idx="355">
                  <c:v>0.033</c:v>
                </c:pt>
                <c:pt idx="356">
                  <c:v>0.0338</c:v>
                </c:pt>
                <c:pt idx="357">
                  <c:v>0.0335</c:v>
                </c:pt>
                <c:pt idx="358">
                  <c:v>0.0331</c:v>
                </c:pt>
                <c:pt idx="359">
                  <c:v>0.034</c:v>
                </c:pt>
                <c:pt idx="360">
                  <c:v>0.0348</c:v>
                </c:pt>
                <c:pt idx="361">
                  <c:v>0.0336</c:v>
                </c:pt>
                <c:pt idx="362">
                  <c:v>0.0326</c:v>
                </c:pt>
                <c:pt idx="363">
                  <c:v>0.033</c:v>
                </c:pt>
                <c:pt idx="364">
                  <c:v>0.0335</c:v>
                </c:pt>
                <c:pt idx="365">
                  <c:v>0.0333</c:v>
                </c:pt>
                <c:pt idx="366">
                  <c:v>0.0331</c:v>
                </c:pt>
                <c:pt idx="367">
                  <c:v>0.034</c:v>
                </c:pt>
                <c:pt idx="368">
                  <c:v>0.0345</c:v>
                </c:pt>
                <c:pt idx="369">
                  <c:v>0.0339</c:v>
                </c:pt>
                <c:pt idx="370">
                  <c:v>0.0329</c:v>
                </c:pt>
                <c:pt idx="371">
                  <c:v>0.0329</c:v>
                </c:pt>
                <c:pt idx="372">
                  <c:v>0.0343</c:v>
                </c:pt>
                <c:pt idx="373">
                  <c:v>0.0344</c:v>
                </c:pt>
                <c:pt idx="374">
                  <c:v>0.0338</c:v>
                </c:pt>
                <c:pt idx="375">
                  <c:v>0.0336</c:v>
                </c:pt>
                <c:pt idx="376">
                  <c:v>0.0335</c:v>
                </c:pt>
                <c:pt idx="377">
                  <c:v>0.0341</c:v>
                </c:pt>
                <c:pt idx="378">
                  <c:v>0.0339</c:v>
                </c:pt>
                <c:pt idx="379">
                  <c:v>0.0338</c:v>
                </c:pt>
                <c:pt idx="380">
                  <c:v>0.0352</c:v>
                </c:pt>
                <c:pt idx="381">
                  <c:v>0.0355</c:v>
                </c:pt>
                <c:pt idx="382">
                  <c:v>0.034</c:v>
                </c:pt>
                <c:pt idx="383">
                  <c:v>0.0337</c:v>
                </c:pt>
                <c:pt idx="384">
                  <c:v>0.0345</c:v>
                </c:pt>
                <c:pt idx="385">
                  <c:v>0.0348</c:v>
                </c:pt>
                <c:pt idx="386">
                  <c:v>0.0345</c:v>
                </c:pt>
                <c:pt idx="387">
                  <c:v>0.0344</c:v>
                </c:pt>
                <c:pt idx="388">
                  <c:v>0.0351</c:v>
                </c:pt>
                <c:pt idx="389">
                  <c:v>0.0355</c:v>
                </c:pt>
                <c:pt idx="390">
                  <c:v>0.035</c:v>
                </c:pt>
                <c:pt idx="391">
                  <c:v>0.035</c:v>
                </c:pt>
                <c:pt idx="392">
                  <c:v>0.0358</c:v>
                </c:pt>
                <c:pt idx="393">
                  <c:v>0.0361</c:v>
                </c:pt>
                <c:pt idx="394">
                  <c:v>0.0358</c:v>
                </c:pt>
                <c:pt idx="395">
                  <c:v>0.0351</c:v>
                </c:pt>
                <c:pt idx="396">
                  <c:v>0.0353</c:v>
                </c:pt>
                <c:pt idx="397">
                  <c:v>0.0365</c:v>
                </c:pt>
                <c:pt idx="398">
                  <c:v>0.0358</c:v>
                </c:pt>
                <c:pt idx="399">
                  <c:v>0.035</c:v>
                </c:pt>
                <c:pt idx="400">
                  <c:v>0.0358</c:v>
                </c:pt>
                <c:pt idx="401">
                  <c:v>0.0368</c:v>
                </c:pt>
                <c:pt idx="402">
                  <c:v>0.0366</c:v>
                </c:pt>
                <c:pt idx="403">
                  <c:v>0.0355</c:v>
                </c:pt>
                <c:pt idx="404">
                  <c:v>0.0352</c:v>
                </c:pt>
                <c:pt idx="405">
                  <c:v>0.0356</c:v>
                </c:pt>
                <c:pt idx="406">
                  <c:v>0.0359</c:v>
                </c:pt>
                <c:pt idx="407">
                  <c:v>0.0353</c:v>
                </c:pt>
                <c:pt idx="408">
                  <c:v>0.0353</c:v>
                </c:pt>
                <c:pt idx="409">
                  <c:v>0.0365</c:v>
                </c:pt>
                <c:pt idx="410">
                  <c:v>0.0366</c:v>
                </c:pt>
                <c:pt idx="411">
                  <c:v>0.0359</c:v>
                </c:pt>
                <c:pt idx="412">
                  <c:v>0.0356</c:v>
                </c:pt>
                <c:pt idx="413">
                  <c:v>0.0366</c:v>
                </c:pt>
                <c:pt idx="414">
                  <c:v>0.0372</c:v>
                </c:pt>
                <c:pt idx="415">
                  <c:v>0.0373</c:v>
                </c:pt>
                <c:pt idx="416">
                  <c:v>0.0365</c:v>
                </c:pt>
                <c:pt idx="417">
                  <c:v>0.0361</c:v>
                </c:pt>
                <c:pt idx="418">
                  <c:v>0.0376</c:v>
                </c:pt>
                <c:pt idx="419">
                  <c:v>0.0381</c:v>
                </c:pt>
                <c:pt idx="420">
                  <c:v>0.0376</c:v>
                </c:pt>
                <c:pt idx="421">
                  <c:v>0.037</c:v>
                </c:pt>
                <c:pt idx="422">
                  <c:v>0.0379</c:v>
                </c:pt>
                <c:pt idx="423">
                  <c:v>0.0386</c:v>
                </c:pt>
                <c:pt idx="424">
                  <c:v>0.0375</c:v>
                </c:pt>
                <c:pt idx="425">
                  <c:v>0.0372</c:v>
                </c:pt>
                <c:pt idx="426">
                  <c:v>0.0384</c:v>
                </c:pt>
                <c:pt idx="427">
                  <c:v>0.0382</c:v>
                </c:pt>
                <c:pt idx="428">
                  <c:v>0.037</c:v>
                </c:pt>
                <c:pt idx="429">
                  <c:v>0.0373</c:v>
                </c:pt>
                <c:pt idx="430">
                  <c:v>0.0382</c:v>
                </c:pt>
                <c:pt idx="431">
                  <c:v>0.0392</c:v>
                </c:pt>
                <c:pt idx="432">
                  <c:v>0.0395</c:v>
                </c:pt>
                <c:pt idx="433">
                  <c:v>0.0389</c:v>
                </c:pt>
                <c:pt idx="434">
                  <c:v>0.0388</c:v>
                </c:pt>
                <c:pt idx="435">
                  <c:v>0.0397</c:v>
                </c:pt>
                <c:pt idx="436">
                  <c:v>0.0403</c:v>
                </c:pt>
                <c:pt idx="437">
                  <c:v>0.0389</c:v>
                </c:pt>
                <c:pt idx="438">
                  <c:v>0.0386</c:v>
                </c:pt>
                <c:pt idx="439">
                  <c:v>0.0402</c:v>
                </c:pt>
                <c:pt idx="440">
                  <c:v>0.0403</c:v>
                </c:pt>
                <c:pt idx="441">
                  <c:v>0.0396</c:v>
                </c:pt>
                <c:pt idx="442">
                  <c:v>0.0392</c:v>
                </c:pt>
                <c:pt idx="443">
                  <c:v>0.0397</c:v>
                </c:pt>
                <c:pt idx="444">
                  <c:v>0.0406</c:v>
                </c:pt>
                <c:pt idx="445">
                  <c:v>0.0394</c:v>
                </c:pt>
                <c:pt idx="446">
                  <c:v>0.0388</c:v>
                </c:pt>
                <c:pt idx="447">
                  <c:v>0.04</c:v>
                </c:pt>
                <c:pt idx="448">
                  <c:v>0.0408</c:v>
                </c:pt>
                <c:pt idx="449">
                  <c:v>0.0399</c:v>
                </c:pt>
                <c:pt idx="450">
                  <c:v>0.0388</c:v>
                </c:pt>
                <c:pt idx="451">
                  <c:v>0.0397</c:v>
                </c:pt>
                <c:pt idx="452">
                  <c:v>0.0411</c:v>
                </c:pt>
                <c:pt idx="453">
                  <c:v>0.0412</c:v>
                </c:pt>
                <c:pt idx="454">
                  <c:v>0.04</c:v>
                </c:pt>
                <c:pt idx="455">
                  <c:v>0.0406</c:v>
                </c:pt>
                <c:pt idx="456">
                  <c:v>0.0421</c:v>
                </c:pt>
                <c:pt idx="457">
                  <c:v>0.0417</c:v>
                </c:pt>
                <c:pt idx="458">
                  <c:v>0.04</c:v>
                </c:pt>
                <c:pt idx="459">
                  <c:v>0.0401</c:v>
                </c:pt>
                <c:pt idx="460">
                  <c:v>0.0425</c:v>
                </c:pt>
                <c:pt idx="461">
                  <c:v>0.0428</c:v>
                </c:pt>
                <c:pt idx="462">
                  <c:v>0.0412</c:v>
                </c:pt>
                <c:pt idx="463">
                  <c:v>0.0419</c:v>
                </c:pt>
                <c:pt idx="464">
                  <c:v>0.0439</c:v>
                </c:pt>
                <c:pt idx="465">
                  <c:v>0.0435</c:v>
                </c:pt>
                <c:pt idx="466">
                  <c:v>0.0412</c:v>
                </c:pt>
                <c:pt idx="467">
                  <c:v>0.0408</c:v>
                </c:pt>
                <c:pt idx="468">
                  <c:v>0.0422</c:v>
                </c:pt>
                <c:pt idx="469">
                  <c:v>0.0428</c:v>
                </c:pt>
                <c:pt idx="470">
                  <c:v>0.0423</c:v>
                </c:pt>
                <c:pt idx="471">
                  <c:v>0.0425</c:v>
                </c:pt>
                <c:pt idx="472">
                  <c:v>0.044</c:v>
                </c:pt>
                <c:pt idx="473">
                  <c:v>0.0451</c:v>
                </c:pt>
                <c:pt idx="474">
                  <c:v>0.0437</c:v>
                </c:pt>
                <c:pt idx="475">
                  <c:v>0.0438</c:v>
                </c:pt>
                <c:pt idx="476">
                  <c:v>0.0464</c:v>
                </c:pt>
                <c:pt idx="477">
                  <c:v>0.047</c:v>
                </c:pt>
                <c:pt idx="478">
                  <c:v>0.0457</c:v>
                </c:pt>
                <c:pt idx="479">
                  <c:v>0.0447</c:v>
                </c:pt>
                <c:pt idx="480">
                  <c:v>0.0397</c:v>
                </c:pt>
                <c:pt idx="481">
                  <c:v>0.0331</c:v>
                </c:pt>
                <c:pt idx="482">
                  <c:v>0.0324</c:v>
                </c:pt>
                <c:pt idx="483">
                  <c:v>0.0333</c:v>
                </c:pt>
                <c:pt idx="484">
                  <c:v>0.0349</c:v>
                </c:pt>
                <c:pt idx="485">
                  <c:v>0.0355</c:v>
                </c:pt>
                <c:pt idx="486">
                  <c:v>0.0345</c:v>
                </c:pt>
                <c:pt idx="487">
                  <c:v>0.0346</c:v>
                </c:pt>
                <c:pt idx="488">
                  <c:v>0.0337</c:v>
                </c:pt>
                <c:pt idx="489">
                  <c:v>0.0333</c:v>
                </c:pt>
                <c:pt idx="490">
                  <c:v>0.034</c:v>
                </c:pt>
                <c:pt idx="491">
                  <c:v>0.0334</c:v>
                </c:pt>
                <c:pt idx="492">
                  <c:v>0.0323</c:v>
                </c:pt>
                <c:pt idx="493">
                  <c:v>0.0328</c:v>
                </c:pt>
                <c:pt idx="494">
                  <c:v>0.033</c:v>
                </c:pt>
                <c:pt idx="495">
                  <c:v>0.0321</c:v>
                </c:pt>
                <c:pt idx="496">
                  <c:v>0.0336</c:v>
                </c:pt>
                <c:pt idx="497">
                  <c:v>0.0358</c:v>
                </c:pt>
                <c:pt idx="498">
                  <c:v>0.0366</c:v>
                </c:pt>
                <c:pt idx="499">
                  <c:v>0.037</c:v>
                </c:pt>
                <c:pt idx="500">
                  <c:v>0.0354</c:v>
                </c:pt>
                <c:pt idx="501">
                  <c:v>0.0344</c:v>
                </c:pt>
                <c:pt idx="502">
                  <c:v>0.034</c:v>
                </c:pt>
                <c:pt idx="503">
                  <c:v>0.0335</c:v>
                </c:pt>
                <c:pt idx="504">
                  <c:v>0.0359</c:v>
                </c:pt>
                <c:pt idx="505">
                  <c:v>0.0382</c:v>
                </c:pt>
                <c:pt idx="506">
                  <c:v>0.0331</c:v>
                </c:pt>
                <c:pt idx="507">
                  <c:v>0.0314</c:v>
                </c:pt>
                <c:pt idx="508">
                  <c:v>0.0363</c:v>
                </c:pt>
                <c:pt idx="509">
                  <c:v>0.0368</c:v>
                </c:pt>
                <c:pt idx="510">
                  <c:v>0.0358</c:v>
                </c:pt>
                <c:pt idx="511">
                  <c:v>0.0382</c:v>
                </c:pt>
                <c:pt idx="512">
                  <c:v>0.0415</c:v>
                </c:pt>
                <c:pt idx="513">
                  <c:v>0.0429</c:v>
                </c:pt>
                <c:pt idx="514">
                  <c:v>0.0426</c:v>
                </c:pt>
                <c:pt idx="515">
                  <c:v>0.0401</c:v>
                </c:pt>
                <c:pt idx="516">
                  <c:v>0.0399</c:v>
                </c:pt>
                <c:pt idx="517">
                  <c:v>0.0406</c:v>
                </c:pt>
                <c:pt idx="518">
                  <c:v>0.0401</c:v>
                </c:pt>
                <c:pt idx="519">
                  <c:v>0.042</c:v>
                </c:pt>
                <c:pt idx="520">
                  <c:v>0.0401</c:v>
                </c:pt>
                <c:pt idx="521">
                  <c:v>0.0372</c:v>
                </c:pt>
                <c:pt idx="522">
                  <c:v>0.0386</c:v>
                </c:pt>
                <c:pt idx="523">
                  <c:v>0.0414</c:v>
                </c:pt>
                <c:pt idx="524">
                  <c:v>0.0413</c:v>
                </c:pt>
                <c:pt idx="525">
                  <c:v>0.0404</c:v>
                </c:pt>
                <c:pt idx="526">
                  <c:v>0.0427</c:v>
                </c:pt>
                <c:pt idx="527">
                  <c:v>0.043</c:v>
                </c:pt>
                <c:pt idx="528">
                  <c:v>0.043</c:v>
                </c:pt>
                <c:pt idx="529">
                  <c:v>0.0452</c:v>
                </c:pt>
                <c:pt idx="530">
                  <c:v>0.045</c:v>
                </c:pt>
                <c:pt idx="531">
                  <c:v>0.0419</c:v>
                </c:pt>
                <c:pt idx="532">
                  <c:v>0.044</c:v>
                </c:pt>
                <c:pt idx="533">
                  <c:v>0.048</c:v>
                </c:pt>
                <c:pt idx="534">
                  <c:v>0.0442</c:v>
                </c:pt>
                <c:pt idx="535">
                  <c:v>0.0424</c:v>
                </c:pt>
                <c:pt idx="536">
                  <c:v>0.0459</c:v>
                </c:pt>
                <c:pt idx="537">
                  <c:v>0.047</c:v>
                </c:pt>
                <c:pt idx="538">
                  <c:v>0.0458</c:v>
                </c:pt>
                <c:pt idx="539">
                  <c:v>0.0463</c:v>
                </c:pt>
                <c:pt idx="540">
                  <c:v>0.0478</c:v>
                </c:pt>
                <c:pt idx="541">
                  <c:v>0.048</c:v>
                </c:pt>
                <c:pt idx="542">
                  <c:v>0.0481</c:v>
                </c:pt>
                <c:pt idx="543">
                  <c:v>0.0509</c:v>
                </c:pt>
                <c:pt idx="544">
                  <c:v>0.051</c:v>
                </c:pt>
                <c:pt idx="545">
                  <c:v>0.0471</c:v>
                </c:pt>
                <c:pt idx="546">
                  <c:v>0.046</c:v>
                </c:pt>
                <c:pt idx="547">
                  <c:v>0.0474</c:v>
                </c:pt>
                <c:pt idx="548">
                  <c:v>0.0489</c:v>
                </c:pt>
                <c:pt idx="549">
                  <c:v>0.0482</c:v>
                </c:pt>
                <c:pt idx="550">
                  <c:v>0.048</c:v>
                </c:pt>
                <c:pt idx="551">
                  <c:v>0.0506</c:v>
                </c:pt>
                <c:pt idx="552">
                  <c:v>0.0505</c:v>
                </c:pt>
                <c:pt idx="553">
                  <c:v>0.0488</c:v>
                </c:pt>
                <c:pt idx="554">
                  <c:v>0.0511</c:v>
                </c:pt>
                <c:pt idx="555">
                  <c:v>0.0533</c:v>
                </c:pt>
                <c:pt idx="556">
                  <c:v>0.0505</c:v>
                </c:pt>
                <c:pt idx="557">
                  <c:v>0.0485</c:v>
                </c:pt>
                <c:pt idx="558">
                  <c:v>0.0528</c:v>
                </c:pt>
                <c:pt idx="559">
                  <c:v>0.0551</c:v>
                </c:pt>
                <c:pt idx="560">
                  <c:v>0.0524</c:v>
                </c:pt>
                <c:pt idx="561">
                  <c:v>0.0508</c:v>
                </c:pt>
                <c:pt idx="562">
                  <c:v>0.054</c:v>
                </c:pt>
                <c:pt idx="563">
                  <c:v>0.0555</c:v>
                </c:pt>
                <c:pt idx="564">
                  <c:v>0.0541</c:v>
                </c:pt>
                <c:pt idx="565">
                  <c:v>0.0547</c:v>
                </c:pt>
                <c:pt idx="566">
                  <c:v>0.0549</c:v>
                </c:pt>
                <c:pt idx="567">
                  <c:v>0.0562</c:v>
                </c:pt>
                <c:pt idx="568">
                  <c:v>0.056</c:v>
                </c:pt>
                <c:pt idx="569">
                  <c:v>0.056</c:v>
                </c:pt>
                <c:pt idx="570">
                  <c:v>0.0586</c:v>
                </c:pt>
                <c:pt idx="571">
                  <c:v>0.057</c:v>
                </c:pt>
                <c:pt idx="572">
                  <c:v>0.0559</c:v>
                </c:pt>
                <c:pt idx="573">
                  <c:v>0.0578</c:v>
                </c:pt>
                <c:pt idx="574">
                  <c:v>0.0573</c:v>
                </c:pt>
                <c:pt idx="575">
                  <c:v>0.0582</c:v>
                </c:pt>
                <c:pt idx="576">
                  <c:v>0.0614</c:v>
                </c:pt>
                <c:pt idx="577">
                  <c:v>0.0616</c:v>
                </c:pt>
                <c:pt idx="578">
                  <c:v>0.0604</c:v>
                </c:pt>
                <c:pt idx="579">
                  <c:v>0.06</c:v>
                </c:pt>
                <c:pt idx="580">
                  <c:v>0.0642</c:v>
                </c:pt>
                <c:pt idx="581">
                  <c:v>0.0657</c:v>
                </c:pt>
                <c:pt idx="582">
                  <c:v>0.0631</c:v>
                </c:pt>
                <c:pt idx="583">
                  <c:v>0.0631</c:v>
                </c:pt>
                <c:pt idx="584">
                  <c:v>0.0625</c:v>
                </c:pt>
                <c:pt idx="585">
                  <c:v>0.0616</c:v>
                </c:pt>
                <c:pt idx="586">
                  <c:v>0.0623</c:v>
                </c:pt>
                <c:pt idx="587">
                  <c:v>0.0647</c:v>
                </c:pt>
                <c:pt idx="588">
                  <c:v>0.0676</c:v>
                </c:pt>
                <c:pt idx="589">
                  <c:v>0.0698</c:v>
                </c:pt>
                <c:pt idx="590">
                  <c:v>0.0688</c:v>
                </c:pt>
                <c:pt idx="591">
                  <c:v>0.0689</c:v>
                </c:pt>
                <c:pt idx="592">
                  <c:v>0.0714</c:v>
                </c:pt>
                <c:pt idx="593">
                  <c:v>0.0718</c:v>
                </c:pt>
                <c:pt idx="594">
                  <c:v>0.0714</c:v>
                </c:pt>
                <c:pt idx="595">
                  <c:v>0.0711</c:v>
                </c:pt>
                <c:pt idx="596">
                  <c:v>0.0706</c:v>
                </c:pt>
                <c:pt idx="597">
                  <c:v>0.071</c:v>
                </c:pt>
                <c:pt idx="598">
                  <c:v>0.0725</c:v>
                </c:pt>
                <c:pt idx="599">
                  <c:v>0.0734</c:v>
                </c:pt>
                <c:pt idx="600">
                  <c:v>0.0714</c:v>
                </c:pt>
                <c:pt idx="601">
                  <c:v>0.0714</c:v>
                </c:pt>
                <c:pt idx="602">
                  <c:v>0.0733</c:v>
                </c:pt>
                <c:pt idx="603">
                  <c:v>0.0742</c:v>
                </c:pt>
                <c:pt idx="604">
                  <c:v>0.0756</c:v>
                </c:pt>
                <c:pt idx="605">
                  <c:v>0.0761</c:v>
                </c:pt>
                <c:pt idx="606">
                  <c:v>0.0788</c:v>
                </c:pt>
                <c:pt idx="607">
                  <c:v>0.0819</c:v>
                </c:pt>
                <c:pt idx="608">
                  <c:v>0.0815</c:v>
                </c:pt>
                <c:pt idx="609">
                  <c:v>0.0808</c:v>
                </c:pt>
                <c:pt idx="610">
                  <c:v>0.0817</c:v>
                </c:pt>
                <c:pt idx="611">
                  <c:v>0.0816</c:v>
                </c:pt>
                <c:pt idx="612">
                  <c:v>0.0802</c:v>
                </c:pt>
                <c:pt idx="613">
                  <c:v>0.0815</c:v>
                </c:pt>
                <c:pt idx="614">
                  <c:v>0.0826</c:v>
                </c:pt>
                <c:pt idx="615">
                  <c:v>0.0816</c:v>
                </c:pt>
                <c:pt idx="616">
                  <c:v>0.0831</c:v>
                </c:pt>
                <c:pt idx="617">
                  <c:v>0.0854</c:v>
                </c:pt>
                <c:pt idx="618">
                  <c:v>0.0864</c:v>
                </c:pt>
                <c:pt idx="619">
                  <c:v>0.0861</c:v>
                </c:pt>
                <c:pt idx="620">
                  <c:v>0.088</c:v>
                </c:pt>
                <c:pt idx="621">
                  <c:v>0.0903</c:v>
                </c:pt>
                <c:pt idx="622">
                  <c:v>0.0905</c:v>
                </c:pt>
                <c:pt idx="623">
                  <c:v>0.0914</c:v>
                </c:pt>
                <c:pt idx="624">
                  <c:v>0.0928</c:v>
                </c:pt>
                <c:pt idx="625">
                  <c:v>0.0923</c:v>
                </c:pt>
                <c:pt idx="626">
                  <c:v>0.0902</c:v>
                </c:pt>
                <c:pt idx="627">
                  <c:v>0.0915</c:v>
                </c:pt>
                <c:pt idx="628">
                  <c:v>0.094</c:v>
                </c:pt>
                <c:pt idx="629">
                  <c:v>0.0954</c:v>
                </c:pt>
                <c:pt idx="630">
                  <c:v>0.0956</c:v>
                </c:pt>
                <c:pt idx="631">
                  <c:v>0.0973</c:v>
                </c:pt>
                <c:pt idx="632">
                  <c:v>0.0977</c:v>
                </c:pt>
                <c:pt idx="633">
                  <c:v>0.0969</c:v>
                </c:pt>
                <c:pt idx="634">
                  <c:v>0.0989</c:v>
                </c:pt>
                <c:pt idx="635">
                  <c:v>0.0999</c:v>
                </c:pt>
                <c:pt idx="636">
                  <c:v>0.0975</c:v>
                </c:pt>
                <c:pt idx="637">
                  <c:v>0.0972</c:v>
                </c:pt>
                <c:pt idx="638">
                  <c:v>0.099</c:v>
                </c:pt>
                <c:pt idx="639">
                  <c:v>0.0995</c:v>
                </c:pt>
                <c:pt idx="640">
                  <c:v>0.1011</c:v>
                </c:pt>
                <c:pt idx="641">
                  <c:v>0.103</c:v>
                </c:pt>
                <c:pt idx="642">
                  <c:v>0.1049</c:v>
                </c:pt>
                <c:pt idx="643">
                  <c:v>0.1065</c:v>
                </c:pt>
                <c:pt idx="644">
                  <c:v>0.107</c:v>
                </c:pt>
                <c:pt idx="645">
                  <c:v>0.1071</c:v>
                </c:pt>
                <c:pt idx="646">
                  <c:v>0.1098</c:v>
                </c:pt>
                <c:pt idx="647">
                  <c:v>0.111</c:v>
                </c:pt>
                <c:pt idx="648">
                  <c:v>0.1111</c:v>
                </c:pt>
                <c:pt idx="649">
                  <c:v>0.113</c:v>
                </c:pt>
                <c:pt idx="650">
                  <c:v>0.1136</c:v>
                </c:pt>
                <c:pt idx="651">
                  <c:v>0.1148</c:v>
                </c:pt>
                <c:pt idx="652">
                  <c:v>0.1162</c:v>
                </c:pt>
                <c:pt idx="653">
                  <c:v>0.1146</c:v>
                </c:pt>
                <c:pt idx="654">
                  <c:v>0.1159</c:v>
                </c:pt>
                <c:pt idx="655">
                  <c:v>0.1198</c:v>
                </c:pt>
                <c:pt idx="656">
                  <c:v>0.1191</c:v>
                </c:pt>
                <c:pt idx="657">
                  <c:v>0.1183</c:v>
                </c:pt>
                <c:pt idx="658">
                  <c:v>0.1203</c:v>
                </c:pt>
                <c:pt idx="659">
                  <c:v>0.1223</c:v>
                </c:pt>
                <c:pt idx="660">
                  <c:v>0.122</c:v>
                </c:pt>
                <c:pt idx="661">
                  <c:v>0.1232</c:v>
                </c:pt>
                <c:pt idx="662">
                  <c:v>0.1251</c:v>
                </c:pt>
                <c:pt idx="663">
                  <c:v>0.1256</c:v>
                </c:pt>
                <c:pt idx="664">
                  <c:v>0.1264</c:v>
                </c:pt>
                <c:pt idx="665">
                  <c:v>0.1285</c:v>
                </c:pt>
                <c:pt idx="666">
                  <c:v>0.1315</c:v>
                </c:pt>
                <c:pt idx="667">
                  <c:v>0.1315</c:v>
                </c:pt>
                <c:pt idx="668">
                  <c:v>0.1307</c:v>
                </c:pt>
                <c:pt idx="669">
                  <c:v>0.1334</c:v>
                </c:pt>
                <c:pt idx="670">
                  <c:v>0.1355</c:v>
                </c:pt>
                <c:pt idx="671">
                  <c:v>0.1348</c:v>
                </c:pt>
                <c:pt idx="672">
                  <c:v>0.1369</c:v>
                </c:pt>
                <c:pt idx="673">
                  <c:v>0.1387</c:v>
                </c:pt>
                <c:pt idx="674">
                  <c:v>0.1391</c:v>
                </c:pt>
                <c:pt idx="675">
                  <c:v>0.1393</c:v>
                </c:pt>
                <c:pt idx="676">
                  <c:v>0.1391</c:v>
                </c:pt>
                <c:pt idx="677">
                  <c:v>0.1411</c:v>
                </c:pt>
                <c:pt idx="678">
                  <c:v>0.1427</c:v>
                </c:pt>
                <c:pt idx="679">
                  <c:v>0.143</c:v>
                </c:pt>
                <c:pt idx="680">
                  <c:v>0.1429</c:v>
                </c:pt>
                <c:pt idx="681">
                  <c:v>0.1432</c:v>
                </c:pt>
                <c:pt idx="682">
                  <c:v>0.1441</c:v>
                </c:pt>
                <c:pt idx="683">
                  <c:v>0.1449</c:v>
                </c:pt>
                <c:pt idx="684">
                  <c:v>0.1453</c:v>
                </c:pt>
                <c:pt idx="685">
                  <c:v>0.1467</c:v>
                </c:pt>
                <c:pt idx="686">
                  <c:v>0.1487</c:v>
                </c:pt>
                <c:pt idx="687">
                  <c:v>0.15</c:v>
                </c:pt>
                <c:pt idx="688">
                  <c:v>0.1521</c:v>
                </c:pt>
                <c:pt idx="689">
                  <c:v>0.1537</c:v>
                </c:pt>
                <c:pt idx="690">
                  <c:v>0.1532</c:v>
                </c:pt>
                <c:pt idx="691">
                  <c:v>0.1546</c:v>
                </c:pt>
                <c:pt idx="692">
                  <c:v>0.1569</c:v>
                </c:pt>
                <c:pt idx="693">
                  <c:v>0.1559</c:v>
                </c:pt>
                <c:pt idx="694">
                  <c:v>0.1561</c:v>
                </c:pt>
                <c:pt idx="695">
                  <c:v>0.159</c:v>
                </c:pt>
                <c:pt idx="696">
                  <c:v>0.1598</c:v>
                </c:pt>
                <c:pt idx="697">
                  <c:v>0.1586</c:v>
                </c:pt>
                <c:pt idx="698">
                  <c:v>0.1611</c:v>
                </c:pt>
                <c:pt idx="699">
                  <c:v>0.1652</c:v>
                </c:pt>
                <c:pt idx="700">
                  <c:v>0.1644</c:v>
                </c:pt>
                <c:pt idx="701">
                  <c:v>0.1642</c:v>
                </c:pt>
                <c:pt idx="702">
                  <c:v>0.1655</c:v>
                </c:pt>
                <c:pt idx="703">
                  <c:v>0.167</c:v>
                </c:pt>
                <c:pt idx="704">
                  <c:v>0.1675</c:v>
                </c:pt>
                <c:pt idx="705">
                  <c:v>0.1675</c:v>
                </c:pt>
                <c:pt idx="706">
                  <c:v>0.1711</c:v>
                </c:pt>
                <c:pt idx="707">
                  <c:v>0.1716</c:v>
                </c:pt>
                <c:pt idx="708">
                  <c:v>0.1725</c:v>
                </c:pt>
                <c:pt idx="709">
                  <c:v>0.1758</c:v>
                </c:pt>
                <c:pt idx="710">
                  <c:v>0.1762</c:v>
                </c:pt>
                <c:pt idx="711">
                  <c:v>0.1759</c:v>
                </c:pt>
                <c:pt idx="712">
                  <c:v>0.1779</c:v>
                </c:pt>
                <c:pt idx="713">
                  <c:v>0.1794</c:v>
                </c:pt>
                <c:pt idx="714">
                  <c:v>0.1798</c:v>
                </c:pt>
                <c:pt idx="715">
                  <c:v>0.1801</c:v>
                </c:pt>
                <c:pt idx="716">
                  <c:v>0.1824</c:v>
                </c:pt>
                <c:pt idx="717">
                  <c:v>0.1848</c:v>
                </c:pt>
                <c:pt idx="718">
                  <c:v>0.1851</c:v>
                </c:pt>
                <c:pt idx="719">
                  <c:v>0.1875</c:v>
                </c:pt>
                <c:pt idx="720">
                  <c:v>0.1891</c:v>
                </c:pt>
                <c:pt idx="721">
                  <c:v>0.1898</c:v>
                </c:pt>
                <c:pt idx="722">
                  <c:v>0.1908</c:v>
                </c:pt>
                <c:pt idx="723">
                  <c:v>0.1938</c:v>
                </c:pt>
                <c:pt idx="724">
                  <c:v>0.1952</c:v>
                </c:pt>
                <c:pt idx="725">
                  <c:v>0.1943</c:v>
                </c:pt>
                <c:pt idx="726">
                  <c:v>0.1968</c:v>
                </c:pt>
                <c:pt idx="727">
                  <c:v>0.1979</c:v>
                </c:pt>
                <c:pt idx="728">
                  <c:v>0.1983</c:v>
                </c:pt>
                <c:pt idx="729">
                  <c:v>0.2012</c:v>
                </c:pt>
                <c:pt idx="730">
                  <c:v>0.2031</c:v>
                </c:pt>
                <c:pt idx="731">
                  <c:v>0.2041</c:v>
                </c:pt>
                <c:pt idx="732">
                  <c:v>0.2051</c:v>
                </c:pt>
                <c:pt idx="733">
                  <c:v>0.207</c:v>
                </c:pt>
                <c:pt idx="734">
                  <c:v>0.2111</c:v>
                </c:pt>
                <c:pt idx="735">
                  <c:v>0.2099</c:v>
                </c:pt>
                <c:pt idx="736">
                  <c:v>0.2081</c:v>
                </c:pt>
                <c:pt idx="737">
                  <c:v>0.2099</c:v>
                </c:pt>
                <c:pt idx="738">
                  <c:v>0.2126</c:v>
                </c:pt>
                <c:pt idx="739">
                  <c:v>0.2138</c:v>
                </c:pt>
                <c:pt idx="740">
                  <c:v>0.2124</c:v>
                </c:pt>
                <c:pt idx="741">
                  <c:v>0.2158</c:v>
                </c:pt>
                <c:pt idx="742">
                  <c:v>0.2168</c:v>
                </c:pt>
                <c:pt idx="743">
                  <c:v>0.2096</c:v>
                </c:pt>
                <c:pt idx="744">
                  <c:v>0.2089</c:v>
                </c:pt>
                <c:pt idx="745">
                  <c:v>0.2124</c:v>
                </c:pt>
                <c:pt idx="746">
                  <c:v>0.2111</c:v>
                </c:pt>
                <c:pt idx="747">
                  <c:v>0.2113</c:v>
                </c:pt>
                <c:pt idx="748">
                  <c:v>0.2091</c:v>
                </c:pt>
                <c:pt idx="749">
                  <c:v>0.2057</c:v>
                </c:pt>
                <c:pt idx="750">
                  <c:v>0.2045</c:v>
                </c:pt>
                <c:pt idx="751">
                  <c:v>0.201</c:v>
                </c:pt>
                <c:pt idx="752">
                  <c:v>0.1979</c:v>
                </c:pt>
                <c:pt idx="753">
                  <c:v>0.198</c:v>
                </c:pt>
                <c:pt idx="754">
                  <c:v>0.1951</c:v>
                </c:pt>
                <c:pt idx="755">
                  <c:v>0.1903</c:v>
                </c:pt>
                <c:pt idx="756">
                  <c:v>0.1848</c:v>
                </c:pt>
                <c:pt idx="757">
                  <c:v>0.1806</c:v>
                </c:pt>
                <c:pt idx="758">
                  <c:v>0.1802</c:v>
                </c:pt>
                <c:pt idx="759">
                  <c:v>0.1742</c:v>
                </c:pt>
                <c:pt idx="760">
                  <c:v>0.1659</c:v>
                </c:pt>
                <c:pt idx="761">
                  <c:v>0.1619</c:v>
                </c:pt>
                <c:pt idx="762">
                  <c:v>0.1542</c:v>
                </c:pt>
                <c:pt idx="763">
                  <c:v>0.1471</c:v>
                </c:pt>
                <c:pt idx="764">
                  <c:v>0.1418</c:v>
                </c:pt>
                <c:pt idx="765">
                  <c:v>0.1346</c:v>
                </c:pt>
                <c:pt idx="766">
                  <c:v>0.1284</c:v>
                </c:pt>
                <c:pt idx="767">
                  <c:v>0.1203</c:v>
                </c:pt>
                <c:pt idx="768">
                  <c:v>0.1129</c:v>
                </c:pt>
                <c:pt idx="769">
                  <c:v>0.1026</c:v>
                </c:pt>
                <c:pt idx="770">
                  <c:v>0.091</c:v>
                </c:pt>
                <c:pt idx="771">
                  <c:v>0.0881</c:v>
                </c:pt>
                <c:pt idx="772">
                  <c:v>0.0954</c:v>
                </c:pt>
                <c:pt idx="773">
                  <c:v>0.075</c:v>
                </c:pt>
                <c:pt idx="774">
                  <c:v>0.0586</c:v>
                </c:pt>
                <c:pt idx="775">
                  <c:v>0.0684</c:v>
                </c:pt>
                <c:pt idx="776">
                  <c:v>0.0504</c:v>
                </c:pt>
                <c:pt idx="777">
                  <c:v>0.0331</c:v>
                </c:pt>
                <c:pt idx="778">
                  <c:v>0.0587</c:v>
                </c:pt>
                <c:pt idx="779">
                  <c:v>0.1295</c:v>
                </c:pt>
                <c:pt idx="780">
                  <c:v>0.1079</c:v>
                </c:pt>
                <c:pt idx="781">
                  <c:v>0.0609</c:v>
                </c:pt>
                <c:pt idx="782">
                  <c:v>0.0963</c:v>
                </c:pt>
                <c:pt idx="783">
                  <c:v>0.1346</c:v>
                </c:pt>
                <c:pt idx="784">
                  <c:v>0.1156</c:v>
                </c:pt>
                <c:pt idx="785">
                  <c:v>0.0922</c:v>
                </c:pt>
                <c:pt idx="786">
                  <c:v>0.172</c:v>
                </c:pt>
                <c:pt idx="787">
                  <c:v>0.2328</c:v>
                </c:pt>
                <c:pt idx="788">
                  <c:v>0.2386</c:v>
                </c:pt>
                <c:pt idx="789">
                  <c:v>0.2012</c:v>
                </c:pt>
                <c:pt idx="790">
                  <c:v>0.1629</c:v>
                </c:pt>
                <c:pt idx="791">
                  <c:v>0.2122</c:v>
                </c:pt>
                <c:pt idx="792">
                  <c:v>0.1551</c:v>
                </c:pt>
                <c:pt idx="793">
                  <c:v>0.1264</c:v>
                </c:pt>
                <c:pt idx="794">
                  <c:v>0.2019</c:v>
                </c:pt>
                <c:pt idx="795">
                  <c:v>0.174</c:v>
                </c:pt>
                <c:pt idx="796">
                  <c:v>0.1434</c:v>
                </c:pt>
                <c:pt idx="797">
                  <c:v>0.1507</c:v>
                </c:pt>
                <c:pt idx="798">
                  <c:v>0.1629</c:v>
                </c:pt>
                <c:pt idx="799">
                  <c:v>0.1756</c:v>
                </c:pt>
                <c:pt idx="800">
                  <c:v>0.1586</c:v>
                </c:pt>
              </c:numCache>
            </c:numRef>
          </c:yVal>
          <c:smooth val="1"/>
        </c:ser>
        <c:ser>
          <c:idx val="3"/>
          <c:order val="3"/>
          <c:tx>
            <c:v>24 Hr Irradiated</c:v>
          </c:tx>
          <c:spPr>
            <a:ln w="19050" cmpd="sng"/>
          </c:spPr>
          <c:marker>
            <c:symbol val="none"/>
          </c:marker>
          <c:xVal>
            <c:numRef>
              <c:f>'Macintosh HD:Users:Brian:Desktop:GoMRI:Sand Patty Scans:[Composite.xlsx]12hdark1.asc'!$A$2:$A$802</c:f>
              <c:numCache>
                <c:formatCode>General</c:formatCode>
                <c:ptCount val="801"/>
                <c:pt idx="0">
                  <c:v>600.0</c:v>
                </c:pt>
                <c:pt idx="1">
                  <c:v>599.5</c:v>
                </c:pt>
                <c:pt idx="2">
                  <c:v>599.0</c:v>
                </c:pt>
                <c:pt idx="3">
                  <c:v>598.5</c:v>
                </c:pt>
                <c:pt idx="4">
                  <c:v>598.0</c:v>
                </c:pt>
                <c:pt idx="5">
                  <c:v>597.5</c:v>
                </c:pt>
                <c:pt idx="6">
                  <c:v>597.0</c:v>
                </c:pt>
                <c:pt idx="7">
                  <c:v>596.5</c:v>
                </c:pt>
                <c:pt idx="8">
                  <c:v>596.0</c:v>
                </c:pt>
                <c:pt idx="9">
                  <c:v>595.5</c:v>
                </c:pt>
                <c:pt idx="10">
                  <c:v>595.0</c:v>
                </c:pt>
                <c:pt idx="11">
                  <c:v>594.5</c:v>
                </c:pt>
                <c:pt idx="12">
                  <c:v>594.0</c:v>
                </c:pt>
                <c:pt idx="13">
                  <c:v>593.5</c:v>
                </c:pt>
                <c:pt idx="14">
                  <c:v>593.0</c:v>
                </c:pt>
                <c:pt idx="15">
                  <c:v>592.5</c:v>
                </c:pt>
                <c:pt idx="16">
                  <c:v>592.0</c:v>
                </c:pt>
                <c:pt idx="17">
                  <c:v>591.5</c:v>
                </c:pt>
                <c:pt idx="18">
                  <c:v>591.0</c:v>
                </c:pt>
                <c:pt idx="19">
                  <c:v>590.5</c:v>
                </c:pt>
                <c:pt idx="20">
                  <c:v>590.0</c:v>
                </c:pt>
                <c:pt idx="21">
                  <c:v>589.5</c:v>
                </c:pt>
                <c:pt idx="22">
                  <c:v>589.0</c:v>
                </c:pt>
                <c:pt idx="23">
                  <c:v>588.5</c:v>
                </c:pt>
                <c:pt idx="24">
                  <c:v>588.0</c:v>
                </c:pt>
                <c:pt idx="25">
                  <c:v>587.5</c:v>
                </c:pt>
                <c:pt idx="26">
                  <c:v>587.0</c:v>
                </c:pt>
                <c:pt idx="27">
                  <c:v>586.5</c:v>
                </c:pt>
                <c:pt idx="28">
                  <c:v>586.0</c:v>
                </c:pt>
                <c:pt idx="29">
                  <c:v>585.5</c:v>
                </c:pt>
                <c:pt idx="30">
                  <c:v>585.0</c:v>
                </c:pt>
                <c:pt idx="31">
                  <c:v>584.5</c:v>
                </c:pt>
                <c:pt idx="32">
                  <c:v>584.0</c:v>
                </c:pt>
                <c:pt idx="33">
                  <c:v>583.5</c:v>
                </c:pt>
                <c:pt idx="34">
                  <c:v>583.0</c:v>
                </c:pt>
                <c:pt idx="35">
                  <c:v>582.5</c:v>
                </c:pt>
                <c:pt idx="36">
                  <c:v>582.0</c:v>
                </c:pt>
                <c:pt idx="37">
                  <c:v>581.5</c:v>
                </c:pt>
                <c:pt idx="38">
                  <c:v>581.0</c:v>
                </c:pt>
                <c:pt idx="39">
                  <c:v>580.5</c:v>
                </c:pt>
                <c:pt idx="40">
                  <c:v>580.0</c:v>
                </c:pt>
                <c:pt idx="41">
                  <c:v>579.5</c:v>
                </c:pt>
                <c:pt idx="42">
                  <c:v>579.0</c:v>
                </c:pt>
                <c:pt idx="43">
                  <c:v>578.5</c:v>
                </c:pt>
                <c:pt idx="44">
                  <c:v>578.0</c:v>
                </c:pt>
                <c:pt idx="45">
                  <c:v>577.5</c:v>
                </c:pt>
                <c:pt idx="46">
                  <c:v>577.0</c:v>
                </c:pt>
                <c:pt idx="47">
                  <c:v>576.5</c:v>
                </c:pt>
                <c:pt idx="48">
                  <c:v>576.0</c:v>
                </c:pt>
                <c:pt idx="49">
                  <c:v>575.5</c:v>
                </c:pt>
                <c:pt idx="50">
                  <c:v>575.0</c:v>
                </c:pt>
                <c:pt idx="51">
                  <c:v>574.5</c:v>
                </c:pt>
                <c:pt idx="52">
                  <c:v>574.0</c:v>
                </c:pt>
                <c:pt idx="53">
                  <c:v>573.5</c:v>
                </c:pt>
                <c:pt idx="54">
                  <c:v>573.0</c:v>
                </c:pt>
                <c:pt idx="55">
                  <c:v>572.5</c:v>
                </c:pt>
                <c:pt idx="56">
                  <c:v>572.0</c:v>
                </c:pt>
                <c:pt idx="57">
                  <c:v>571.5</c:v>
                </c:pt>
                <c:pt idx="58">
                  <c:v>571.0</c:v>
                </c:pt>
                <c:pt idx="59">
                  <c:v>570.5</c:v>
                </c:pt>
                <c:pt idx="60">
                  <c:v>570.0</c:v>
                </c:pt>
                <c:pt idx="61">
                  <c:v>569.5</c:v>
                </c:pt>
                <c:pt idx="62">
                  <c:v>569.0</c:v>
                </c:pt>
                <c:pt idx="63">
                  <c:v>568.5</c:v>
                </c:pt>
                <c:pt idx="64">
                  <c:v>568.0</c:v>
                </c:pt>
                <c:pt idx="65">
                  <c:v>567.5</c:v>
                </c:pt>
                <c:pt idx="66">
                  <c:v>567.0</c:v>
                </c:pt>
                <c:pt idx="67">
                  <c:v>566.5</c:v>
                </c:pt>
                <c:pt idx="68">
                  <c:v>566.0</c:v>
                </c:pt>
                <c:pt idx="69">
                  <c:v>565.5</c:v>
                </c:pt>
                <c:pt idx="70">
                  <c:v>565.0</c:v>
                </c:pt>
                <c:pt idx="71">
                  <c:v>564.5</c:v>
                </c:pt>
                <c:pt idx="72">
                  <c:v>564.0</c:v>
                </c:pt>
                <c:pt idx="73">
                  <c:v>563.5</c:v>
                </c:pt>
                <c:pt idx="74">
                  <c:v>563.0</c:v>
                </c:pt>
                <c:pt idx="75">
                  <c:v>562.5</c:v>
                </c:pt>
                <c:pt idx="76">
                  <c:v>562.0</c:v>
                </c:pt>
                <c:pt idx="77">
                  <c:v>561.5</c:v>
                </c:pt>
                <c:pt idx="78">
                  <c:v>561.0</c:v>
                </c:pt>
                <c:pt idx="79">
                  <c:v>560.5</c:v>
                </c:pt>
                <c:pt idx="80">
                  <c:v>560.0</c:v>
                </c:pt>
                <c:pt idx="81">
                  <c:v>559.5</c:v>
                </c:pt>
                <c:pt idx="82">
                  <c:v>559.0</c:v>
                </c:pt>
                <c:pt idx="83">
                  <c:v>558.5</c:v>
                </c:pt>
                <c:pt idx="84">
                  <c:v>558.0</c:v>
                </c:pt>
                <c:pt idx="85">
                  <c:v>557.5</c:v>
                </c:pt>
                <c:pt idx="86">
                  <c:v>557.0</c:v>
                </c:pt>
                <c:pt idx="87">
                  <c:v>556.5</c:v>
                </c:pt>
                <c:pt idx="88">
                  <c:v>556.0</c:v>
                </c:pt>
                <c:pt idx="89">
                  <c:v>555.5</c:v>
                </c:pt>
                <c:pt idx="90">
                  <c:v>555.0</c:v>
                </c:pt>
                <c:pt idx="91">
                  <c:v>554.5</c:v>
                </c:pt>
                <c:pt idx="92">
                  <c:v>554.0</c:v>
                </c:pt>
                <c:pt idx="93">
                  <c:v>553.5</c:v>
                </c:pt>
                <c:pt idx="94">
                  <c:v>553.0</c:v>
                </c:pt>
                <c:pt idx="95">
                  <c:v>552.5</c:v>
                </c:pt>
                <c:pt idx="96">
                  <c:v>552.0</c:v>
                </c:pt>
                <c:pt idx="97">
                  <c:v>551.5</c:v>
                </c:pt>
                <c:pt idx="98">
                  <c:v>551.0</c:v>
                </c:pt>
                <c:pt idx="99">
                  <c:v>550.5</c:v>
                </c:pt>
                <c:pt idx="100">
                  <c:v>550.0</c:v>
                </c:pt>
                <c:pt idx="101">
                  <c:v>549.5</c:v>
                </c:pt>
                <c:pt idx="102">
                  <c:v>549.0</c:v>
                </c:pt>
                <c:pt idx="103">
                  <c:v>548.5</c:v>
                </c:pt>
                <c:pt idx="104">
                  <c:v>548.0</c:v>
                </c:pt>
                <c:pt idx="105">
                  <c:v>547.5</c:v>
                </c:pt>
                <c:pt idx="106">
                  <c:v>547.0</c:v>
                </c:pt>
                <c:pt idx="107">
                  <c:v>546.5</c:v>
                </c:pt>
                <c:pt idx="108">
                  <c:v>546.0</c:v>
                </c:pt>
                <c:pt idx="109">
                  <c:v>545.5</c:v>
                </c:pt>
                <c:pt idx="110">
                  <c:v>545.0</c:v>
                </c:pt>
                <c:pt idx="111">
                  <c:v>544.5</c:v>
                </c:pt>
                <c:pt idx="112">
                  <c:v>544.0</c:v>
                </c:pt>
                <c:pt idx="113">
                  <c:v>543.5</c:v>
                </c:pt>
                <c:pt idx="114">
                  <c:v>543.0</c:v>
                </c:pt>
                <c:pt idx="115">
                  <c:v>542.5</c:v>
                </c:pt>
                <c:pt idx="116">
                  <c:v>542.0</c:v>
                </c:pt>
                <c:pt idx="117">
                  <c:v>541.5</c:v>
                </c:pt>
                <c:pt idx="118">
                  <c:v>541.0</c:v>
                </c:pt>
                <c:pt idx="119">
                  <c:v>540.5</c:v>
                </c:pt>
                <c:pt idx="120">
                  <c:v>540.0</c:v>
                </c:pt>
                <c:pt idx="121">
                  <c:v>539.5</c:v>
                </c:pt>
                <c:pt idx="122">
                  <c:v>539.0</c:v>
                </c:pt>
                <c:pt idx="123">
                  <c:v>538.5</c:v>
                </c:pt>
                <c:pt idx="124">
                  <c:v>538.0</c:v>
                </c:pt>
                <c:pt idx="125">
                  <c:v>537.5</c:v>
                </c:pt>
                <c:pt idx="126">
                  <c:v>537.0</c:v>
                </c:pt>
                <c:pt idx="127">
                  <c:v>536.5</c:v>
                </c:pt>
                <c:pt idx="128">
                  <c:v>536.0</c:v>
                </c:pt>
                <c:pt idx="129">
                  <c:v>535.5</c:v>
                </c:pt>
                <c:pt idx="130">
                  <c:v>535.0</c:v>
                </c:pt>
                <c:pt idx="131">
                  <c:v>534.5</c:v>
                </c:pt>
                <c:pt idx="132">
                  <c:v>534.0</c:v>
                </c:pt>
                <c:pt idx="133">
                  <c:v>533.5</c:v>
                </c:pt>
                <c:pt idx="134">
                  <c:v>533.0</c:v>
                </c:pt>
                <c:pt idx="135">
                  <c:v>532.5</c:v>
                </c:pt>
                <c:pt idx="136">
                  <c:v>532.0</c:v>
                </c:pt>
                <c:pt idx="137">
                  <c:v>531.5</c:v>
                </c:pt>
                <c:pt idx="138">
                  <c:v>531.0</c:v>
                </c:pt>
                <c:pt idx="139">
                  <c:v>530.5</c:v>
                </c:pt>
                <c:pt idx="140">
                  <c:v>530.0</c:v>
                </c:pt>
                <c:pt idx="141">
                  <c:v>529.5</c:v>
                </c:pt>
                <c:pt idx="142">
                  <c:v>529.0</c:v>
                </c:pt>
                <c:pt idx="143">
                  <c:v>528.5</c:v>
                </c:pt>
                <c:pt idx="144">
                  <c:v>528.0</c:v>
                </c:pt>
                <c:pt idx="145">
                  <c:v>527.5</c:v>
                </c:pt>
                <c:pt idx="146">
                  <c:v>527.0</c:v>
                </c:pt>
                <c:pt idx="147">
                  <c:v>526.5</c:v>
                </c:pt>
                <c:pt idx="148">
                  <c:v>526.0</c:v>
                </c:pt>
                <c:pt idx="149">
                  <c:v>525.5</c:v>
                </c:pt>
                <c:pt idx="150">
                  <c:v>525.0</c:v>
                </c:pt>
                <c:pt idx="151">
                  <c:v>524.5</c:v>
                </c:pt>
                <c:pt idx="152">
                  <c:v>524.0</c:v>
                </c:pt>
                <c:pt idx="153">
                  <c:v>523.5</c:v>
                </c:pt>
                <c:pt idx="154">
                  <c:v>523.0</c:v>
                </c:pt>
                <c:pt idx="155">
                  <c:v>522.5</c:v>
                </c:pt>
                <c:pt idx="156">
                  <c:v>522.0</c:v>
                </c:pt>
                <c:pt idx="157">
                  <c:v>521.5</c:v>
                </c:pt>
                <c:pt idx="158">
                  <c:v>521.0</c:v>
                </c:pt>
                <c:pt idx="159">
                  <c:v>520.5</c:v>
                </c:pt>
                <c:pt idx="160">
                  <c:v>520.0</c:v>
                </c:pt>
                <c:pt idx="161">
                  <c:v>519.5</c:v>
                </c:pt>
                <c:pt idx="162">
                  <c:v>519.0</c:v>
                </c:pt>
                <c:pt idx="163">
                  <c:v>518.5</c:v>
                </c:pt>
                <c:pt idx="164">
                  <c:v>518.0</c:v>
                </c:pt>
                <c:pt idx="165">
                  <c:v>517.5</c:v>
                </c:pt>
                <c:pt idx="166">
                  <c:v>517.0</c:v>
                </c:pt>
                <c:pt idx="167">
                  <c:v>516.5</c:v>
                </c:pt>
                <c:pt idx="168">
                  <c:v>516.0</c:v>
                </c:pt>
                <c:pt idx="169">
                  <c:v>515.5</c:v>
                </c:pt>
                <c:pt idx="170">
                  <c:v>515.0</c:v>
                </c:pt>
                <c:pt idx="171">
                  <c:v>514.5</c:v>
                </c:pt>
                <c:pt idx="172">
                  <c:v>514.0</c:v>
                </c:pt>
                <c:pt idx="173">
                  <c:v>513.5</c:v>
                </c:pt>
                <c:pt idx="174">
                  <c:v>513.0</c:v>
                </c:pt>
                <c:pt idx="175">
                  <c:v>512.5</c:v>
                </c:pt>
                <c:pt idx="176">
                  <c:v>512.0</c:v>
                </c:pt>
                <c:pt idx="177">
                  <c:v>511.5</c:v>
                </c:pt>
                <c:pt idx="178">
                  <c:v>511.0</c:v>
                </c:pt>
                <c:pt idx="179">
                  <c:v>510.5</c:v>
                </c:pt>
                <c:pt idx="180">
                  <c:v>510.0</c:v>
                </c:pt>
                <c:pt idx="181">
                  <c:v>509.5</c:v>
                </c:pt>
                <c:pt idx="182">
                  <c:v>509.0</c:v>
                </c:pt>
                <c:pt idx="183">
                  <c:v>508.5</c:v>
                </c:pt>
                <c:pt idx="184">
                  <c:v>508.0</c:v>
                </c:pt>
                <c:pt idx="185">
                  <c:v>507.5</c:v>
                </c:pt>
                <c:pt idx="186">
                  <c:v>507.0</c:v>
                </c:pt>
                <c:pt idx="187">
                  <c:v>506.5</c:v>
                </c:pt>
                <c:pt idx="188">
                  <c:v>506.0</c:v>
                </c:pt>
                <c:pt idx="189">
                  <c:v>505.5</c:v>
                </c:pt>
                <c:pt idx="190">
                  <c:v>505.0</c:v>
                </c:pt>
                <c:pt idx="191">
                  <c:v>504.5</c:v>
                </c:pt>
                <c:pt idx="192">
                  <c:v>504.0</c:v>
                </c:pt>
                <c:pt idx="193">
                  <c:v>503.5</c:v>
                </c:pt>
                <c:pt idx="194">
                  <c:v>503.0</c:v>
                </c:pt>
                <c:pt idx="195">
                  <c:v>502.5</c:v>
                </c:pt>
                <c:pt idx="196">
                  <c:v>502.0</c:v>
                </c:pt>
                <c:pt idx="197">
                  <c:v>501.5</c:v>
                </c:pt>
                <c:pt idx="198">
                  <c:v>501.0</c:v>
                </c:pt>
                <c:pt idx="199">
                  <c:v>500.5</c:v>
                </c:pt>
                <c:pt idx="200">
                  <c:v>500.0</c:v>
                </c:pt>
                <c:pt idx="201">
                  <c:v>499.5</c:v>
                </c:pt>
                <c:pt idx="202">
                  <c:v>499.0</c:v>
                </c:pt>
                <c:pt idx="203">
                  <c:v>498.5</c:v>
                </c:pt>
                <c:pt idx="204">
                  <c:v>498.0</c:v>
                </c:pt>
                <c:pt idx="205">
                  <c:v>497.5</c:v>
                </c:pt>
                <c:pt idx="206">
                  <c:v>497.0</c:v>
                </c:pt>
                <c:pt idx="207">
                  <c:v>496.5</c:v>
                </c:pt>
                <c:pt idx="208">
                  <c:v>496.0</c:v>
                </c:pt>
                <c:pt idx="209">
                  <c:v>495.5</c:v>
                </c:pt>
                <c:pt idx="210">
                  <c:v>495.0</c:v>
                </c:pt>
                <c:pt idx="211">
                  <c:v>494.5</c:v>
                </c:pt>
                <c:pt idx="212">
                  <c:v>494.0</c:v>
                </c:pt>
                <c:pt idx="213">
                  <c:v>493.5</c:v>
                </c:pt>
                <c:pt idx="214">
                  <c:v>493.0</c:v>
                </c:pt>
                <c:pt idx="215">
                  <c:v>492.5</c:v>
                </c:pt>
                <c:pt idx="216">
                  <c:v>492.0</c:v>
                </c:pt>
                <c:pt idx="217">
                  <c:v>491.5</c:v>
                </c:pt>
                <c:pt idx="218">
                  <c:v>491.0</c:v>
                </c:pt>
                <c:pt idx="219">
                  <c:v>490.5</c:v>
                </c:pt>
                <c:pt idx="220">
                  <c:v>490.0</c:v>
                </c:pt>
                <c:pt idx="221">
                  <c:v>489.5</c:v>
                </c:pt>
                <c:pt idx="222">
                  <c:v>489.0</c:v>
                </c:pt>
                <c:pt idx="223">
                  <c:v>488.5</c:v>
                </c:pt>
                <c:pt idx="224">
                  <c:v>488.0</c:v>
                </c:pt>
                <c:pt idx="225">
                  <c:v>487.5</c:v>
                </c:pt>
                <c:pt idx="226">
                  <c:v>487.0</c:v>
                </c:pt>
                <c:pt idx="227">
                  <c:v>486.5</c:v>
                </c:pt>
                <c:pt idx="228">
                  <c:v>486.0</c:v>
                </c:pt>
                <c:pt idx="229">
                  <c:v>485.5</c:v>
                </c:pt>
                <c:pt idx="230">
                  <c:v>485.0</c:v>
                </c:pt>
                <c:pt idx="231">
                  <c:v>484.5</c:v>
                </c:pt>
                <c:pt idx="232">
                  <c:v>484.0</c:v>
                </c:pt>
                <c:pt idx="233">
                  <c:v>483.5</c:v>
                </c:pt>
                <c:pt idx="234">
                  <c:v>483.0</c:v>
                </c:pt>
                <c:pt idx="235">
                  <c:v>482.5</c:v>
                </c:pt>
                <c:pt idx="236">
                  <c:v>482.0</c:v>
                </c:pt>
                <c:pt idx="237">
                  <c:v>481.5</c:v>
                </c:pt>
                <c:pt idx="238">
                  <c:v>481.0</c:v>
                </c:pt>
                <c:pt idx="239">
                  <c:v>480.5</c:v>
                </c:pt>
                <c:pt idx="240">
                  <c:v>480.0</c:v>
                </c:pt>
                <c:pt idx="241">
                  <c:v>479.5</c:v>
                </c:pt>
                <c:pt idx="242">
                  <c:v>479.0</c:v>
                </c:pt>
                <c:pt idx="243">
                  <c:v>478.5</c:v>
                </c:pt>
                <c:pt idx="244">
                  <c:v>478.0</c:v>
                </c:pt>
                <c:pt idx="245">
                  <c:v>477.5</c:v>
                </c:pt>
                <c:pt idx="246">
                  <c:v>477.0</c:v>
                </c:pt>
                <c:pt idx="247">
                  <c:v>476.5</c:v>
                </c:pt>
                <c:pt idx="248">
                  <c:v>476.0</c:v>
                </c:pt>
                <c:pt idx="249">
                  <c:v>475.5</c:v>
                </c:pt>
                <c:pt idx="250">
                  <c:v>475.0</c:v>
                </c:pt>
                <c:pt idx="251">
                  <c:v>474.5</c:v>
                </c:pt>
                <c:pt idx="252">
                  <c:v>474.0</c:v>
                </c:pt>
                <c:pt idx="253">
                  <c:v>473.5</c:v>
                </c:pt>
                <c:pt idx="254">
                  <c:v>473.0</c:v>
                </c:pt>
                <c:pt idx="255">
                  <c:v>472.5</c:v>
                </c:pt>
                <c:pt idx="256">
                  <c:v>472.0</c:v>
                </c:pt>
                <c:pt idx="257">
                  <c:v>471.5</c:v>
                </c:pt>
                <c:pt idx="258">
                  <c:v>471.0</c:v>
                </c:pt>
                <c:pt idx="259">
                  <c:v>470.5</c:v>
                </c:pt>
                <c:pt idx="260">
                  <c:v>470.0</c:v>
                </c:pt>
                <c:pt idx="261">
                  <c:v>469.5</c:v>
                </c:pt>
                <c:pt idx="262">
                  <c:v>469.0</c:v>
                </c:pt>
                <c:pt idx="263">
                  <c:v>468.5</c:v>
                </c:pt>
                <c:pt idx="264">
                  <c:v>468.0</c:v>
                </c:pt>
                <c:pt idx="265">
                  <c:v>467.5</c:v>
                </c:pt>
                <c:pt idx="266">
                  <c:v>467.0</c:v>
                </c:pt>
                <c:pt idx="267">
                  <c:v>466.5</c:v>
                </c:pt>
                <c:pt idx="268">
                  <c:v>466.0</c:v>
                </c:pt>
                <c:pt idx="269">
                  <c:v>465.5</c:v>
                </c:pt>
                <c:pt idx="270">
                  <c:v>465.0</c:v>
                </c:pt>
                <c:pt idx="271">
                  <c:v>464.5</c:v>
                </c:pt>
                <c:pt idx="272">
                  <c:v>464.0</c:v>
                </c:pt>
                <c:pt idx="273">
                  <c:v>463.5</c:v>
                </c:pt>
                <c:pt idx="274">
                  <c:v>463.0</c:v>
                </c:pt>
                <c:pt idx="275">
                  <c:v>462.5</c:v>
                </c:pt>
                <c:pt idx="276">
                  <c:v>462.0</c:v>
                </c:pt>
                <c:pt idx="277">
                  <c:v>461.5</c:v>
                </c:pt>
                <c:pt idx="278">
                  <c:v>461.0</c:v>
                </c:pt>
                <c:pt idx="279">
                  <c:v>460.5</c:v>
                </c:pt>
                <c:pt idx="280">
                  <c:v>460.0</c:v>
                </c:pt>
                <c:pt idx="281">
                  <c:v>459.5</c:v>
                </c:pt>
                <c:pt idx="282">
                  <c:v>459.0</c:v>
                </c:pt>
                <c:pt idx="283">
                  <c:v>458.5</c:v>
                </c:pt>
                <c:pt idx="284">
                  <c:v>458.0</c:v>
                </c:pt>
                <c:pt idx="285">
                  <c:v>457.5</c:v>
                </c:pt>
                <c:pt idx="286">
                  <c:v>457.0</c:v>
                </c:pt>
                <c:pt idx="287">
                  <c:v>456.5</c:v>
                </c:pt>
                <c:pt idx="288">
                  <c:v>456.0</c:v>
                </c:pt>
                <c:pt idx="289">
                  <c:v>455.5</c:v>
                </c:pt>
                <c:pt idx="290">
                  <c:v>455.0</c:v>
                </c:pt>
                <c:pt idx="291">
                  <c:v>454.5</c:v>
                </c:pt>
                <c:pt idx="292">
                  <c:v>454.0</c:v>
                </c:pt>
                <c:pt idx="293">
                  <c:v>453.5</c:v>
                </c:pt>
                <c:pt idx="294">
                  <c:v>453.0</c:v>
                </c:pt>
                <c:pt idx="295">
                  <c:v>452.5</c:v>
                </c:pt>
                <c:pt idx="296">
                  <c:v>452.0</c:v>
                </c:pt>
                <c:pt idx="297">
                  <c:v>451.5</c:v>
                </c:pt>
                <c:pt idx="298">
                  <c:v>451.0</c:v>
                </c:pt>
                <c:pt idx="299">
                  <c:v>450.5</c:v>
                </c:pt>
                <c:pt idx="300">
                  <c:v>450.0</c:v>
                </c:pt>
                <c:pt idx="301">
                  <c:v>449.5</c:v>
                </c:pt>
                <c:pt idx="302">
                  <c:v>449.0</c:v>
                </c:pt>
                <c:pt idx="303">
                  <c:v>448.5</c:v>
                </c:pt>
                <c:pt idx="304">
                  <c:v>448.0</c:v>
                </c:pt>
                <c:pt idx="305">
                  <c:v>447.5</c:v>
                </c:pt>
                <c:pt idx="306">
                  <c:v>447.0</c:v>
                </c:pt>
                <c:pt idx="307">
                  <c:v>446.5</c:v>
                </c:pt>
                <c:pt idx="308">
                  <c:v>446.0</c:v>
                </c:pt>
                <c:pt idx="309">
                  <c:v>445.5</c:v>
                </c:pt>
                <c:pt idx="310">
                  <c:v>445.0</c:v>
                </c:pt>
                <c:pt idx="311">
                  <c:v>444.5</c:v>
                </c:pt>
                <c:pt idx="312">
                  <c:v>444.0</c:v>
                </c:pt>
                <c:pt idx="313">
                  <c:v>443.5</c:v>
                </c:pt>
                <c:pt idx="314">
                  <c:v>443.0</c:v>
                </c:pt>
                <c:pt idx="315">
                  <c:v>442.5</c:v>
                </c:pt>
                <c:pt idx="316">
                  <c:v>442.0</c:v>
                </c:pt>
                <c:pt idx="317">
                  <c:v>441.5</c:v>
                </c:pt>
                <c:pt idx="318">
                  <c:v>441.0</c:v>
                </c:pt>
                <c:pt idx="319">
                  <c:v>440.5</c:v>
                </c:pt>
                <c:pt idx="320">
                  <c:v>440.0</c:v>
                </c:pt>
                <c:pt idx="321">
                  <c:v>439.5</c:v>
                </c:pt>
                <c:pt idx="322">
                  <c:v>439.0</c:v>
                </c:pt>
                <c:pt idx="323">
                  <c:v>438.5</c:v>
                </c:pt>
                <c:pt idx="324">
                  <c:v>438.0</c:v>
                </c:pt>
                <c:pt idx="325">
                  <c:v>437.5</c:v>
                </c:pt>
                <c:pt idx="326">
                  <c:v>437.0</c:v>
                </c:pt>
                <c:pt idx="327">
                  <c:v>436.5</c:v>
                </c:pt>
                <c:pt idx="328">
                  <c:v>436.0</c:v>
                </c:pt>
                <c:pt idx="329">
                  <c:v>435.5</c:v>
                </c:pt>
                <c:pt idx="330">
                  <c:v>435.0</c:v>
                </c:pt>
                <c:pt idx="331">
                  <c:v>434.5</c:v>
                </c:pt>
                <c:pt idx="332">
                  <c:v>434.0</c:v>
                </c:pt>
                <c:pt idx="333">
                  <c:v>433.5</c:v>
                </c:pt>
                <c:pt idx="334">
                  <c:v>433.0</c:v>
                </c:pt>
                <c:pt idx="335">
                  <c:v>432.5</c:v>
                </c:pt>
                <c:pt idx="336">
                  <c:v>432.0</c:v>
                </c:pt>
                <c:pt idx="337">
                  <c:v>431.5</c:v>
                </c:pt>
                <c:pt idx="338">
                  <c:v>431.0</c:v>
                </c:pt>
                <c:pt idx="339">
                  <c:v>430.5</c:v>
                </c:pt>
                <c:pt idx="340">
                  <c:v>430.0</c:v>
                </c:pt>
                <c:pt idx="341">
                  <c:v>429.5</c:v>
                </c:pt>
                <c:pt idx="342">
                  <c:v>429.0</c:v>
                </c:pt>
                <c:pt idx="343">
                  <c:v>428.5</c:v>
                </c:pt>
                <c:pt idx="344">
                  <c:v>428.0</c:v>
                </c:pt>
                <c:pt idx="345">
                  <c:v>427.5</c:v>
                </c:pt>
                <c:pt idx="346">
                  <c:v>427.0</c:v>
                </c:pt>
                <c:pt idx="347">
                  <c:v>426.5</c:v>
                </c:pt>
                <c:pt idx="348">
                  <c:v>426.0</c:v>
                </c:pt>
                <c:pt idx="349">
                  <c:v>425.5</c:v>
                </c:pt>
                <c:pt idx="350">
                  <c:v>425.0</c:v>
                </c:pt>
                <c:pt idx="351">
                  <c:v>424.5</c:v>
                </c:pt>
                <c:pt idx="352">
                  <c:v>424.0</c:v>
                </c:pt>
                <c:pt idx="353">
                  <c:v>423.5</c:v>
                </c:pt>
                <c:pt idx="354">
                  <c:v>423.0</c:v>
                </c:pt>
                <c:pt idx="355">
                  <c:v>422.5</c:v>
                </c:pt>
                <c:pt idx="356">
                  <c:v>422.0</c:v>
                </c:pt>
                <c:pt idx="357">
                  <c:v>421.5</c:v>
                </c:pt>
                <c:pt idx="358">
                  <c:v>421.0</c:v>
                </c:pt>
                <c:pt idx="359">
                  <c:v>420.5</c:v>
                </c:pt>
                <c:pt idx="360">
                  <c:v>420.0</c:v>
                </c:pt>
                <c:pt idx="361">
                  <c:v>419.5</c:v>
                </c:pt>
                <c:pt idx="362">
                  <c:v>419.0</c:v>
                </c:pt>
                <c:pt idx="363">
                  <c:v>418.5</c:v>
                </c:pt>
                <c:pt idx="364">
                  <c:v>418.0</c:v>
                </c:pt>
                <c:pt idx="365">
                  <c:v>417.5</c:v>
                </c:pt>
                <c:pt idx="366">
                  <c:v>417.0</c:v>
                </c:pt>
                <c:pt idx="367">
                  <c:v>416.5</c:v>
                </c:pt>
                <c:pt idx="368">
                  <c:v>416.0</c:v>
                </c:pt>
                <c:pt idx="369">
                  <c:v>415.5</c:v>
                </c:pt>
                <c:pt idx="370">
                  <c:v>415.0</c:v>
                </c:pt>
                <c:pt idx="371">
                  <c:v>414.5</c:v>
                </c:pt>
                <c:pt idx="372">
                  <c:v>414.0</c:v>
                </c:pt>
                <c:pt idx="373">
                  <c:v>413.5</c:v>
                </c:pt>
                <c:pt idx="374">
                  <c:v>413.0</c:v>
                </c:pt>
                <c:pt idx="375">
                  <c:v>412.5</c:v>
                </c:pt>
                <c:pt idx="376">
                  <c:v>412.0</c:v>
                </c:pt>
                <c:pt idx="377">
                  <c:v>411.5</c:v>
                </c:pt>
                <c:pt idx="378">
                  <c:v>411.0</c:v>
                </c:pt>
                <c:pt idx="379">
                  <c:v>410.5</c:v>
                </c:pt>
                <c:pt idx="380">
                  <c:v>410.0</c:v>
                </c:pt>
                <c:pt idx="381">
                  <c:v>409.5</c:v>
                </c:pt>
                <c:pt idx="382">
                  <c:v>409.0</c:v>
                </c:pt>
                <c:pt idx="383">
                  <c:v>408.5</c:v>
                </c:pt>
                <c:pt idx="384">
                  <c:v>408.0</c:v>
                </c:pt>
                <c:pt idx="385">
                  <c:v>407.5</c:v>
                </c:pt>
                <c:pt idx="386">
                  <c:v>407.0</c:v>
                </c:pt>
                <c:pt idx="387">
                  <c:v>406.5</c:v>
                </c:pt>
                <c:pt idx="388">
                  <c:v>406.0</c:v>
                </c:pt>
                <c:pt idx="389">
                  <c:v>405.5</c:v>
                </c:pt>
                <c:pt idx="390">
                  <c:v>405.0</c:v>
                </c:pt>
                <c:pt idx="391">
                  <c:v>404.5</c:v>
                </c:pt>
                <c:pt idx="392">
                  <c:v>404.0</c:v>
                </c:pt>
                <c:pt idx="393">
                  <c:v>403.5</c:v>
                </c:pt>
                <c:pt idx="394">
                  <c:v>403.0</c:v>
                </c:pt>
                <c:pt idx="395">
                  <c:v>402.5</c:v>
                </c:pt>
                <c:pt idx="396">
                  <c:v>402.0</c:v>
                </c:pt>
                <c:pt idx="397">
                  <c:v>401.5</c:v>
                </c:pt>
                <c:pt idx="398">
                  <c:v>401.0</c:v>
                </c:pt>
                <c:pt idx="399">
                  <c:v>400.5</c:v>
                </c:pt>
                <c:pt idx="400">
                  <c:v>400.0</c:v>
                </c:pt>
                <c:pt idx="401">
                  <c:v>399.5</c:v>
                </c:pt>
                <c:pt idx="402">
                  <c:v>399.0</c:v>
                </c:pt>
                <c:pt idx="403">
                  <c:v>398.5</c:v>
                </c:pt>
                <c:pt idx="404">
                  <c:v>398.0</c:v>
                </c:pt>
                <c:pt idx="405">
                  <c:v>397.5</c:v>
                </c:pt>
                <c:pt idx="406">
                  <c:v>397.0</c:v>
                </c:pt>
                <c:pt idx="407">
                  <c:v>396.5</c:v>
                </c:pt>
                <c:pt idx="408">
                  <c:v>396.0</c:v>
                </c:pt>
                <c:pt idx="409">
                  <c:v>395.5</c:v>
                </c:pt>
                <c:pt idx="410">
                  <c:v>395.0</c:v>
                </c:pt>
                <c:pt idx="411">
                  <c:v>394.5</c:v>
                </c:pt>
                <c:pt idx="412">
                  <c:v>394.0</c:v>
                </c:pt>
                <c:pt idx="413">
                  <c:v>393.5</c:v>
                </c:pt>
                <c:pt idx="414">
                  <c:v>393.0</c:v>
                </c:pt>
                <c:pt idx="415">
                  <c:v>392.5</c:v>
                </c:pt>
                <c:pt idx="416">
                  <c:v>392.0</c:v>
                </c:pt>
                <c:pt idx="417">
                  <c:v>391.5</c:v>
                </c:pt>
                <c:pt idx="418">
                  <c:v>391.0</c:v>
                </c:pt>
                <c:pt idx="419">
                  <c:v>390.5</c:v>
                </c:pt>
                <c:pt idx="420">
                  <c:v>390.0</c:v>
                </c:pt>
                <c:pt idx="421">
                  <c:v>389.5</c:v>
                </c:pt>
                <c:pt idx="422">
                  <c:v>389.0</c:v>
                </c:pt>
                <c:pt idx="423">
                  <c:v>388.5</c:v>
                </c:pt>
                <c:pt idx="424">
                  <c:v>388.0</c:v>
                </c:pt>
                <c:pt idx="425">
                  <c:v>387.5</c:v>
                </c:pt>
                <c:pt idx="426">
                  <c:v>387.0</c:v>
                </c:pt>
                <c:pt idx="427">
                  <c:v>386.5</c:v>
                </c:pt>
                <c:pt idx="428">
                  <c:v>386.0</c:v>
                </c:pt>
                <c:pt idx="429">
                  <c:v>385.5</c:v>
                </c:pt>
                <c:pt idx="430">
                  <c:v>385.0</c:v>
                </c:pt>
                <c:pt idx="431">
                  <c:v>384.5</c:v>
                </c:pt>
                <c:pt idx="432">
                  <c:v>384.0</c:v>
                </c:pt>
                <c:pt idx="433">
                  <c:v>383.5</c:v>
                </c:pt>
                <c:pt idx="434">
                  <c:v>383.0</c:v>
                </c:pt>
                <c:pt idx="435">
                  <c:v>382.5</c:v>
                </c:pt>
                <c:pt idx="436">
                  <c:v>382.0</c:v>
                </c:pt>
                <c:pt idx="437">
                  <c:v>381.5</c:v>
                </c:pt>
                <c:pt idx="438">
                  <c:v>381.0</c:v>
                </c:pt>
                <c:pt idx="439">
                  <c:v>380.5</c:v>
                </c:pt>
                <c:pt idx="440">
                  <c:v>380.0</c:v>
                </c:pt>
                <c:pt idx="441">
                  <c:v>379.5</c:v>
                </c:pt>
                <c:pt idx="442">
                  <c:v>379.0</c:v>
                </c:pt>
                <c:pt idx="443">
                  <c:v>378.5</c:v>
                </c:pt>
                <c:pt idx="444">
                  <c:v>378.0</c:v>
                </c:pt>
                <c:pt idx="445">
                  <c:v>377.5</c:v>
                </c:pt>
                <c:pt idx="446">
                  <c:v>377.0</c:v>
                </c:pt>
                <c:pt idx="447">
                  <c:v>376.5</c:v>
                </c:pt>
                <c:pt idx="448">
                  <c:v>376.0</c:v>
                </c:pt>
                <c:pt idx="449">
                  <c:v>375.5</c:v>
                </c:pt>
                <c:pt idx="450">
                  <c:v>375.0</c:v>
                </c:pt>
                <c:pt idx="451">
                  <c:v>374.5</c:v>
                </c:pt>
                <c:pt idx="452">
                  <c:v>374.0</c:v>
                </c:pt>
                <c:pt idx="453">
                  <c:v>373.5</c:v>
                </c:pt>
                <c:pt idx="454">
                  <c:v>373.0</c:v>
                </c:pt>
                <c:pt idx="455">
                  <c:v>372.5</c:v>
                </c:pt>
                <c:pt idx="456">
                  <c:v>372.0</c:v>
                </c:pt>
                <c:pt idx="457">
                  <c:v>371.5</c:v>
                </c:pt>
                <c:pt idx="458">
                  <c:v>371.0</c:v>
                </c:pt>
                <c:pt idx="459">
                  <c:v>370.5</c:v>
                </c:pt>
                <c:pt idx="460">
                  <c:v>370.0</c:v>
                </c:pt>
                <c:pt idx="461">
                  <c:v>369.5</c:v>
                </c:pt>
                <c:pt idx="462">
                  <c:v>369.0</c:v>
                </c:pt>
                <c:pt idx="463">
                  <c:v>368.5</c:v>
                </c:pt>
                <c:pt idx="464">
                  <c:v>368.0</c:v>
                </c:pt>
                <c:pt idx="465">
                  <c:v>367.5</c:v>
                </c:pt>
                <c:pt idx="466">
                  <c:v>367.0</c:v>
                </c:pt>
                <c:pt idx="467">
                  <c:v>366.5</c:v>
                </c:pt>
                <c:pt idx="468">
                  <c:v>366.0</c:v>
                </c:pt>
                <c:pt idx="469">
                  <c:v>365.5</c:v>
                </c:pt>
                <c:pt idx="470">
                  <c:v>365.0</c:v>
                </c:pt>
                <c:pt idx="471">
                  <c:v>364.5</c:v>
                </c:pt>
                <c:pt idx="472">
                  <c:v>364.0</c:v>
                </c:pt>
                <c:pt idx="473">
                  <c:v>363.5</c:v>
                </c:pt>
                <c:pt idx="474">
                  <c:v>363.0</c:v>
                </c:pt>
                <c:pt idx="475">
                  <c:v>362.5</c:v>
                </c:pt>
                <c:pt idx="476">
                  <c:v>362.0</c:v>
                </c:pt>
                <c:pt idx="477">
                  <c:v>361.5</c:v>
                </c:pt>
                <c:pt idx="478">
                  <c:v>361.0</c:v>
                </c:pt>
                <c:pt idx="479">
                  <c:v>360.5</c:v>
                </c:pt>
                <c:pt idx="480">
                  <c:v>360.0</c:v>
                </c:pt>
                <c:pt idx="481">
                  <c:v>359.5</c:v>
                </c:pt>
                <c:pt idx="482">
                  <c:v>359.0</c:v>
                </c:pt>
                <c:pt idx="483">
                  <c:v>358.5</c:v>
                </c:pt>
                <c:pt idx="484">
                  <c:v>358.0</c:v>
                </c:pt>
                <c:pt idx="485">
                  <c:v>357.5</c:v>
                </c:pt>
                <c:pt idx="486">
                  <c:v>357.0</c:v>
                </c:pt>
                <c:pt idx="487">
                  <c:v>356.5</c:v>
                </c:pt>
                <c:pt idx="488">
                  <c:v>356.0</c:v>
                </c:pt>
                <c:pt idx="489">
                  <c:v>355.5</c:v>
                </c:pt>
                <c:pt idx="490">
                  <c:v>355.0</c:v>
                </c:pt>
                <c:pt idx="491">
                  <c:v>354.5</c:v>
                </c:pt>
                <c:pt idx="492">
                  <c:v>354.0</c:v>
                </c:pt>
                <c:pt idx="493">
                  <c:v>353.5</c:v>
                </c:pt>
                <c:pt idx="494">
                  <c:v>353.0</c:v>
                </c:pt>
                <c:pt idx="495">
                  <c:v>352.5</c:v>
                </c:pt>
                <c:pt idx="496">
                  <c:v>352.0</c:v>
                </c:pt>
                <c:pt idx="497">
                  <c:v>351.5</c:v>
                </c:pt>
                <c:pt idx="498">
                  <c:v>351.0</c:v>
                </c:pt>
                <c:pt idx="499">
                  <c:v>350.5</c:v>
                </c:pt>
                <c:pt idx="500">
                  <c:v>350.0</c:v>
                </c:pt>
                <c:pt idx="501">
                  <c:v>349.5</c:v>
                </c:pt>
                <c:pt idx="502">
                  <c:v>349.0</c:v>
                </c:pt>
                <c:pt idx="503">
                  <c:v>348.5</c:v>
                </c:pt>
                <c:pt idx="504">
                  <c:v>348.0</c:v>
                </c:pt>
                <c:pt idx="505">
                  <c:v>347.5</c:v>
                </c:pt>
                <c:pt idx="506">
                  <c:v>347.0</c:v>
                </c:pt>
                <c:pt idx="507">
                  <c:v>346.5</c:v>
                </c:pt>
                <c:pt idx="508">
                  <c:v>346.0</c:v>
                </c:pt>
                <c:pt idx="509">
                  <c:v>345.5</c:v>
                </c:pt>
                <c:pt idx="510">
                  <c:v>345.0</c:v>
                </c:pt>
                <c:pt idx="511">
                  <c:v>344.5</c:v>
                </c:pt>
                <c:pt idx="512">
                  <c:v>344.0</c:v>
                </c:pt>
                <c:pt idx="513">
                  <c:v>343.5</c:v>
                </c:pt>
                <c:pt idx="514">
                  <c:v>343.0</c:v>
                </c:pt>
                <c:pt idx="515">
                  <c:v>342.5</c:v>
                </c:pt>
                <c:pt idx="516">
                  <c:v>342.0</c:v>
                </c:pt>
                <c:pt idx="517">
                  <c:v>341.5</c:v>
                </c:pt>
                <c:pt idx="518">
                  <c:v>341.0</c:v>
                </c:pt>
                <c:pt idx="519">
                  <c:v>340.5</c:v>
                </c:pt>
                <c:pt idx="520">
                  <c:v>340.0</c:v>
                </c:pt>
                <c:pt idx="521">
                  <c:v>339.5</c:v>
                </c:pt>
                <c:pt idx="522">
                  <c:v>339.0</c:v>
                </c:pt>
                <c:pt idx="523">
                  <c:v>338.5</c:v>
                </c:pt>
                <c:pt idx="524">
                  <c:v>338.0</c:v>
                </c:pt>
                <c:pt idx="525">
                  <c:v>337.5</c:v>
                </c:pt>
                <c:pt idx="526">
                  <c:v>337.0</c:v>
                </c:pt>
                <c:pt idx="527">
                  <c:v>336.5</c:v>
                </c:pt>
                <c:pt idx="528">
                  <c:v>336.0</c:v>
                </c:pt>
                <c:pt idx="529">
                  <c:v>335.5</c:v>
                </c:pt>
                <c:pt idx="530">
                  <c:v>335.0</c:v>
                </c:pt>
                <c:pt idx="531">
                  <c:v>334.5</c:v>
                </c:pt>
                <c:pt idx="532">
                  <c:v>334.0</c:v>
                </c:pt>
                <c:pt idx="533">
                  <c:v>333.5</c:v>
                </c:pt>
                <c:pt idx="534">
                  <c:v>333.0</c:v>
                </c:pt>
                <c:pt idx="535">
                  <c:v>332.5</c:v>
                </c:pt>
                <c:pt idx="536">
                  <c:v>332.0</c:v>
                </c:pt>
                <c:pt idx="537">
                  <c:v>331.5</c:v>
                </c:pt>
                <c:pt idx="538">
                  <c:v>331.0</c:v>
                </c:pt>
                <c:pt idx="539">
                  <c:v>330.5</c:v>
                </c:pt>
                <c:pt idx="540">
                  <c:v>330.0</c:v>
                </c:pt>
                <c:pt idx="541">
                  <c:v>329.5</c:v>
                </c:pt>
                <c:pt idx="542">
                  <c:v>329.0</c:v>
                </c:pt>
                <c:pt idx="543">
                  <c:v>328.5</c:v>
                </c:pt>
                <c:pt idx="544">
                  <c:v>328.0</c:v>
                </c:pt>
                <c:pt idx="545">
                  <c:v>327.5</c:v>
                </c:pt>
                <c:pt idx="546">
                  <c:v>327.0</c:v>
                </c:pt>
                <c:pt idx="547">
                  <c:v>326.5</c:v>
                </c:pt>
                <c:pt idx="548">
                  <c:v>326.0</c:v>
                </c:pt>
                <c:pt idx="549">
                  <c:v>325.5</c:v>
                </c:pt>
                <c:pt idx="550">
                  <c:v>325.0</c:v>
                </c:pt>
                <c:pt idx="551">
                  <c:v>324.5</c:v>
                </c:pt>
                <c:pt idx="552">
                  <c:v>324.0</c:v>
                </c:pt>
                <c:pt idx="553">
                  <c:v>323.5</c:v>
                </c:pt>
                <c:pt idx="554">
                  <c:v>323.0</c:v>
                </c:pt>
                <c:pt idx="555">
                  <c:v>322.5</c:v>
                </c:pt>
                <c:pt idx="556">
                  <c:v>322.0</c:v>
                </c:pt>
                <c:pt idx="557">
                  <c:v>321.5</c:v>
                </c:pt>
                <c:pt idx="558">
                  <c:v>321.0</c:v>
                </c:pt>
                <c:pt idx="559">
                  <c:v>320.5</c:v>
                </c:pt>
                <c:pt idx="560">
                  <c:v>320.0</c:v>
                </c:pt>
                <c:pt idx="561">
                  <c:v>319.5</c:v>
                </c:pt>
                <c:pt idx="562">
                  <c:v>319.0</c:v>
                </c:pt>
                <c:pt idx="563">
                  <c:v>318.5</c:v>
                </c:pt>
                <c:pt idx="564">
                  <c:v>318.0</c:v>
                </c:pt>
                <c:pt idx="565">
                  <c:v>317.5</c:v>
                </c:pt>
                <c:pt idx="566">
                  <c:v>317.0</c:v>
                </c:pt>
                <c:pt idx="567">
                  <c:v>316.5</c:v>
                </c:pt>
                <c:pt idx="568">
                  <c:v>316.0</c:v>
                </c:pt>
                <c:pt idx="569">
                  <c:v>315.5</c:v>
                </c:pt>
                <c:pt idx="570">
                  <c:v>315.0</c:v>
                </c:pt>
                <c:pt idx="571">
                  <c:v>314.5</c:v>
                </c:pt>
                <c:pt idx="572">
                  <c:v>314.0</c:v>
                </c:pt>
                <c:pt idx="573">
                  <c:v>313.5</c:v>
                </c:pt>
                <c:pt idx="574">
                  <c:v>313.0</c:v>
                </c:pt>
                <c:pt idx="575">
                  <c:v>312.5</c:v>
                </c:pt>
                <c:pt idx="576">
                  <c:v>312.0</c:v>
                </c:pt>
                <c:pt idx="577">
                  <c:v>311.5</c:v>
                </c:pt>
                <c:pt idx="578">
                  <c:v>311.0</c:v>
                </c:pt>
                <c:pt idx="579">
                  <c:v>310.5</c:v>
                </c:pt>
                <c:pt idx="580">
                  <c:v>310.0</c:v>
                </c:pt>
                <c:pt idx="581">
                  <c:v>309.5</c:v>
                </c:pt>
                <c:pt idx="582">
                  <c:v>309.0</c:v>
                </c:pt>
                <c:pt idx="583">
                  <c:v>308.5</c:v>
                </c:pt>
                <c:pt idx="584">
                  <c:v>308.0</c:v>
                </c:pt>
                <c:pt idx="585">
                  <c:v>307.5</c:v>
                </c:pt>
                <c:pt idx="586">
                  <c:v>307.0</c:v>
                </c:pt>
                <c:pt idx="587">
                  <c:v>306.5</c:v>
                </c:pt>
                <c:pt idx="588">
                  <c:v>306.0</c:v>
                </c:pt>
                <c:pt idx="589">
                  <c:v>305.5</c:v>
                </c:pt>
                <c:pt idx="590">
                  <c:v>305.0</c:v>
                </c:pt>
                <c:pt idx="591">
                  <c:v>304.5</c:v>
                </c:pt>
                <c:pt idx="592">
                  <c:v>304.0</c:v>
                </c:pt>
                <c:pt idx="593">
                  <c:v>303.5</c:v>
                </c:pt>
                <c:pt idx="594">
                  <c:v>303.0</c:v>
                </c:pt>
                <c:pt idx="595">
                  <c:v>302.5</c:v>
                </c:pt>
                <c:pt idx="596">
                  <c:v>302.0</c:v>
                </c:pt>
                <c:pt idx="597">
                  <c:v>301.5</c:v>
                </c:pt>
                <c:pt idx="598">
                  <c:v>301.0</c:v>
                </c:pt>
                <c:pt idx="599">
                  <c:v>300.5</c:v>
                </c:pt>
                <c:pt idx="600">
                  <c:v>300.0</c:v>
                </c:pt>
                <c:pt idx="601">
                  <c:v>299.5</c:v>
                </c:pt>
                <c:pt idx="602">
                  <c:v>299.0</c:v>
                </c:pt>
                <c:pt idx="603">
                  <c:v>298.5</c:v>
                </c:pt>
                <c:pt idx="604">
                  <c:v>298.0</c:v>
                </c:pt>
                <c:pt idx="605">
                  <c:v>297.5</c:v>
                </c:pt>
                <c:pt idx="606">
                  <c:v>297.0</c:v>
                </c:pt>
                <c:pt idx="607">
                  <c:v>296.5</c:v>
                </c:pt>
                <c:pt idx="608">
                  <c:v>296.0</c:v>
                </c:pt>
                <c:pt idx="609">
                  <c:v>295.5</c:v>
                </c:pt>
                <c:pt idx="610">
                  <c:v>295.0</c:v>
                </c:pt>
                <c:pt idx="611">
                  <c:v>294.5</c:v>
                </c:pt>
                <c:pt idx="612">
                  <c:v>294.0</c:v>
                </c:pt>
                <c:pt idx="613">
                  <c:v>293.5</c:v>
                </c:pt>
                <c:pt idx="614">
                  <c:v>293.0</c:v>
                </c:pt>
                <c:pt idx="615">
                  <c:v>292.5</c:v>
                </c:pt>
                <c:pt idx="616">
                  <c:v>292.0</c:v>
                </c:pt>
                <c:pt idx="617">
                  <c:v>291.5</c:v>
                </c:pt>
                <c:pt idx="618">
                  <c:v>291.0</c:v>
                </c:pt>
                <c:pt idx="619">
                  <c:v>290.5</c:v>
                </c:pt>
                <c:pt idx="620">
                  <c:v>290.0</c:v>
                </c:pt>
                <c:pt idx="621">
                  <c:v>289.5</c:v>
                </c:pt>
                <c:pt idx="622">
                  <c:v>289.0</c:v>
                </c:pt>
                <c:pt idx="623">
                  <c:v>288.5</c:v>
                </c:pt>
                <c:pt idx="624">
                  <c:v>288.0</c:v>
                </c:pt>
                <c:pt idx="625">
                  <c:v>287.5</c:v>
                </c:pt>
                <c:pt idx="626">
                  <c:v>287.0</c:v>
                </c:pt>
                <c:pt idx="627">
                  <c:v>286.5</c:v>
                </c:pt>
                <c:pt idx="628">
                  <c:v>286.0</c:v>
                </c:pt>
                <c:pt idx="629">
                  <c:v>285.5</c:v>
                </c:pt>
                <c:pt idx="630">
                  <c:v>285.0</c:v>
                </c:pt>
                <c:pt idx="631">
                  <c:v>284.5</c:v>
                </c:pt>
                <c:pt idx="632">
                  <c:v>284.0</c:v>
                </c:pt>
                <c:pt idx="633">
                  <c:v>283.5</c:v>
                </c:pt>
                <c:pt idx="634">
                  <c:v>283.0</c:v>
                </c:pt>
                <c:pt idx="635">
                  <c:v>282.5</c:v>
                </c:pt>
                <c:pt idx="636">
                  <c:v>282.0</c:v>
                </c:pt>
                <c:pt idx="637">
                  <c:v>281.5</c:v>
                </c:pt>
                <c:pt idx="638">
                  <c:v>281.0</c:v>
                </c:pt>
                <c:pt idx="639">
                  <c:v>280.5</c:v>
                </c:pt>
                <c:pt idx="640">
                  <c:v>280.0</c:v>
                </c:pt>
                <c:pt idx="641">
                  <c:v>279.5</c:v>
                </c:pt>
                <c:pt idx="642">
                  <c:v>279.0</c:v>
                </c:pt>
                <c:pt idx="643">
                  <c:v>278.5</c:v>
                </c:pt>
                <c:pt idx="644">
                  <c:v>278.0</c:v>
                </c:pt>
                <c:pt idx="645">
                  <c:v>277.5</c:v>
                </c:pt>
                <c:pt idx="646">
                  <c:v>277.0</c:v>
                </c:pt>
                <c:pt idx="647">
                  <c:v>276.5</c:v>
                </c:pt>
                <c:pt idx="648">
                  <c:v>276.0</c:v>
                </c:pt>
                <c:pt idx="649">
                  <c:v>275.5</c:v>
                </c:pt>
                <c:pt idx="650">
                  <c:v>275.0</c:v>
                </c:pt>
                <c:pt idx="651">
                  <c:v>274.5</c:v>
                </c:pt>
                <c:pt idx="652">
                  <c:v>274.0</c:v>
                </c:pt>
                <c:pt idx="653">
                  <c:v>273.5</c:v>
                </c:pt>
                <c:pt idx="654">
                  <c:v>273.0</c:v>
                </c:pt>
                <c:pt idx="655">
                  <c:v>272.5</c:v>
                </c:pt>
                <c:pt idx="656">
                  <c:v>272.0</c:v>
                </c:pt>
                <c:pt idx="657">
                  <c:v>271.5</c:v>
                </c:pt>
                <c:pt idx="658">
                  <c:v>271.0</c:v>
                </c:pt>
                <c:pt idx="659">
                  <c:v>270.5</c:v>
                </c:pt>
                <c:pt idx="660">
                  <c:v>270.0</c:v>
                </c:pt>
                <c:pt idx="661">
                  <c:v>269.5</c:v>
                </c:pt>
                <c:pt idx="662">
                  <c:v>269.0</c:v>
                </c:pt>
                <c:pt idx="663">
                  <c:v>268.5</c:v>
                </c:pt>
                <c:pt idx="664">
                  <c:v>268.0</c:v>
                </c:pt>
                <c:pt idx="665">
                  <c:v>267.5</c:v>
                </c:pt>
                <c:pt idx="666">
                  <c:v>267.0</c:v>
                </c:pt>
                <c:pt idx="667">
                  <c:v>266.5</c:v>
                </c:pt>
                <c:pt idx="668">
                  <c:v>266.0</c:v>
                </c:pt>
                <c:pt idx="669">
                  <c:v>265.5</c:v>
                </c:pt>
                <c:pt idx="670">
                  <c:v>265.0</c:v>
                </c:pt>
                <c:pt idx="671">
                  <c:v>264.5</c:v>
                </c:pt>
                <c:pt idx="672">
                  <c:v>264.0</c:v>
                </c:pt>
                <c:pt idx="673">
                  <c:v>263.5</c:v>
                </c:pt>
                <c:pt idx="674">
                  <c:v>263.0</c:v>
                </c:pt>
                <c:pt idx="675">
                  <c:v>262.5</c:v>
                </c:pt>
                <c:pt idx="676">
                  <c:v>262.0</c:v>
                </c:pt>
                <c:pt idx="677">
                  <c:v>261.5</c:v>
                </c:pt>
                <c:pt idx="678">
                  <c:v>261.0</c:v>
                </c:pt>
                <c:pt idx="679">
                  <c:v>260.5</c:v>
                </c:pt>
                <c:pt idx="680">
                  <c:v>260.0</c:v>
                </c:pt>
                <c:pt idx="681">
                  <c:v>259.5</c:v>
                </c:pt>
                <c:pt idx="682">
                  <c:v>259.0</c:v>
                </c:pt>
                <c:pt idx="683">
                  <c:v>258.5</c:v>
                </c:pt>
                <c:pt idx="684">
                  <c:v>258.0</c:v>
                </c:pt>
                <c:pt idx="685">
                  <c:v>257.5</c:v>
                </c:pt>
                <c:pt idx="686">
                  <c:v>257.0</c:v>
                </c:pt>
                <c:pt idx="687">
                  <c:v>256.5</c:v>
                </c:pt>
                <c:pt idx="688">
                  <c:v>256.0</c:v>
                </c:pt>
                <c:pt idx="689">
                  <c:v>255.5</c:v>
                </c:pt>
                <c:pt idx="690">
                  <c:v>255.0</c:v>
                </c:pt>
                <c:pt idx="691">
                  <c:v>254.5</c:v>
                </c:pt>
                <c:pt idx="692">
                  <c:v>254.0</c:v>
                </c:pt>
                <c:pt idx="693">
                  <c:v>253.5</c:v>
                </c:pt>
                <c:pt idx="694">
                  <c:v>253.0</c:v>
                </c:pt>
                <c:pt idx="695">
                  <c:v>252.5</c:v>
                </c:pt>
                <c:pt idx="696">
                  <c:v>252.0</c:v>
                </c:pt>
                <c:pt idx="697">
                  <c:v>251.5</c:v>
                </c:pt>
                <c:pt idx="698">
                  <c:v>251.0</c:v>
                </c:pt>
                <c:pt idx="699">
                  <c:v>250.5</c:v>
                </c:pt>
                <c:pt idx="700">
                  <c:v>250.0</c:v>
                </c:pt>
                <c:pt idx="701">
                  <c:v>249.5</c:v>
                </c:pt>
                <c:pt idx="702">
                  <c:v>249.0</c:v>
                </c:pt>
                <c:pt idx="703">
                  <c:v>248.5</c:v>
                </c:pt>
                <c:pt idx="704">
                  <c:v>248.0</c:v>
                </c:pt>
                <c:pt idx="705">
                  <c:v>247.5</c:v>
                </c:pt>
                <c:pt idx="706">
                  <c:v>247.0</c:v>
                </c:pt>
                <c:pt idx="707">
                  <c:v>246.5</c:v>
                </c:pt>
                <c:pt idx="708">
                  <c:v>246.0</c:v>
                </c:pt>
                <c:pt idx="709">
                  <c:v>245.5</c:v>
                </c:pt>
                <c:pt idx="710">
                  <c:v>245.0</c:v>
                </c:pt>
                <c:pt idx="711">
                  <c:v>244.5</c:v>
                </c:pt>
                <c:pt idx="712">
                  <c:v>244.0</c:v>
                </c:pt>
                <c:pt idx="713">
                  <c:v>243.5</c:v>
                </c:pt>
                <c:pt idx="714">
                  <c:v>243.0</c:v>
                </c:pt>
                <c:pt idx="715">
                  <c:v>242.5</c:v>
                </c:pt>
                <c:pt idx="716">
                  <c:v>242.0</c:v>
                </c:pt>
                <c:pt idx="717">
                  <c:v>241.5</c:v>
                </c:pt>
                <c:pt idx="718">
                  <c:v>241.0</c:v>
                </c:pt>
                <c:pt idx="719">
                  <c:v>240.5</c:v>
                </c:pt>
                <c:pt idx="720">
                  <c:v>240.0</c:v>
                </c:pt>
                <c:pt idx="721">
                  <c:v>239.5</c:v>
                </c:pt>
                <c:pt idx="722">
                  <c:v>239.0</c:v>
                </c:pt>
                <c:pt idx="723">
                  <c:v>238.5</c:v>
                </c:pt>
                <c:pt idx="724">
                  <c:v>238.0</c:v>
                </c:pt>
                <c:pt idx="725">
                  <c:v>237.5</c:v>
                </c:pt>
                <c:pt idx="726">
                  <c:v>237.0</c:v>
                </c:pt>
                <c:pt idx="727">
                  <c:v>236.5</c:v>
                </c:pt>
                <c:pt idx="728">
                  <c:v>236.0</c:v>
                </c:pt>
                <c:pt idx="729">
                  <c:v>235.5</c:v>
                </c:pt>
                <c:pt idx="730">
                  <c:v>235.0</c:v>
                </c:pt>
                <c:pt idx="731">
                  <c:v>234.5</c:v>
                </c:pt>
                <c:pt idx="732">
                  <c:v>234.0</c:v>
                </c:pt>
                <c:pt idx="733">
                  <c:v>233.5</c:v>
                </c:pt>
                <c:pt idx="734">
                  <c:v>233.0</c:v>
                </c:pt>
                <c:pt idx="735">
                  <c:v>232.5</c:v>
                </c:pt>
                <c:pt idx="736">
                  <c:v>232.0</c:v>
                </c:pt>
                <c:pt idx="737">
                  <c:v>231.5</c:v>
                </c:pt>
                <c:pt idx="738">
                  <c:v>231.0</c:v>
                </c:pt>
                <c:pt idx="739">
                  <c:v>230.5</c:v>
                </c:pt>
                <c:pt idx="740">
                  <c:v>230.0</c:v>
                </c:pt>
                <c:pt idx="741">
                  <c:v>229.5</c:v>
                </c:pt>
                <c:pt idx="742">
                  <c:v>229.0</c:v>
                </c:pt>
                <c:pt idx="743">
                  <c:v>228.5</c:v>
                </c:pt>
                <c:pt idx="744">
                  <c:v>228.0</c:v>
                </c:pt>
                <c:pt idx="745">
                  <c:v>227.5</c:v>
                </c:pt>
                <c:pt idx="746">
                  <c:v>227.0</c:v>
                </c:pt>
                <c:pt idx="747">
                  <c:v>226.5</c:v>
                </c:pt>
                <c:pt idx="748">
                  <c:v>226.0</c:v>
                </c:pt>
                <c:pt idx="749">
                  <c:v>225.5</c:v>
                </c:pt>
                <c:pt idx="750">
                  <c:v>225.0</c:v>
                </c:pt>
                <c:pt idx="751">
                  <c:v>224.5</c:v>
                </c:pt>
                <c:pt idx="752">
                  <c:v>224.0</c:v>
                </c:pt>
                <c:pt idx="753">
                  <c:v>223.5</c:v>
                </c:pt>
                <c:pt idx="754">
                  <c:v>223.0</c:v>
                </c:pt>
                <c:pt idx="755">
                  <c:v>222.5</c:v>
                </c:pt>
                <c:pt idx="756">
                  <c:v>222.0</c:v>
                </c:pt>
                <c:pt idx="757">
                  <c:v>221.5</c:v>
                </c:pt>
                <c:pt idx="758">
                  <c:v>221.0</c:v>
                </c:pt>
                <c:pt idx="759">
                  <c:v>220.5</c:v>
                </c:pt>
                <c:pt idx="760">
                  <c:v>220.0</c:v>
                </c:pt>
                <c:pt idx="761">
                  <c:v>219.5</c:v>
                </c:pt>
                <c:pt idx="762">
                  <c:v>219.0</c:v>
                </c:pt>
                <c:pt idx="763">
                  <c:v>218.5</c:v>
                </c:pt>
                <c:pt idx="764">
                  <c:v>218.0</c:v>
                </c:pt>
                <c:pt idx="765">
                  <c:v>217.5</c:v>
                </c:pt>
                <c:pt idx="766">
                  <c:v>217.0</c:v>
                </c:pt>
                <c:pt idx="767">
                  <c:v>216.5</c:v>
                </c:pt>
                <c:pt idx="768">
                  <c:v>216.0</c:v>
                </c:pt>
                <c:pt idx="769">
                  <c:v>215.5</c:v>
                </c:pt>
                <c:pt idx="770">
                  <c:v>215.0</c:v>
                </c:pt>
                <c:pt idx="771">
                  <c:v>214.5</c:v>
                </c:pt>
                <c:pt idx="772">
                  <c:v>214.0</c:v>
                </c:pt>
                <c:pt idx="773">
                  <c:v>213.5</c:v>
                </c:pt>
                <c:pt idx="774">
                  <c:v>213.0</c:v>
                </c:pt>
                <c:pt idx="775">
                  <c:v>212.5</c:v>
                </c:pt>
                <c:pt idx="776">
                  <c:v>212.0</c:v>
                </c:pt>
                <c:pt idx="777">
                  <c:v>211.5</c:v>
                </c:pt>
                <c:pt idx="778">
                  <c:v>211.0</c:v>
                </c:pt>
                <c:pt idx="779">
                  <c:v>210.5</c:v>
                </c:pt>
                <c:pt idx="780">
                  <c:v>210.0</c:v>
                </c:pt>
                <c:pt idx="781">
                  <c:v>209.5</c:v>
                </c:pt>
                <c:pt idx="782">
                  <c:v>209.0</c:v>
                </c:pt>
                <c:pt idx="783">
                  <c:v>208.5</c:v>
                </c:pt>
                <c:pt idx="784">
                  <c:v>208.0</c:v>
                </c:pt>
                <c:pt idx="785">
                  <c:v>207.5</c:v>
                </c:pt>
                <c:pt idx="786">
                  <c:v>207.0</c:v>
                </c:pt>
                <c:pt idx="787">
                  <c:v>206.5</c:v>
                </c:pt>
                <c:pt idx="788">
                  <c:v>206.0</c:v>
                </c:pt>
                <c:pt idx="789">
                  <c:v>205.5</c:v>
                </c:pt>
                <c:pt idx="790">
                  <c:v>205.0</c:v>
                </c:pt>
                <c:pt idx="791">
                  <c:v>204.5</c:v>
                </c:pt>
                <c:pt idx="792">
                  <c:v>204.0</c:v>
                </c:pt>
                <c:pt idx="793">
                  <c:v>203.5</c:v>
                </c:pt>
                <c:pt idx="794">
                  <c:v>203.0</c:v>
                </c:pt>
                <c:pt idx="795">
                  <c:v>202.5</c:v>
                </c:pt>
                <c:pt idx="796">
                  <c:v>202.0</c:v>
                </c:pt>
                <c:pt idx="797">
                  <c:v>201.5</c:v>
                </c:pt>
                <c:pt idx="798">
                  <c:v>201.0</c:v>
                </c:pt>
                <c:pt idx="799">
                  <c:v>200.5</c:v>
                </c:pt>
                <c:pt idx="800">
                  <c:v>200.0</c:v>
                </c:pt>
              </c:numCache>
            </c:numRef>
          </c:xVal>
          <c:yVal>
            <c:numRef>
              <c:f>'Macintosh HD:Users:Brian:Desktop:GoMRI:Sand Patty Scans:[Composite.xlsx]12hdark1.asc'!$E$2:$E$802</c:f>
              <c:numCache>
                <c:formatCode>General</c:formatCode>
                <c:ptCount val="801"/>
                <c:pt idx="0">
                  <c:v>0.0102</c:v>
                </c:pt>
                <c:pt idx="1">
                  <c:v>0.0103</c:v>
                </c:pt>
                <c:pt idx="2">
                  <c:v>0.0105</c:v>
                </c:pt>
                <c:pt idx="3">
                  <c:v>0.0101</c:v>
                </c:pt>
                <c:pt idx="4">
                  <c:v>0.0104</c:v>
                </c:pt>
                <c:pt idx="5">
                  <c:v>0.0107</c:v>
                </c:pt>
                <c:pt idx="6">
                  <c:v>0.0105</c:v>
                </c:pt>
                <c:pt idx="7">
                  <c:v>0.0107</c:v>
                </c:pt>
                <c:pt idx="8">
                  <c:v>0.0104</c:v>
                </c:pt>
                <c:pt idx="9">
                  <c:v>0.01</c:v>
                </c:pt>
                <c:pt idx="10">
                  <c:v>0.0108</c:v>
                </c:pt>
                <c:pt idx="11">
                  <c:v>0.011</c:v>
                </c:pt>
                <c:pt idx="12">
                  <c:v>0.0106</c:v>
                </c:pt>
                <c:pt idx="13">
                  <c:v>0.0109</c:v>
                </c:pt>
                <c:pt idx="14">
                  <c:v>0.0111</c:v>
                </c:pt>
                <c:pt idx="15">
                  <c:v>0.0108</c:v>
                </c:pt>
                <c:pt idx="16">
                  <c:v>0.0106</c:v>
                </c:pt>
                <c:pt idx="17">
                  <c:v>0.0106</c:v>
                </c:pt>
                <c:pt idx="18">
                  <c:v>0.0105</c:v>
                </c:pt>
                <c:pt idx="19">
                  <c:v>0.0103</c:v>
                </c:pt>
                <c:pt idx="20">
                  <c:v>0.0102</c:v>
                </c:pt>
                <c:pt idx="21">
                  <c:v>0.0101</c:v>
                </c:pt>
                <c:pt idx="22">
                  <c:v>0.0105</c:v>
                </c:pt>
                <c:pt idx="23">
                  <c:v>0.0107</c:v>
                </c:pt>
                <c:pt idx="24">
                  <c:v>0.0104</c:v>
                </c:pt>
                <c:pt idx="25">
                  <c:v>0.0099</c:v>
                </c:pt>
                <c:pt idx="26">
                  <c:v>0.0102</c:v>
                </c:pt>
                <c:pt idx="27">
                  <c:v>0.0105</c:v>
                </c:pt>
                <c:pt idx="28">
                  <c:v>0.0102</c:v>
                </c:pt>
                <c:pt idx="29">
                  <c:v>0.0101</c:v>
                </c:pt>
                <c:pt idx="30">
                  <c:v>0.0102</c:v>
                </c:pt>
                <c:pt idx="31">
                  <c:v>0.0104</c:v>
                </c:pt>
                <c:pt idx="32">
                  <c:v>0.0104</c:v>
                </c:pt>
                <c:pt idx="33">
                  <c:v>0.0104</c:v>
                </c:pt>
                <c:pt idx="34">
                  <c:v>0.0101</c:v>
                </c:pt>
                <c:pt idx="35">
                  <c:v>0.0102</c:v>
                </c:pt>
                <c:pt idx="36">
                  <c:v>0.0103</c:v>
                </c:pt>
                <c:pt idx="37">
                  <c:v>0.01</c:v>
                </c:pt>
                <c:pt idx="38">
                  <c:v>0.0101</c:v>
                </c:pt>
                <c:pt idx="39">
                  <c:v>0.0104</c:v>
                </c:pt>
                <c:pt idx="40">
                  <c:v>0.0107</c:v>
                </c:pt>
                <c:pt idx="41">
                  <c:v>0.0104</c:v>
                </c:pt>
                <c:pt idx="42">
                  <c:v>0.01</c:v>
                </c:pt>
                <c:pt idx="43">
                  <c:v>0.0106</c:v>
                </c:pt>
                <c:pt idx="44">
                  <c:v>0.0108</c:v>
                </c:pt>
                <c:pt idx="45">
                  <c:v>0.0106</c:v>
                </c:pt>
                <c:pt idx="46">
                  <c:v>0.0108</c:v>
                </c:pt>
                <c:pt idx="47">
                  <c:v>0.0108</c:v>
                </c:pt>
                <c:pt idx="48">
                  <c:v>0.011</c:v>
                </c:pt>
                <c:pt idx="49">
                  <c:v>0.011</c:v>
                </c:pt>
                <c:pt idx="50">
                  <c:v>0.0103</c:v>
                </c:pt>
                <c:pt idx="51">
                  <c:v>0.0098</c:v>
                </c:pt>
                <c:pt idx="52">
                  <c:v>0.0103</c:v>
                </c:pt>
                <c:pt idx="53">
                  <c:v>0.0109</c:v>
                </c:pt>
                <c:pt idx="54">
                  <c:v>0.0106</c:v>
                </c:pt>
                <c:pt idx="55">
                  <c:v>0.0105</c:v>
                </c:pt>
                <c:pt idx="56">
                  <c:v>0.0106</c:v>
                </c:pt>
                <c:pt idx="57">
                  <c:v>0.0107</c:v>
                </c:pt>
                <c:pt idx="58">
                  <c:v>0.0109</c:v>
                </c:pt>
                <c:pt idx="59">
                  <c:v>0.0107</c:v>
                </c:pt>
                <c:pt idx="60">
                  <c:v>0.0102</c:v>
                </c:pt>
                <c:pt idx="61">
                  <c:v>0.0104</c:v>
                </c:pt>
                <c:pt idx="62">
                  <c:v>0.0108</c:v>
                </c:pt>
                <c:pt idx="63">
                  <c:v>0.0108</c:v>
                </c:pt>
                <c:pt idx="64">
                  <c:v>0.0101</c:v>
                </c:pt>
                <c:pt idx="65">
                  <c:v>0.0098</c:v>
                </c:pt>
                <c:pt idx="66">
                  <c:v>0.0104</c:v>
                </c:pt>
                <c:pt idx="67">
                  <c:v>0.0105</c:v>
                </c:pt>
                <c:pt idx="68">
                  <c:v>0.0103</c:v>
                </c:pt>
                <c:pt idx="69">
                  <c:v>0.0105</c:v>
                </c:pt>
                <c:pt idx="70">
                  <c:v>0.0109</c:v>
                </c:pt>
                <c:pt idx="71">
                  <c:v>0.0106</c:v>
                </c:pt>
                <c:pt idx="72">
                  <c:v>0.0099</c:v>
                </c:pt>
                <c:pt idx="73">
                  <c:v>0.0102</c:v>
                </c:pt>
                <c:pt idx="74">
                  <c:v>0.0108</c:v>
                </c:pt>
                <c:pt idx="75">
                  <c:v>0.0105</c:v>
                </c:pt>
                <c:pt idx="76">
                  <c:v>0.0104</c:v>
                </c:pt>
                <c:pt idx="77">
                  <c:v>0.0106</c:v>
                </c:pt>
                <c:pt idx="78">
                  <c:v>0.0111</c:v>
                </c:pt>
                <c:pt idx="79">
                  <c:v>0.011</c:v>
                </c:pt>
                <c:pt idx="80">
                  <c:v>0.0105</c:v>
                </c:pt>
                <c:pt idx="81">
                  <c:v>0.0104</c:v>
                </c:pt>
                <c:pt idx="82">
                  <c:v>0.0108</c:v>
                </c:pt>
                <c:pt idx="83">
                  <c:v>0.011</c:v>
                </c:pt>
                <c:pt idx="84">
                  <c:v>0.0108</c:v>
                </c:pt>
                <c:pt idx="85">
                  <c:v>0.0108</c:v>
                </c:pt>
                <c:pt idx="86">
                  <c:v>0.0111</c:v>
                </c:pt>
                <c:pt idx="87">
                  <c:v>0.0112</c:v>
                </c:pt>
                <c:pt idx="88">
                  <c:v>0.0109</c:v>
                </c:pt>
                <c:pt idx="89">
                  <c:v>0.0109</c:v>
                </c:pt>
                <c:pt idx="90">
                  <c:v>0.0107</c:v>
                </c:pt>
                <c:pt idx="91">
                  <c:v>0.0109</c:v>
                </c:pt>
                <c:pt idx="92">
                  <c:v>0.0113</c:v>
                </c:pt>
                <c:pt idx="93">
                  <c:v>0.0112</c:v>
                </c:pt>
                <c:pt idx="94">
                  <c:v>0.011</c:v>
                </c:pt>
                <c:pt idx="95">
                  <c:v>0.011</c:v>
                </c:pt>
                <c:pt idx="96">
                  <c:v>0.0115</c:v>
                </c:pt>
                <c:pt idx="97">
                  <c:v>0.011</c:v>
                </c:pt>
                <c:pt idx="98">
                  <c:v>0.0107</c:v>
                </c:pt>
                <c:pt idx="99">
                  <c:v>0.0113</c:v>
                </c:pt>
                <c:pt idx="100">
                  <c:v>0.0111</c:v>
                </c:pt>
                <c:pt idx="101">
                  <c:v>0.0107</c:v>
                </c:pt>
                <c:pt idx="102">
                  <c:v>0.0106</c:v>
                </c:pt>
                <c:pt idx="103">
                  <c:v>0.0107</c:v>
                </c:pt>
                <c:pt idx="104">
                  <c:v>0.011</c:v>
                </c:pt>
                <c:pt idx="105">
                  <c:v>0.0112</c:v>
                </c:pt>
                <c:pt idx="106">
                  <c:v>0.0109</c:v>
                </c:pt>
                <c:pt idx="107">
                  <c:v>0.0109</c:v>
                </c:pt>
                <c:pt idx="108">
                  <c:v>0.0114</c:v>
                </c:pt>
                <c:pt idx="109">
                  <c:v>0.0116</c:v>
                </c:pt>
                <c:pt idx="110">
                  <c:v>0.0113</c:v>
                </c:pt>
                <c:pt idx="111">
                  <c:v>0.0108</c:v>
                </c:pt>
                <c:pt idx="112">
                  <c:v>0.0112</c:v>
                </c:pt>
                <c:pt idx="113">
                  <c:v>0.0117</c:v>
                </c:pt>
                <c:pt idx="114">
                  <c:v>0.0115</c:v>
                </c:pt>
                <c:pt idx="115">
                  <c:v>0.0112</c:v>
                </c:pt>
                <c:pt idx="116">
                  <c:v>0.0111</c:v>
                </c:pt>
                <c:pt idx="117">
                  <c:v>0.0112</c:v>
                </c:pt>
                <c:pt idx="118">
                  <c:v>0.0114</c:v>
                </c:pt>
                <c:pt idx="119">
                  <c:v>0.011</c:v>
                </c:pt>
                <c:pt idx="120">
                  <c:v>0.0105</c:v>
                </c:pt>
                <c:pt idx="121">
                  <c:v>0.0113</c:v>
                </c:pt>
                <c:pt idx="122">
                  <c:v>0.0118</c:v>
                </c:pt>
                <c:pt idx="123">
                  <c:v>0.0108</c:v>
                </c:pt>
                <c:pt idx="124">
                  <c:v>0.0104</c:v>
                </c:pt>
                <c:pt idx="125">
                  <c:v>0.0116</c:v>
                </c:pt>
                <c:pt idx="126">
                  <c:v>0.0121</c:v>
                </c:pt>
                <c:pt idx="127">
                  <c:v>0.0115</c:v>
                </c:pt>
                <c:pt idx="128">
                  <c:v>0.011</c:v>
                </c:pt>
                <c:pt idx="129">
                  <c:v>0.011</c:v>
                </c:pt>
                <c:pt idx="130">
                  <c:v>0.0113</c:v>
                </c:pt>
                <c:pt idx="131">
                  <c:v>0.0113</c:v>
                </c:pt>
                <c:pt idx="132">
                  <c:v>0.0106</c:v>
                </c:pt>
                <c:pt idx="133">
                  <c:v>0.0109</c:v>
                </c:pt>
                <c:pt idx="134">
                  <c:v>0.0121</c:v>
                </c:pt>
                <c:pt idx="135">
                  <c:v>0.012</c:v>
                </c:pt>
                <c:pt idx="136">
                  <c:v>0.0109</c:v>
                </c:pt>
                <c:pt idx="137">
                  <c:v>0.0105</c:v>
                </c:pt>
                <c:pt idx="138">
                  <c:v>0.0106</c:v>
                </c:pt>
                <c:pt idx="139">
                  <c:v>0.0111</c:v>
                </c:pt>
                <c:pt idx="140">
                  <c:v>0.0119</c:v>
                </c:pt>
                <c:pt idx="141">
                  <c:v>0.0116</c:v>
                </c:pt>
                <c:pt idx="142">
                  <c:v>0.011</c:v>
                </c:pt>
                <c:pt idx="143">
                  <c:v>0.011</c:v>
                </c:pt>
                <c:pt idx="144">
                  <c:v>0.0115</c:v>
                </c:pt>
                <c:pt idx="145">
                  <c:v>0.0119</c:v>
                </c:pt>
                <c:pt idx="146">
                  <c:v>0.0116</c:v>
                </c:pt>
                <c:pt idx="147">
                  <c:v>0.0112</c:v>
                </c:pt>
                <c:pt idx="148">
                  <c:v>0.0117</c:v>
                </c:pt>
                <c:pt idx="149">
                  <c:v>0.0118</c:v>
                </c:pt>
                <c:pt idx="150">
                  <c:v>0.0112</c:v>
                </c:pt>
                <c:pt idx="151">
                  <c:v>0.0112</c:v>
                </c:pt>
                <c:pt idx="152">
                  <c:v>0.0117</c:v>
                </c:pt>
                <c:pt idx="153">
                  <c:v>0.0119</c:v>
                </c:pt>
                <c:pt idx="154">
                  <c:v>0.0115</c:v>
                </c:pt>
                <c:pt idx="155">
                  <c:v>0.0109</c:v>
                </c:pt>
                <c:pt idx="156">
                  <c:v>0.0113</c:v>
                </c:pt>
                <c:pt idx="157">
                  <c:v>0.0118</c:v>
                </c:pt>
                <c:pt idx="158">
                  <c:v>0.0115</c:v>
                </c:pt>
                <c:pt idx="159">
                  <c:v>0.0113</c:v>
                </c:pt>
                <c:pt idx="160">
                  <c:v>0.0116</c:v>
                </c:pt>
                <c:pt idx="161">
                  <c:v>0.0114</c:v>
                </c:pt>
                <c:pt idx="162">
                  <c:v>0.0112</c:v>
                </c:pt>
                <c:pt idx="163">
                  <c:v>0.0113</c:v>
                </c:pt>
                <c:pt idx="164">
                  <c:v>0.0115</c:v>
                </c:pt>
                <c:pt idx="165">
                  <c:v>0.0118</c:v>
                </c:pt>
                <c:pt idx="166">
                  <c:v>0.0118</c:v>
                </c:pt>
                <c:pt idx="167">
                  <c:v>0.0116</c:v>
                </c:pt>
                <c:pt idx="168">
                  <c:v>0.0114</c:v>
                </c:pt>
                <c:pt idx="169">
                  <c:v>0.0118</c:v>
                </c:pt>
                <c:pt idx="170">
                  <c:v>0.012</c:v>
                </c:pt>
                <c:pt idx="171">
                  <c:v>0.0115</c:v>
                </c:pt>
                <c:pt idx="172">
                  <c:v>0.0115</c:v>
                </c:pt>
                <c:pt idx="173">
                  <c:v>0.0121</c:v>
                </c:pt>
                <c:pt idx="174">
                  <c:v>0.012</c:v>
                </c:pt>
                <c:pt idx="175">
                  <c:v>0.012</c:v>
                </c:pt>
                <c:pt idx="176">
                  <c:v>0.012</c:v>
                </c:pt>
                <c:pt idx="177">
                  <c:v>0.0115</c:v>
                </c:pt>
                <c:pt idx="178">
                  <c:v>0.012</c:v>
                </c:pt>
                <c:pt idx="179">
                  <c:v>0.0127</c:v>
                </c:pt>
                <c:pt idx="180">
                  <c:v>0.0119</c:v>
                </c:pt>
                <c:pt idx="181">
                  <c:v>0.0116</c:v>
                </c:pt>
                <c:pt idx="182">
                  <c:v>0.0122</c:v>
                </c:pt>
                <c:pt idx="183">
                  <c:v>0.0121</c:v>
                </c:pt>
                <c:pt idx="184">
                  <c:v>0.0116</c:v>
                </c:pt>
                <c:pt idx="185">
                  <c:v>0.0118</c:v>
                </c:pt>
                <c:pt idx="186">
                  <c:v>0.0123</c:v>
                </c:pt>
                <c:pt idx="187">
                  <c:v>0.0122</c:v>
                </c:pt>
                <c:pt idx="188">
                  <c:v>0.0119</c:v>
                </c:pt>
                <c:pt idx="189">
                  <c:v>0.012</c:v>
                </c:pt>
                <c:pt idx="190">
                  <c:v>0.0123</c:v>
                </c:pt>
                <c:pt idx="191">
                  <c:v>0.0122</c:v>
                </c:pt>
                <c:pt idx="192">
                  <c:v>0.0115</c:v>
                </c:pt>
                <c:pt idx="193">
                  <c:v>0.0117</c:v>
                </c:pt>
                <c:pt idx="194">
                  <c:v>0.0122</c:v>
                </c:pt>
                <c:pt idx="195">
                  <c:v>0.0122</c:v>
                </c:pt>
                <c:pt idx="196">
                  <c:v>0.012</c:v>
                </c:pt>
                <c:pt idx="197">
                  <c:v>0.0119</c:v>
                </c:pt>
                <c:pt idx="198">
                  <c:v>0.0121</c:v>
                </c:pt>
                <c:pt idx="199">
                  <c:v>0.0119</c:v>
                </c:pt>
                <c:pt idx="200">
                  <c:v>0.0117</c:v>
                </c:pt>
                <c:pt idx="201">
                  <c:v>0.0119</c:v>
                </c:pt>
                <c:pt idx="202">
                  <c:v>0.0123</c:v>
                </c:pt>
                <c:pt idx="203">
                  <c:v>0.0124</c:v>
                </c:pt>
                <c:pt idx="204">
                  <c:v>0.0121</c:v>
                </c:pt>
                <c:pt idx="205">
                  <c:v>0.0117</c:v>
                </c:pt>
                <c:pt idx="206">
                  <c:v>0.0124</c:v>
                </c:pt>
                <c:pt idx="207">
                  <c:v>0.0131</c:v>
                </c:pt>
                <c:pt idx="208">
                  <c:v>0.0126</c:v>
                </c:pt>
                <c:pt idx="209">
                  <c:v>0.0122</c:v>
                </c:pt>
                <c:pt idx="210">
                  <c:v>0.0125</c:v>
                </c:pt>
                <c:pt idx="211">
                  <c:v>0.0126</c:v>
                </c:pt>
                <c:pt idx="212">
                  <c:v>0.0123</c:v>
                </c:pt>
                <c:pt idx="213">
                  <c:v>0.0116</c:v>
                </c:pt>
                <c:pt idx="214">
                  <c:v>0.0117</c:v>
                </c:pt>
                <c:pt idx="215">
                  <c:v>0.013</c:v>
                </c:pt>
                <c:pt idx="216">
                  <c:v>0.0133</c:v>
                </c:pt>
                <c:pt idx="217">
                  <c:v>0.0124</c:v>
                </c:pt>
                <c:pt idx="218">
                  <c:v>0.012</c:v>
                </c:pt>
                <c:pt idx="219">
                  <c:v>0.0129</c:v>
                </c:pt>
                <c:pt idx="220">
                  <c:v>0.0133</c:v>
                </c:pt>
                <c:pt idx="221">
                  <c:v>0.0124</c:v>
                </c:pt>
                <c:pt idx="222">
                  <c:v>0.0123</c:v>
                </c:pt>
                <c:pt idx="223">
                  <c:v>0.0132</c:v>
                </c:pt>
                <c:pt idx="224">
                  <c:v>0.0136</c:v>
                </c:pt>
                <c:pt idx="225">
                  <c:v>0.0131</c:v>
                </c:pt>
                <c:pt idx="226">
                  <c:v>0.0124</c:v>
                </c:pt>
                <c:pt idx="227">
                  <c:v>0.0126</c:v>
                </c:pt>
                <c:pt idx="228">
                  <c:v>0.0134</c:v>
                </c:pt>
                <c:pt idx="229">
                  <c:v>0.0134</c:v>
                </c:pt>
                <c:pt idx="230">
                  <c:v>0.0127</c:v>
                </c:pt>
                <c:pt idx="231">
                  <c:v>0.0129</c:v>
                </c:pt>
                <c:pt idx="232">
                  <c:v>0.0137</c:v>
                </c:pt>
                <c:pt idx="233">
                  <c:v>0.0135</c:v>
                </c:pt>
                <c:pt idx="234">
                  <c:v>0.0131</c:v>
                </c:pt>
                <c:pt idx="235">
                  <c:v>0.013</c:v>
                </c:pt>
                <c:pt idx="236">
                  <c:v>0.0129</c:v>
                </c:pt>
                <c:pt idx="237">
                  <c:v>0.0132</c:v>
                </c:pt>
                <c:pt idx="238">
                  <c:v>0.0134</c:v>
                </c:pt>
                <c:pt idx="239">
                  <c:v>0.0134</c:v>
                </c:pt>
                <c:pt idx="240">
                  <c:v>0.0136</c:v>
                </c:pt>
                <c:pt idx="241">
                  <c:v>0.0136</c:v>
                </c:pt>
                <c:pt idx="242">
                  <c:v>0.0134</c:v>
                </c:pt>
                <c:pt idx="243">
                  <c:v>0.0134</c:v>
                </c:pt>
                <c:pt idx="244">
                  <c:v>0.0133</c:v>
                </c:pt>
                <c:pt idx="245">
                  <c:v>0.0134</c:v>
                </c:pt>
                <c:pt idx="246">
                  <c:v>0.0138</c:v>
                </c:pt>
                <c:pt idx="247">
                  <c:v>0.0137</c:v>
                </c:pt>
                <c:pt idx="248">
                  <c:v>0.0136</c:v>
                </c:pt>
                <c:pt idx="249">
                  <c:v>0.0138</c:v>
                </c:pt>
                <c:pt idx="250">
                  <c:v>0.0138</c:v>
                </c:pt>
                <c:pt idx="251">
                  <c:v>0.0136</c:v>
                </c:pt>
                <c:pt idx="252">
                  <c:v>0.0134</c:v>
                </c:pt>
                <c:pt idx="253">
                  <c:v>0.0138</c:v>
                </c:pt>
                <c:pt idx="254">
                  <c:v>0.0143</c:v>
                </c:pt>
                <c:pt idx="255">
                  <c:v>0.014</c:v>
                </c:pt>
                <c:pt idx="256">
                  <c:v>0.014</c:v>
                </c:pt>
                <c:pt idx="257">
                  <c:v>0.0146</c:v>
                </c:pt>
                <c:pt idx="258">
                  <c:v>0.0144</c:v>
                </c:pt>
                <c:pt idx="259">
                  <c:v>0.0139</c:v>
                </c:pt>
                <c:pt idx="260">
                  <c:v>0.0141</c:v>
                </c:pt>
                <c:pt idx="261">
                  <c:v>0.0146</c:v>
                </c:pt>
                <c:pt idx="262">
                  <c:v>0.0148</c:v>
                </c:pt>
                <c:pt idx="263">
                  <c:v>0.0144</c:v>
                </c:pt>
                <c:pt idx="264">
                  <c:v>0.0142</c:v>
                </c:pt>
                <c:pt idx="265">
                  <c:v>0.0143</c:v>
                </c:pt>
                <c:pt idx="266">
                  <c:v>0.0146</c:v>
                </c:pt>
                <c:pt idx="267">
                  <c:v>0.0146</c:v>
                </c:pt>
                <c:pt idx="268">
                  <c:v>0.0138</c:v>
                </c:pt>
                <c:pt idx="269">
                  <c:v>0.0139</c:v>
                </c:pt>
                <c:pt idx="270">
                  <c:v>0.0143</c:v>
                </c:pt>
                <c:pt idx="271">
                  <c:v>0.0141</c:v>
                </c:pt>
                <c:pt idx="272">
                  <c:v>0.0138</c:v>
                </c:pt>
                <c:pt idx="273">
                  <c:v>0.014</c:v>
                </c:pt>
                <c:pt idx="274">
                  <c:v>0.0148</c:v>
                </c:pt>
                <c:pt idx="275">
                  <c:v>0.0151</c:v>
                </c:pt>
                <c:pt idx="276">
                  <c:v>0.0145</c:v>
                </c:pt>
                <c:pt idx="277">
                  <c:v>0.0144</c:v>
                </c:pt>
                <c:pt idx="278">
                  <c:v>0.015</c:v>
                </c:pt>
                <c:pt idx="279">
                  <c:v>0.0152</c:v>
                </c:pt>
                <c:pt idx="280">
                  <c:v>0.0147</c:v>
                </c:pt>
                <c:pt idx="281">
                  <c:v>0.0141</c:v>
                </c:pt>
                <c:pt idx="282">
                  <c:v>0.015</c:v>
                </c:pt>
                <c:pt idx="283">
                  <c:v>0.0157</c:v>
                </c:pt>
                <c:pt idx="284">
                  <c:v>0.0152</c:v>
                </c:pt>
                <c:pt idx="285">
                  <c:v>0.0151</c:v>
                </c:pt>
                <c:pt idx="286">
                  <c:v>0.015</c:v>
                </c:pt>
                <c:pt idx="287">
                  <c:v>0.0152</c:v>
                </c:pt>
                <c:pt idx="288">
                  <c:v>0.0151</c:v>
                </c:pt>
                <c:pt idx="289">
                  <c:v>0.0148</c:v>
                </c:pt>
                <c:pt idx="290">
                  <c:v>0.015</c:v>
                </c:pt>
                <c:pt idx="291">
                  <c:v>0.0154</c:v>
                </c:pt>
                <c:pt idx="292">
                  <c:v>0.0157</c:v>
                </c:pt>
                <c:pt idx="293">
                  <c:v>0.0151</c:v>
                </c:pt>
                <c:pt idx="294">
                  <c:v>0.0153</c:v>
                </c:pt>
                <c:pt idx="295">
                  <c:v>0.0159</c:v>
                </c:pt>
                <c:pt idx="296">
                  <c:v>0.0158</c:v>
                </c:pt>
                <c:pt idx="297">
                  <c:v>0.0156</c:v>
                </c:pt>
                <c:pt idx="298">
                  <c:v>0.0157</c:v>
                </c:pt>
                <c:pt idx="299">
                  <c:v>0.016</c:v>
                </c:pt>
                <c:pt idx="300">
                  <c:v>0.0159</c:v>
                </c:pt>
                <c:pt idx="301">
                  <c:v>0.0156</c:v>
                </c:pt>
                <c:pt idx="302">
                  <c:v>0.0154</c:v>
                </c:pt>
                <c:pt idx="303">
                  <c:v>0.0161</c:v>
                </c:pt>
                <c:pt idx="304">
                  <c:v>0.0165</c:v>
                </c:pt>
                <c:pt idx="305">
                  <c:v>0.0162</c:v>
                </c:pt>
                <c:pt idx="306">
                  <c:v>0.0161</c:v>
                </c:pt>
                <c:pt idx="307">
                  <c:v>0.0162</c:v>
                </c:pt>
                <c:pt idx="308">
                  <c:v>0.0162</c:v>
                </c:pt>
                <c:pt idx="309">
                  <c:v>0.0159</c:v>
                </c:pt>
                <c:pt idx="310">
                  <c:v>0.0156</c:v>
                </c:pt>
                <c:pt idx="311">
                  <c:v>0.016</c:v>
                </c:pt>
                <c:pt idx="312">
                  <c:v>0.0168</c:v>
                </c:pt>
                <c:pt idx="313">
                  <c:v>0.0171</c:v>
                </c:pt>
                <c:pt idx="314">
                  <c:v>0.0164</c:v>
                </c:pt>
                <c:pt idx="315">
                  <c:v>0.0157</c:v>
                </c:pt>
                <c:pt idx="316">
                  <c:v>0.0162</c:v>
                </c:pt>
                <c:pt idx="317">
                  <c:v>0.0169</c:v>
                </c:pt>
                <c:pt idx="318">
                  <c:v>0.0166</c:v>
                </c:pt>
                <c:pt idx="319">
                  <c:v>0.0161</c:v>
                </c:pt>
                <c:pt idx="320">
                  <c:v>0.0162</c:v>
                </c:pt>
                <c:pt idx="321">
                  <c:v>0.017</c:v>
                </c:pt>
                <c:pt idx="322">
                  <c:v>0.0172</c:v>
                </c:pt>
                <c:pt idx="323">
                  <c:v>0.0167</c:v>
                </c:pt>
                <c:pt idx="324">
                  <c:v>0.0169</c:v>
                </c:pt>
                <c:pt idx="325">
                  <c:v>0.0178</c:v>
                </c:pt>
                <c:pt idx="326">
                  <c:v>0.0175</c:v>
                </c:pt>
                <c:pt idx="327">
                  <c:v>0.0168</c:v>
                </c:pt>
                <c:pt idx="328">
                  <c:v>0.0163</c:v>
                </c:pt>
                <c:pt idx="329">
                  <c:v>0.0168</c:v>
                </c:pt>
                <c:pt idx="330">
                  <c:v>0.0173</c:v>
                </c:pt>
                <c:pt idx="331">
                  <c:v>0.0166</c:v>
                </c:pt>
                <c:pt idx="332">
                  <c:v>0.0162</c:v>
                </c:pt>
                <c:pt idx="333">
                  <c:v>0.0167</c:v>
                </c:pt>
                <c:pt idx="334">
                  <c:v>0.0173</c:v>
                </c:pt>
                <c:pt idx="335">
                  <c:v>0.0169</c:v>
                </c:pt>
                <c:pt idx="336">
                  <c:v>0.0165</c:v>
                </c:pt>
                <c:pt idx="337">
                  <c:v>0.0172</c:v>
                </c:pt>
                <c:pt idx="338">
                  <c:v>0.0182</c:v>
                </c:pt>
                <c:pt idx="339">
                  <c:v>0.0182</c:v>
                </c:pt>
                <c:pt idx="340">
                  <c:v>0.0172</c:v>
                </c:pt>
                <c:pt idx="341">
                  <c:v>0.0172</c:v>
                </c:pt>
                <c:pt idx="342">
                  <c:v>0.0183</c:v>
                </c:pt>
                <c:pt idx="343">
                  <c:v>0.0183</c:v>
                </c:pt>
                <c:pt idx="344">
                  <c:v>0.0173</c:v>
                </c:pt>
                <c:pt idx="345">
                  <c:v>0.0171</c:v>
                </c:pt>
                <c:pt idx="346">
                  <c:v>0.0182</c:v>
                </c:pt>
                <c:pt idx="347">
                  <c:v>0.019</c:v>
                </c:pt>
                <c:pt idx="348">
                  <c:v>0.0185</c:v>
                </c:pt>
                <c:pt idx="349">
                  <c:v>0.0181</c:v>
                </c:pt>
                <c:pt idx="350">
                  <c:v>0.0189</c:v>
                </c:pt>
                <c:pt idx="351">
                  <c:v>0.0195</c:v>
                </c:pt>
                <c:pt idx="352">
                  <c:v>0.0185</c:v>
                </c:pt>
                <c:pt idx="353">
                  <c:v>0.0179</c:v>
                </c:pt>
                <c:pt idx="354">
                  <c:v>0.0192</c:v>
                </c:pt>
                <c:pt idx="355">
                  <c:v>0.0196</c:v>
                </c:pt>
                <c:pt idx="356">
                  <c:v>0.0194</c:v>
                </c:pt>
                <c:pt idx="357">
                  <c:v>0.0194</c:v>
                </c:pt>
                <c:pt idx="358">
                  <c:v>0.0194</c:v>
                </c:pt>
                <c:pt idx="359">
                  <c:v>0.0197</c:v>
                </c:pt>
                <c:pt idx="360">
                  <c:v>0.0191</c:v>
                </c:pt>
                <c:pt idx="361">
                  <c:v>0.0184</c:v>
                </c:pt>
                <c:pt idx="362">
                  <c:v>0.0184</c:v>
                </c:pt>
                <c:pt idx="363">
                  <c:v>0.0188</c:v>
                </c:pt>
                <c:pt idx="364">
                  <c:v>0.0187</c:v>
                </c:pt>
                <c:pt idx="365">
                  <c:v>0.0188</c:v>
                </c:pt>
                <c:pt idx="366">
                  <c:v>0.0194</c:v>
                </c:pt>
                <c:pt idx="367">
                  <c:v>0.0202</c:v>
                </c:pt>
                <c:pt idx="368">
                  <c:v>0.0206</c:v>
                </c:pt>
                <c:pt idx="369">
                  <c:v>0.0199</c:v>
                </c:pt>
                <c:pt idx="370">
                  <c:v>0.0195</c:v>
                </c:pt>
                <c:pt idx="371">
                  <c:v>0.0198</c:v>
                </c:pt>
                <c:pt idx="372">
                  <c:v>0.0199</c:v>
                </c:pt>
                <c:pt idx="373">
                  <c:v>0.0193</c:v>
                </c:pt>
                <c:pt idx="374">
                  <c:v>0.0198</c:v>
                </c:pt>
                <c:pt idx="375">
                  <c:v>0.0208</c:v>
                </c:pt>
                <c:pt idx="376">
                  <c:v>0.0207</c:v>
                </c:pt>
                <c:pt idx="377">
                  <c:v>0.0196</c:v>
                </c:pt>
                <c:pt idx="378">
                  <c:v>0.0193</c:v>
                </c:pt>
                <c:pt idx="379">
                  <c:v>0.0205</c:v>
                </c:pt>
                <c:pt idx="380">
                  <c:v>0.0212</c:v>
                </c:pt>
                <c:pt idx="381">
                  <c:v>0.0203</c:v>
                </c:pt>
                <c:pt idx="382">
                  <c:v>0.0202</c:v>
                </c:pt>
                <c:pt idx="383">
                  <c:v>0.0212</c:v>
                </c:pt>
                <c:pt idx="384">
                  <c:v>0.0214</c:v>
                </c:pt>
                <c:pt idx="385">
                  <c:v>0.0205</c:v>
                </c:pt>
                <c:pt idx="386">
                  <c:v>0.0205</c:v>
                </c:pt>
                <c:pt idx="387">
                  <c:v>0.021</c:v>
                </c:pt>
                <c:pt idx="388">
                  <c:v>0.0207</c:v>
                </c:pt>
                <c:pt idx="389">
                  <c:v>0.0207</c:v>
                </c:pt>
                <c:pt idx="390">
                  <c:v>0.0206</c:v>
                </c:pt>
                <c:pt idx="391">
                  <c:v>0.0213</c:v>
                </c:pt>
                <c:pt idx="392">
                  <c:v>0.0221</c:v>
                </c:pt>
                <c:pt idx="393">
                  <c:v>0.0217</c:v>
                </c:pt>
                <c:pt idx="394">
                  <c:v>0.021</c:v>
                </c:pt>
                <c:pt idx="395">
                  <c:v>0.0209</c:v>
                </c:pt>
                <c:pt idx="396">
                  <c:v>0.0218</c:v>
                </c:pt>
                <c:pt idx="397">
                  <c:v>0.0221</c:v>
                </c:pt>
                <c:pt idx="398">
                  <c:v>0.0211</c:v>
                </c:pt>
                <c:pt idx="399">
                  <c:v>0.0202</c:v>
                </c:pt>
                <c:pt idx="400">
                  <c:v>0.0216</c:v>
                </c:pt>
                <c:pt idx="401">
                  <c:v>0.0228</c:v>
                </c:pt>
                <c:pt idx="402">
                  <c:v>0.0214</c:v>
                </c:pt>
                <c:pt idx="403">
                  <c:v>0.021</c:v>
                </c:pt>
                <c:pt idx="404">
                  <c:v>0.0221</c:v>
                </c:pt>
                <c:pt idx="405">
                  <c:v>0.0221</c:v>
                </c:pt>
                <c:pt idx="406">
                  <c:v>0.0216</c:v>
                </c:pt>
                <c:pt idx="407">
                  <c:v>0.0214</c:v>
                </c:pt>
                <c:pt idx="408">
                  <c:v>0.0219</c:v>
                </c:pt>
                <c:pt idx="409">
                  <c:v>0.0228</c:v>
                </c:pt>
                <c:pt idx="410">
                  <c:v>0.0228</c:v>
                </c:pt>
                <c:pt idx="411">
                  <c:v>0.022</c:v>
                </c:pt>
                <c:pt idx="412">
                  <c:v>0.0224</c:v>
                </c:pt>
                <c:pt idx="413">
                  <c:v>0.0238</c:v>
                </c:pt>
                <c:pt idx="414">
                  <c:v>0.0234</c:v>
                </c:pt>
                <c:pt idx="415">
                  <c:v>0.0222</c:v>
                </c:pt>
                <c:pt idx="416">
                  <c:v>0.0226</c:v>
                </c:pt>
                <c:pt idx="417">
                  <c:v>0.0233</c:v>
                </c:pt>
                <c:pt idx="418">
                  <c:v>0.0233</c:v>
                </c:pt>
                <c:pt idx="419">
                  <c:v>0.0226</c:v>
                </c:pt>
                <c:pt idx="420">
                  <c:v>0.0227</c:v>
                </c:pt>
                <c:pt idx="421">
                  <c:v>0.024</c:v>
                </c:pt>
                <c:pt idx="422">
                  <c:v>0.0243</c:v>
                </c:pt>
                <c:pt idx="423">
                  <c:v>0.0233</c:v>
                </c:pt>
                <c:pt idx="424">
                  <c:v>0.0231</c:v>
                </c:pt>
                <c:pt idx="425">
                  <c:v>0.0241</c:v>
                </c:pt>
                <c:pt idx="426">
                  <c:v>0.0242</c:v>
                </c:pt>
                <c:pt idx="427">
                  <c:v>0.0237</c:v>
                </c:pt>
                <c:pt idx="428">
                  <c:v>0.0238</c:v>
                </c:pt>
                <c:pt idx="429">
                  <c:v>0.0242</c:v>
                </c:pt>
                <c:pt idx="430">
                  <c:v>0.0246</c:v>
                </c:pt>
                <c:pt idx="431">
                  <c:v>0.0247</c:v>
                </c:pt>
                <c:pt idx="432">
                  <c:v>0.0245</c:v>
                </c:pt>
                <c:pt idx="433">
                  <c:v>0.0246</c:v>
                </c:pt>
                <c:pt idx="434">
                  <c:v>0.025</c:v>
                </c:pt>
                <c:pt idx="435">
                  <c:v>0.0253</c:v>
                </c:pt>
                <c:pt idx="436">
                  <c:v>0.0244</c:v>
                </c:pt>
                <c:pt idx="437">
                  <c:v>0.0249</c:v>
                </c:pt>
                <c:pt idx="438">
                  <c:v>0.0264</c:v>
                </c:pt>
                <c:pt idx="439">
                  <c:v>0.0262</c:v>
                </c:pt>
                <c:pt idx="440">
                  <c:v>0.0248</c:v>
                </c:pt>
                <c:pt idx="441">
                  <c:v>0.0247</c:v>
                </c:pt>
                <c:pt idx="442">
                  <c:v>0.0267</c:v>
                </c:pt>
                <c:pt idx="443">
                  <c:v>0.027</c:v>
                </c:pt>
                <c:pt idx="444">
                  <c:v>0.0254</c:v>
                </c:pt>
                <c:pt idx="445">
                  <c:v>0.025</c:v>
                </c:pt>
                <c:pt idx="446">
                  <c:v>0.0268</c:v>
                </c:pt>
                <c:pt idx="447">
                  <c:v>0.0271</c:v>
                </c:pt>
                <c:pt idx="448">
                  <c:v>0.0256</c:v>
                </c:pt>
                <c:pt idx="449">
                  <c:v>0.0254</c:v>
                </c:pt>
                <c:pt idx="450">
                  <c:v>0.0263</c:v>
                </c:pt>
                <c:pt idx="451">
                  <c:v>0.027</c:v>
                </c:pt>
                <c:pt idx="452">
                  <c:v>0.0264</c:v>
                </c:pt>
                <c:pt idx="453">
                  <c:v>0.0261</c:v>
                </c:pt>
                <c:pt idx="454">
                  <c:v>0.0272</c:v>
                </c:pt>
                <c:pt idx="455">
                  <c:v>0.0285</c:v>
                </c:pt>
                <c:pt idx="456">
                  <c:v>0.0281</c:v>
                </c:pt>
                <c:pt idx="457">
                  <c:v>0.0274</c:v>
                </c:pt>
                <c:pt idx="458">
                  <c:v>0.028</c:v>
                </c:pt>
                <c:pt idx="459">
                  <c:v>0.029</c:v>
                </c:pt>
                <c:pt idx="460">
                  <c:v>0.0282</c:v>
                </c:pt>
                <c:pt idx="461">
                  <c:v>0.0274</c:v>
                </c:pt>
                <c:pt idx="462">
                  <c:v>0.0286</c:v>
                </c:pt>
                <c:pt idx="463">
                  <c:v>0.0294</c:v>
                </c:pt>
                <c:pt idx="464">
                  <c:v>0.0296</c:v>
                </c:pt>
                <c:pt idx="465">
                  <c:v>0.0296</c:v>
                </c:pt>
                <c:pt idx="466">
                  <c:v>0.0291</c:v>
                </c:pt>
                <c:pt idx="467">
                  <c:v>0.0297</c:v>
                </c:pt>
                <c:pt idx="468">
                  <c:v>0.0302</c:v>
                </c:pt>
                <c:pt idx="469">
                  <c:v>0.0286</c:v>
                </c:pt>
                <c:pt idx="470">
                  <c:v>0.0286</c:v>
                </c:pt>
                <c:pt idx="471">
                  <c:v>0.0306</c:v>
                </c:pt>
                <c:pt idx="472">
                  <c:v>0.0321</c:v>
                </c:pt>
                <c:pt idx="473">
                  <c:v>0.0313</c:v>
                </c:pt>
                <c:pt idx="474">
                  <c:v>0.0304</c:v>
                </c:pt>
                <c:pt idx="475">
                  <c:v>0.0323</c:v>
                </c:pt>
                <c:pt idx="476">
                  <c:v>0.0331</c:v>
                </c:pt>
                <c:pt idx="477">
                  <c:v>0.032</c:v>
                </c:pt>
                <c:pt idx="478">
                  <c:v>0.0309</c:v>
                </c:pt>
                <c:pt idx="479">
                  <c:v>0.0317</c:v>
                </c:pt>
                <c:pt idx="480">
                  <c:v>0.0321</c:v>
                </c:pt>
                <c:pt idx="481">
                  <c:v>0.0314</c:v>
                </c:pt>
                <c:pt idx="482">
                  <c:v>0.0303</c:v>
                </c:pt>
                <c:pt idx="483">
                  <c:v>0.0305</c:v>
                </c:pt>
                <c:pt idx="484">
                  <c:v>0.0323</c:v>
                </c:pt>
                <c:pt idx="485">
                  <c:v>0.0307</c:v>
                </c:pt>
                <c:pt idx="486">
                  <c:v>0.0286</c:v>
                </c:pt>
                <c:pt idx="487">
                  <c:v>0.0311</c:v>
                </c:pt>
                <c:pt idx="488">
                  <c:v>0.0327</c:v>
                </c:pt>
                <c:pt idx="489">
                  <c:v>0.0305</c:v>
                </c:pt>
                <c:pt idx="490">
                  <c:v>0.0302</c:v>
                </c:pt>
                <c:pt idx="491">
                  <c:v>0.0332</c:v>
                </c:pt>
                <c:pt idx="492">
                  <c:v>0.0348</c:v>
                </c:pt>
                <c:pt idx="493">
                  <c:v>0.0341</c:v>
                </c:pt>
                <c:pt idx="494">
                  <c:v>0.0335</c:v>
                </c:pt>
                <c:pt idx="495">
                  <c:v>0.0331</c:v>
                </c:pt>
                <c:pt idx="496">
                  <c:v>0.0337</c:v>
                </c:pt>
                <c:pt idx="497">
                  <c:v>0.0347</c:v>
                </c:pt>
                <c:pt idx="498">
                  <c:v>0.0352</c:v>
                </c:pt>
                <c:pt idx="499">
                  <c:v>0.0335</c:v>
                </c:pt>
                <c:pt idx="500">
                  <c:v>0.0322</c:v>
                </c:pt>
                <c:pt idx="501">
                  <c:v>0.034</c:v>
                </c:pt>
                <c:pt idx="502">
                  <c:v>0.0353</c:v>
                </c:pt>
                <c:pt idx="503">
                  <c:v>0.0367</c:v>
                </c:pt>
                <c:pt idx="504">
                  <c:v>0.035</c:v>
                </c:pt>
                <c:pt idx="505">
                  <c:v>0.0336</c:v>
                </c:pt>
                <c:pt idx="506">
                  <c:v>0.0365</c:v>
                </c:pt>
                <c:pt idx="507">
                  <c:v>0.0388</c:v>
                </c:pt>
                <c:pt idx="508">
                  <c:v>0.0363</c:v>
                </c:pt>
                <c:pt idx="509">
                  <c:v>0.0334</c:v>
                </c:pt>
                <c:pt idx="510">
                  <c:v>0.0343</c:v>
                </c:pt>
                <c:pt idx="511">
                  <c:v>0.0385</c:v>
                </c:pt>
                <c:pt idx="512">
                  <c:v>0.0415</c:v>
                </c:pt>
                <c:pt idx="513">
                  <c:v>0.0417</c:v>
                </c:pt>
                <c:pt idx="514">
                  <c:v>0.0427</c:v>
                </c:pt>
                <c:pt idx="515">
                  <c:v>0.0432</c:v>
                </c:pt>
                <c:pt idx="516">
                  <c:v>0.0405</c:v>
                </c:pt>
                <c:pt idx="517">
                  <c:v>0.0377</c:v>
                </c:pt>
                <c:pt idx="518">
                  <c:v>0.0386</c:v>
                </c:pt>
                <c:pt idx="519">
                  <c:v>0.0408</c:v>
                </c:pt>
                <c:pt idx="520">
                  <c:v>0.0411</c:v>
                </c:pt>
                <c:pt idx="521">
                  <c:v>0.04</c:v>
                </c:pt>
                <c:pt idx="522">
                  <c:v>0.0393</c:v>
                </c:pt>
                <c:pt idx="523">
                  <c:v>0.0395</c:v>
                </c:pt>
                <c:pt idx="524">
                  <c:v>0.0412</c:v>
                </c:pt>
                <c:pt idx="525">
                  <c:v>0.0425</c:v>
                </c:pt>
                <c:pt idx="526">
                  <c:v>0.0442</c:v>
                </c:pt>
                <c:pt idx="527">
                  <c:v>0.045</c:v>
                </c:pt>
                <c:pt idx="528">
                  <c:v>0.0451</c:v>
                </c:pt>
                <c:pt idx="529">
                  <c:v>0.0443</c:v>
                </c:pt>
                <c:pt idx="530">
                  <c:v>0.043</c:v>
                </c:pt>
                <c:pt idx="531">
                  <c:v>0.0445</c:v>
                </c:pt>
                <c:pt idx="532">
                  <c:v>0.0448</c:v>
                </c:pt>
                <c:pt idx="533">
                  <c:v>0.0451</c:v>
                </c:pt>
                <c:pt idx="534">
                  <c:v>0.0466</c:v>
                </c:pt>
                <c:pt idx="535">
                  <c:v>0.0458</c:v>
                </c:pt>
                <c:pt idx="536">
                  <c:v>0.0468</c:v>
                </c:pt>
                <c:pt idx="537">
                  <c:v>0.0492</c:v>
                </c:pt>
                <c:pt idx="538">
                  <c:v>0.0507</c:v>
                </c:pt>
                <c:pt idx="539">
                  <c:v>0.0497</c:v>
                </c:pt>
                <c:pt idx="540">
                  <c:v>0.0468</c:v>
                </c:pt>
                <c:pt idx="541">
                  <c:v>0.0481</c:v>
                </c:pt>
                <c:pt idx="542">
                  <c:v>0.0515</c:v>
                </c:pt>
                <c:pt idx="543">
                  <c:v>0.0529</c:v>
                </c:pt>
                <c:pt idx="544">
                  <c:v>0.0518</c:v>
                </c:pt>
                <c:pt idx="545">
                  <c:v>0.0527</c:v>
                </c:pt>
                <c:pt idx="546">
                  <c:v>0.0562</c:v>
                </c:pt>
                <c:pt idx="547">
                  <c:v>0.0561</c:v>
                </c:pt>
                <c:pt idx="548">
                  <c:v>0.054</c:v>
                </c:pt>
                <c:pt idx="549">
                  <c:v>0.0508</c:v>
                </c:pt>
                <c:pt idx="550">
                  <c:v>0.0524</c:v>
                </c:pt>
                <c:pt idx="551">
                  <c:v>0.056</c:v>
                </c:pt>
                <c:pt idx="552">
                  <c:v>0.0544</c:v>
                </c:pt>
                <c:pt idx="553">
                  <c:v>0.0532</c:v>
                </c:pt>
                <c:pt idx="554">
                  <c:v>0.0541</c:v>
                </c:pt>
                <c:pt idx="555">
                  <c:v>0.056</c:v>
                </c:pt>
                <c:pt idx="556">
                  <c:v>0.0579</c:v>
                </c:pt>
                <c:pt idx="557">
                  <c:v>0.059</c:v>
                </c:pt>
                <c:pt idx="558">
                  <c:v>0.0603</c:v>
                </c:pt>
                <c:pt idx="559">
                  <c:v>0.0607</c:v>
                </c:pt>
                <c:pt idx="560">
                  <c:v>0.0599</c:v>
                </c:pt>
                <c:pt idx="561">
                  <c:v>0.0603</c:v>
                </c:pt>
                <c:pt idx="562">
                  <c:v>0.0606</c:v>
                </c:pt>
                <c:pt idx="563">
                  <c:v>0.0606</c:v>
                </c:pt>
                <c:pt idx="564">
                  <c:v>0.0618</c:v>
                </c:pt>
                <c:pt idx="565">
                  <c:v>0.0647</c:v>
                </c:pt>
                <c:pt idx="566">
                  <c:v>0.0662</c:v>
                </c:pt>
                <c:pt idx="567">
                  <c:v>0.0643</c:v>
                </c:pt>
                <c:pt idx="568">
                  <c:v>0.0653</c:v>
                </c:pt>
                <c:pt idx="569">
                  <c:v>0.0667</c:v>
                </c:pt>
                <c:pt idx="570">
                  <c:v>0.0658</c:v>
                </c:pt>
                <c:pt idx="571">
                  <c:v>0.0673</c:v>
                </c:pt>
                <c:pt idx="572">
                  <c:v>0.0683</c:v>
                </c:pt>
                <c:pt idx="573">
                  <c:v>0.0665</c:v>
                </c:pt>
                <c:pt idx="574">
                  <c:v>0.0692</c:v>
                </c:pt>
                <c:pt idx="575">
                  <c:v>0.0737</c:v>
                </c:pt>
                <c:pt idx="576">
                  <c:v>0.0742</c:v>
                </c:pt>
                <c:pt idx="577">
                  <c:v>0.0741</c:v>
                </c:pt>
                <c:pt idx="578">
                  <c:v>0.0744</c:v>
                </c:pt>
                <c:pt idx="579">
                  <c:v>0.076</c:v>
                </c:pt>
                <c:pt idx="580">
                  <c:v>0.0776</c:v>
                </c:pt>
                <c:pt idx="581">
                  <c:v>0.078</c:v>
                </c:pt>
                <c:pt idx="582">
                  <c:v>0.0797</c:v>
                </c:pt>
                <c:pt idx="583">
                  <c:v>0.0803</c:v>
                </c:pt>
                <c:pt idx="584">
                  <c:v>0.0798</c:v>
                </c:pt>
                <c:pt idx="585">
                  <c:v>0.0826</c:v>
                </c:pt>
                <c:pt idx="586">
                  <c:v>0.0836</c:v>
                </c:pt>
                <c:pt idx="587">
                  <c:v>0.0828</c:v>
                </c:pt>
                <c:pt idx="588">
                  <c:v>0.0838</c:v>
                </c:pt>
                <c:pt idx="589">
                  <c:v>0.0838</c:v>
                </c:pt>
                <c:pt idx="590">
                  <c:v>0.0848</c:v>
                </c:pt>
                <c:pt idx="591">
                  <c:v>0.0881</c:v>
                </c:pt>
                <c:pt idx="592">
                  <c:v>0.0916</c:v>
                </c:pt>
                <c:pt idx="593">
                  <c:v>0.0926</c:v>
                </c:pt>
                <c:pt idx="594">
                  <c:v>0.0908</c:v>
                </c:pt>
                <c:pt idx="595">
                  <c:v>0.0909</c:v>
                </c:pt>
                <c:pt idx="596">
                  <c:v>0.0928</c:v>
                </c:pt>
                <c:pt idx="597">
                  <c:v>0.0948</c:v>
                </c:pt>
                <c:pt idx="598">
                  <c:v>0.0951</c:v>
                </c:pt>
                <c:pt idx="599">
                  <c:v>0.0952</c:v>
                </c:pt>
                <c:pt idx="600">
                  <c:v>0.0969</c:v>
                </c:pt>
                <c:pt idx="601">
                  <c:v>0.0966</c:v>
                </c:pt>
                <c:pt idx="602">
                  <c:v>0.0976</c:v>
                </c:pt>
                <c:pt idx="603">
                  <c:v>0.0995</c:v>
                </c:pt>
                <c:pt idx="604">
                  <c:v>0.1013</c:v>
                </c:pt>
                <c:pt idx="605">
                  <c:v>0.1023</c:v>
                </c:pt>
                <c:pt idx="606">
                  <c:v>0.103</c:v>
                </c:pt>
                <c:pt idx="607">
                  <c:v>0.1049</c:v>
                </c:pt>
                <c:pt idx="608">
                  <c:v>0.1069</c:v>
                </c:pt>
                <c:pt idx="609">
                  <c:v>0.1077</c:v>
                </c:pt>
                <c:pt idx="610">
                  <c:v>0.1069</c:v>
                </c:pt>
                <c:pt idx="611">
                  <c:v>0.1093</c:v>
                </c:pt>
                <c:pt idx="612">
                  <c:v>0.1138</c:v>
                </c:pt>
                <c:pt idx="613">
                  <c:v>0.1129</c:v>
                </c:pt>
                <c:pt idx="614">
                  <c:v>0.1109</c:v>
                </c:pt>
                <c:pt idx="615">
                  <c:v>0.1133</c:v>
                </c:pt>
                <c:pt idx="616">
                  <c:v>0.1146</c:v>
                </c:pt>
                <c:pt idx="617">
                  <c:v>0.1152</c:v>
                </c:pt>
                <c:pt idx="618">
                  <c:v>0.1178</c:v>
                </c:pt>
                <c:pt idx="619">
                  <c:v>0.1205</c:v>
                </c:pt>
                <c:pt idx="620">
                  <c:v>0.1216</c:v>
                </c:pt>
                <c:pt idx="621">
                  <c:v>0.121</c:v>
                </c:pt>
                <c:pt idx="622">
                  <c:v>0.1248</c:v>
                </c:pt>
                <c:pt idx="623">
                  <c:v>0.1278</c:v>
                </c:pt>
                <c:pt idx="624">
                  <c:v>0.127</c:v>
                </c:pt>
                <c:pt idx="625">
                  <c:v>0.129</c:v>
                </c:pt>
                <c:pt idx="626">
                  <c:v>0.13</c:v>
                </c:pt>
                <c:pt idx="627">
                  <c:v>0.1301</c:v>
                </c:pt>
                <c:pt idx="628">
                  <c:v>0.1314</c:v>
                </c:pt>
                <c:pt idx="629">
                  <c:v>0.1332</c:v>
                </c:pt>
                <c:pt idx="630">
                  <c:v>0.1347</c:v>
                </c:pt>
                <c:pt idx="631">
                  <c:v>0.1357</c:v>
                </c:pt>
                <c:pt idx="632">
                  <c:v>0.1374</c:v>
                </c:pt>
                <c:pt idx="633">
                  <c:v>0.1393</c:v>
                </c:pt>
                <c:pt idx="634">
                  <c:v>0.1415</c:v>
                </c:pt>
                <c:pt idx="635">
                  <c:v>0.142</c:v>
                </c:pt>
                <c:pt idx="636">
                  <c:v>0.1428</c:v>
                </c:pt>
                <c:pt idx="637">
                  <c:v>0.1436</c:v>
                </c:pt>
                <c:pt idx="638">
                  <c:v>0.1432</c:v>
                </c:pt>
                <c:pt idx="639">
                  <c:v>0.148</c:v>
                </c:pt>
                <c:pt idx="640">
                  <c:v>0.1535</c:v>
                </c:pt>
                <c:pt idx="641">
                  <c:v>0.1542</c:v>
                </c:pt>
                <c:pt idx="642">
                  <c:v>0.1543</c:v>
                </c:pt>
                <c:pt idx="643">
                  <c:v>0.1575</c:v>
                </c:pt>
                <c:pt idx="644">
                  <c:v>0.1603</c:v>
                </c:pt>
                <c:pt idx="645">
                  <c:v>0.1617</c:v>
                </c:pt>
                <c:pt idx="646">
                  <c:v>0.1652</c:v>
                </c:pt>
                <c:pt idx="647">
                  <c:v>0.1682</c:v>
                </c:pt>
                <c:pt idx="648">
                  <c:v>0.1694</c:v>
                </c:pt>
                <c:pt idx="649">
                  <c:v>0.171</c:v>
                </c:pt>
                <c:pt idx="650">
                  <c:v>0.1726</c:v>
                </c:pt>
                <c:pt idx="651">
                  <c:v>0.1767</c:v>
                </c:pt>
                <c:pt idx="652">
                  <c:v>0.1794</c:v>
                </c:pt>
                <c:pt idx="653">
                  <c:v>0.1793</c:v>
                </c:pt>
                <c:pt idx="654">
                  <c:v>0.1833</c:v>
                </c:pt>
                <c:pt idx="655">
                  <c:v>0.1891</c:v>
                </c:pt>
                <c:pt idx="656">
                  <c:v>0.191</c:v>
                </c:pt>
                <c:pt idx="657">
                  <c:v>0.1921</c:v>
                </c:pt>
                <c:pt idx="658">
                  <c:v>0.1945</c:v>
                </c:pt>
                <c:pt idx="659">
                  <c:v>0.1978</c:v>
                </c:pt>
                <c:pt idx="660">
                  <c:v>0.1998</c:v>
                </c:pt>
                <c:pt idx="661">
                  <c:v>0.2018</c:v>
                </c:pt>
                <c:pt idx="662">
                  <c:v>0.205</c:v>
                </c:pt>
                <c:pt idx="663">
                  <c:v>0.2063</c:v>
                </c:pt>
                <c:pt idx="664">
                  <c:v>0.2083</c:v>
                </c:pt>
                <c:pt idx="665">
                  <c:v>0.2122</c:v>
                </c:pt>
                <c:pt idx="666">
                  <c:v>0.2168</c:v>
                </c:pt>
                <c:pt idx="667">
                  <c:v>0.2192</c:v>
                </c:pt>
                <c:pt idx="668">
                  <c:v>0.2183</c:v>
                </c:pt>
                <c:pt idx="669">
                  <c:v>0.2206</c:v>
                </c:pt>
                <c:pt idx="670">
                  <c:v>0.2259</c:v>
                </c:pt>
                <c:pt idx="671">
                  <c:v>0.228</c:v>
                </c:pt>
                <c:pt idx="672">
                  <c:v>0.2283</c:v>
                </c:pt>
                <c:pt idx="673">
                  <c:v>0.2306</c:v>
                </c:pt>
                <c:pt idx="674">
                  <c:v>0.2343</c:v>
                </c:pt>
                <c:pt idx="675">
                  <c:v>0.2363</c:v>
                </c:pt>
                <c:pt idx="676">
                  <c:v>0.2381</c:v>
                </c:pt>
                <c:pt idx="677">
                  <c:v>0.2399</c:v>
                </c:pt>
                <c:pt idx="678">
                  <c:v>0.2426</c:v>
                </c:pt>
                <c:pt idx="679">
                  <c:v>0.245</c:v>
                </c:pt>
                <c:pt idx="680">
                  <c:v>0.2461</c:v>
                </c:pt>
                <c:pt idx="681">
                  <c:v>0.2484</c:v>
                </c:pt>
                <c:pt idx="682">
                  <c:v>0.2496</c:v>
                </c:pt>
                <c:pt idx="683">
                  <c:v>0.251</c:v>
                </c:pt>
                <c:pt idx="684">
                  <c:v>0.2534</c:v>
                </c:pt>
                <c:pt idx="685">
                  <c:v>0.2558</c:v>
                </c:pt>
                <c:pt idx="686">
                  <c:v>0.2565</c:v>
                </c:pt>
                <c:pt idx="687">
                  <c:v>0.257</c:v>
                </c:pt>
                <c:pt idx="688">
                  <c:v>0.2595</c:v>
                </c:pt>
                <c:pt idx="689">
                  <c:v>0.2627</c:v>
                </c:pt>
                <c:pt idx="690">
                  <c:v>0.2646</c:v>
                </c:pt>
                <c:pt idx="691">
                  <c:v>0.2674</c:v>
                </c:pt>
                <c:pt idx="692">
                  <c:v>0.2695</c:v>
                </c:pt>
                <c:pt idx="693">
                  <c:v>0.2676</c:v>
                </c:pt>
                <c:pt idx="694">
                  <c:v>0.2691</c:v>
                </c:pt>
                <c:pt idx="695">
                  <c:v>0.2744</c:v>
                </c:pt>
                <c:pt idx="696">
                  <c:v>0.275</c:v>
                </c:pt>
                <c:pt idx="697">
                  <c:v>0.2744</c:v>
                </c:pt>
                <c:pt idx="698">
                  <c:v>0.277</c:v>
                </c:pt>
                <c:pt idx="699">
                  <c:v>0.2808</c:v>
                </c:pt>
                <c:pt idx="700">
                  <c:v>0.2818</c:v>
                </c:pt>
                <c:pt idx="701">
                  <c:v>0.2797</c:v>
                </c:pt>
                <c:pt idx="702">
                  <c:v>0.2806</c:v>
                </c:pt>
                <c:pt idx="703">
                  <c:v>0.283</c:v>
                </c:pt>
                <c:pt idx="704">
                  <c:v>0.2857</c:v>
                </c:pt>
                <c:pt idx="705">
                  <c:v>0.2886</c:v>
                </c:pt>
                <c:pt idx="706">
                  <c:v>0.291</c:v>
                </c:pt>
                <c:pt idx="707">
                  <c:v>0.293</c:v>
                </c:pt>
                <c:pt idx="708">
                  <c:v>0.2953</c:v>
                </c:pt>
                <c:pt idx="709">
                  <c:v>0.2985</c:v>
                </c:pt>
                <c:pt idx="710">
                  <c:v>0.3005</c:v>
                </c:pt>
                <c:pt idx="711">
                  <c:v>0.3008</c:v>
                </c:pt>
                <c:pt idx="712">
                  <c:v>0.3025</c:v>
                </c:pt>
                <c:pt idx="713">
                  <c:v>0.3061</c:v>
                </c:pt>
                <c:pt idx="714">
                  <c:v>0.3078</c:v>
                </c:pt>
                <c:pt idx="715">
                  <c:v>0.3089</c:v>
                </c:pt>
                <c:pt idx="716">
                  <c:v>0.3108</c:v>
                </c:pt>
                <c:pt idx="717">
                  <c:v>0.3142</c:v>
                </c:pt>
                <c:pt idx="718">
                  <c:v>0.3182</c:v>
                </c:pt>
                <c:pt idx="719">
                  <c:v>0.3203</c:v>
                </c:pt>
                <c:pt idx="720">
                  <c:v>0.3228</c:v>
                </c:pt>
                <c:pt idx="721">
                  <c:v>0.3259</c:v>
                </c:pt>
                <c:pt idx="722">
                  <c:v>0.3289</c:v>
                </c:pt>
                <c:pt idx="723">
                  <c:v>0.3323</c:v>
                </c:pt>
                <c:pt idx="724">
                  <c:v>0.332</c:v>
                </c:pt>
                <c:pt idx="725">
                  <c:v>0.3325</c:v>
                </c:pt>
                <c:pt idx="726">
                  <c:v>0.3373</c:v>
                </c:pt>
                <c:pt idx="727">
                  <c:v>0.3398</c:v>
                </c:pt>
                <c:pt idx="728">
                  <c:v>0.3422</c:v>
                </c:pt>
                <c:pt idx="729">
                  <c:v>0.3452</c:v>
                </c:pt>
                <c:pt idx="730">
                  <c:v>0.3472</c:v>
                </c:pt>
                <c:pt idx="731">
                  <c:v>0.3512</c:v>
                </c:pt>
                <c:pt idx="732">
                  <c:v>0.3557</c:v>
                </c:pt>
                <c:pt idx="733">
                  <c:v>0.3559</c:v>
                </c:pt>
                <c:pt idx="734">
                  <c:v>0.3589</c:v>
                </c:pt>
                <c:pt idx="735">
                  <c:v>0.3643</c:v>
                </c:pt>
                <c:pt idx="736">
                  <c:v>0.365</c:v>
                </c:pt>
                <c:pt idx="737">
                  <c:v>0.3636</c:v>
                </c:pt>
                <c:pt idx="738">
                  <c:v>0.3651</c:v>
                </c:pt>
                <c:pt idx="739">
                  <c:v>0.3689</c:v>
                </c:pt>
                <c:pt idx="740">
                  <c:v>0.3719</c:v>
                </c:pt>
                <c:pt idx="741">
                  <c:v>0.3741</c:v>
                </c:pt>
                <c:pt idx="742">
                  <c:v>0.3754</c:v>
                </c:pt>
                <c:pt idx="743">
                  <c:v>0.3757</c:v>
                </c:pt>
                <c:pt idx="744">
                  <c:v>0.3761</c:v>
                </c:pt>
                <c:pt idx="745">
                  <c:v>0.3741</c:v>
                </c:pt>
                <c:pt idx="746">
                  <c:v>0.3721</c:v>
                </c:pt>
                <c:pt idx="747">
                  <c:v>0.3771</c:v>
                </c:pt>
                <c:pt idx="748">
                  <c:v>0.3786</c:v>
                </c:pt>
                <c:pt idx="749">
                  <c:v>0.3749</c:v>
                </c:pt>
                <c:pt idx="750">
                  <c:v>0.3733</c:v>
                </c:pt>
                <c:pt idx="751">
                  <c:v>0.3716</c:v>
                </c:pt>
                <c:pt idx="752">
                  <c:v>0.3719</c:v>
                </c:pt>
                <c:pt idx="753">
                  <c:v>0.3732</c:v>
                </c:pt>
                <c:pt idx="754">
                  <c:v>0.3716</c:v>
                </c:pt>
                <c:pt idx="755">
                  <c:v>0.3667</c:v>
                </c:pt>
                <c:pt idx="756">
                  <c:v>0.3627</c:v>
                </c:pt>
                <c:pt idx="757">
                  <c:v>0.3593</c:v>
                </c:pt>
                <c:pt idx="758">
                  <c:v>0.3549</c:v>
                </c:pt>
                <c:pt idx="759">
                  <c:v>0.3539</c:v>
                </c:pt>
                <c:pt idx="760">
                  <c:v>0.3512</c:v>
                </c:pt>
                <c:pt idx="761">
                  <c:v>0.3445</c:v>
                </c:pt>
                <c:pt idx="762">
                  <c:v>0.34</c:v>
                </c:pt>
                <c:pt idx="763">
                  <c:v>0.3382</c:v>
                </c:pt>
                <c:pt idx="764">
                  <c:v>0.3377</c:v>
                </c:pt>
                <c:pt idx="765">
                  <c:v>0.3314</c:v>
                </c:pt>
                <c:pt idx="766">
                  <c:v>0.3213</c:v>
                </c:pt>
                <c:pt idx="767">
                  <c:v>0.3169</c:v>
                </c:pt>
                <c:pt idx="768">
                  <c:v>0.3133</c:v>
                </c:pt>
                <c:pt idx="769">
                  <c:v>0.3208</c:v>
                </c:pt>
                <c:pt idx="770">
                  <c:v>0.3192</c:v>
                </c:pt>
                <c:pt idx="771">
                  <c:v>0.3078</c:v>
                </c:pt>
                <c:pt idx="772">
                  <c:v>0.3039</c:v>
                </c:pt>
                <c:pt idx="773">
                  <c:v>0.3</c:v>
                </c:pt>
                <c:pt idx="774">
                  <c:v>0.3011</c:v>
                </c:pt>
                <c:pt idx="775">
                  <c:v>0.3107</c:v>
                </c:pt>
                <c:pt idx="776">
                  <c:v>0.3105</c:v>
                </c:pt>
                <c:pt idx="777">
                  <c:v>0.2834</c:v>
                </c:pt>
                <c:pt idx="778">
                  <c:v>0.2834</c:v>
                </c:pt>
                <c:pt idx="779">
                  <c:v>0.3204</c:v>
                </c:pt>
                <c:pt idx="780">
                  <c:v>0.3306</c:v>
                </c:pt>
                <c:pt idx="781">
                  <c:v>0.344</c:v>
                </c:pt>
                <c:pt idx="782">
                  <c:v>0.3916</c:v>
                </c:pt>
                <c:pt idx="783">
                  <c:v>0.2873</c:v>
                </c:pt>
                <c:pt idx="784">
                  <c:v>0.1785</c:v>
                </c:pt>
                <c:pt idx="785">
                  <c:v>0.234</c:v>
                </c:pt>
                <c:pt idx="786">
                  <c:v>0.3714</c:v>
                </c:pt>
                <c:pt idx="787">
                  <c:v>0.405</c:v>
                </c:pt>
                <c:pt idx="788">
                  <c:v>0.2902</c:v>
                </c:pt>
                <c:pt idx="789">
                  <c:v>0.2902</c:v>
                </c:pt>
                <c:pt idx="790">
                  <c:v>0.2962</c:v>
                </c:pt>
                <c:pt idx="791">
                  <c:v>0.2565</c:v>
                </c:pt>
                <c:pt idx="792">
                  <c:v>0.2596</c:v>
                </c:pt>
                <c:pt idx="793">
                  <c:v>0.3185</c:v>
                </c:pt>
                <c:pt idx="794">
                  <c:v>0.2895</c:v>
                </c:pt>
                <c:pt idx="795">
                  <c:v>0.2935</c:v>
                </c:pt>
                <c:pt idx="796">
                  <c:v>0.3418</c:v>
                </c:pt>
                <c:pt idx="797">
                  <c:v>0.2669</c:v>
                </c:pt>
                <c:pt idx="798">
                  <c:v>0.3862</c:v>
                </c:pt>
                <c:pt idx="799">
                  <c:v>0.3981</c:v>
                </c:pt>
                <c:pt idx="800">
                  <c:v>0.2565</c:v>
                </c:pt>
              </c:numCache>
            </c:numRef>
          </c:yVal>
          <c:smooth val="1"/>
        </c:ser>
        <c:dLbls>
          <c:showLegendKey val="0"/>
          <c:showVal val="0"/>
          <c:showCatName val="0"/>
          <c:showSerName val="0"/>
          <c:showPercent val="0"/>
          <c:showBubbleSize val="0"/>
        </c:dLbls>
        <c:axId val="2099453416"/>
        <c:axId val="2099459160"/>
      </c:scatterChart>
      <c:valAx>
        <c:axId val="2099453416"/>
        <c:scaling>
          <c:orientation val="minMax"/>
          <c:max val="500.0"/>
          <c:min val="200.0"/>
        </c:scaling>
        <c:delete val="0"/>
        <c:axPos val="b"/>
        <c:title>
          <c:tx>
            <c:rich>
              <a:bodyPr/>
              <a:lstStyle/>
              <a:p>
                <a:pPr>
                  <a:defRPr/>
                </a:pPr>
                <a:r>
                  <a:rPr lang="en-US" sz="1400" dirty="0" smtClean="0"/>
                  <a:t>Wavelength (nm)</a:t>
                </a:r>
                <a:endParaRPr lang="en-US" sz="1400" dirty="0"/>
              </a:p>
            </c:rich>
          </c:tx>
          <c:overlay val="0"/>
        </c:title>
        <c:numFmt formatCode="General" sourceLinked="1"/>
        <c:majorTickMark val="out"/>
        <c:minorTickMark val="none"/>
        <c:tickLblPos val="nextTo"/>
        <c:txPr>
          <a:bodyPr/>
          <a:lstStyle/>
          <a:p>
            <a:pPr>
              <a:defRPr sz="1200"/>
            </a:pPr>
            <a:endParaRPr lang="en-US"/>
          </a:p>
        </c:txPr>
        <c:crossAx val="2099459160"/>
        <c:crosses val="autoZero"/>
        <c:crossBetween val="midCat"/>
      </c:valAx>
      <c:valAx>
        <c:axId val="2099459160"/>
        <c:scaling>
          <c:orientation val="minMax"/>
        </c:scaling>
        <c:delete val="0"/>
        <c:axPos val="l"/>
        <c:title>
          <c:tx>
            <c:rich>
              <a:bodyPr rot="-5400000" vert="horz"/>
              <a:lstStyle/>
              <a:p>
                <a:pPr>
                  <a:defRPr/>
                </a:pPr>
                <a:r>
                  <a:rPr lang="en-US" sz="1400" dirty="0" smtClean="0"/>
                  <a:t>Absorbance</a:t>
                </a:r>
                <a:endParaRPr lang="en-US" sz="1400" dirty="0"/>
              </a:p>
            </c:rich>
          </c:tx>
          <c:overlay val="0"/>
        </c:title>
        <c:numFmt formatCode="General" sourceLinked="1"/>
        <c:majorTickMark val="out"/>
        <c:minorTickMark val="none"/>
        <c:tickLblPos val="nextTo"/>
        <c:txPr>
          <a:bodyPr/>
          <a:lstStyle/>
          <a:p>
            <a:pPr>
              <a:defRPr sz="1200"/>
            </a:pPr>
            <a:endParaRPr lang="en-US"/>
          </a:p>
        </c:txPr>
        <c:crossAx val="2099453416"/>
        <c:crosses val="autoZero"/>
        <c:crossBetween val="midCat"/>
      </c:valAx>
    </c:plotArea>
    <c:legend>
      <c:legendPos val="r"/>
      <c:layout>
        <c:manualLayout>
          <c:xMode val="edge"/>
          <c:yMode val="edge"/>
          <c:x val="0.580719597550306"/>
          <c:y val="0.178981221234646"/>
          <c:w val="0.285887649460484"/>
          <c:h val="0.347869884320015"/>
        </c:manualLayout>
      </c:layout>
      <c:overlay val="1"/>
      <c:txPr>
        <a:bodyPr/>
        <a:lstStyle/>
        <a:p>
          <a:pPr>
            <a:defRPr sz="1200"/>
          </a:pPr>
          <a:endParaRPr lang="en-US"/>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Endogenous</c:v>
          </c:tx>
          <c:spPr>
            <a:ln w="31750">
              <a:solidFill>
                <a:schemeClr val="tx2"/>
              </a:solidFill>
            </a:ln>
          </c:spPr>
          <c:marker>
            <c:symbol val="square"/>
            <c:size val="5"/>
            <c:spPr>
              <a:solidFill>
                <a:schemeClr val="bg1"/>
              </a:solidFill>
            </c:spPr>
          </c:marker>
          <c:errBars>
            <c:errDir val="y"/>
            <c:errBarType val="both"/>
            <c:errValType val="cust"/>
            <c:noEndCap val="0"/>
            <c:plus>
              <c:numRef>
                <c:f>Sheet3!$K$3:$R$3</c:f>
                <c:numCache>
                  <c:formatCode>General</c:formatCode>
                  <c:ptCount val="8"/>
                  <c:pt idx="0">
                    <c:v>1038.34117474923</c:v>
                  </c:pt>
                  <c:pt idx="1">
                    <c:v>667.2578432822064</c:v>
                  </c:pt>
                  <c:pt idx="2">
                    <c:v>114.7325858037877</c:v>
                  </c:pt>
                  <c:pt idx="3">
                    <c:v>358.2243172366569</c:v>
                  </c:pt>
                  <c:pt idx="4">
                    <c:v>358.0</c:v>
                  </c:pt>
                  <c:pt idx="5">
                    <c:v>208.3039255483756</c:v>
                  </c:pt>
                  <c:pt idx="6">
                    <c:v>283.8649465071732</c:v>
                  </c:pt>
                  <c:pt idx="7">
                    <c:v>629.1795874102155</c:v>
                  </c:pt>
                </c:numCache>
              </c:numRef>
            </c:plus>
            <c:minus>
              <c:numRef>
                <c:f>Sheet3!$K$3:$R$3</c:f>
                <c:numCache>
                  <c:formatCode>General</c:formatCode>
                  <c:ptCount val="8"/>
                  <c:pt idx="0">
                    <c:v>1038.34117474923</c:v>
                  </c:pt>
                  <c:pt idx="1">
                    <c:v>667.2578432822064</c:v>
                  </c:pt>
                  <c:pt idx="2">
                    <c:v>114.7325858037877</c:v>
                  </c:pt>
                  <c:pt idx="3">
                    <c:v>358.2243172366569</c:v>
                  </c:pt>
                  <c:pt idx="4">
                    <c:v>358.0</c:v>
                  </c:pt>
                  <c:pt idx="5">
                    <c:v>208.3039255483756</c:v>
                  </c:pt>
                  <c:pt idx="6">
                    <c:v>283.8649465071732</c:v>
                  </c:pt>
                  <c:pt idx="7">
                    <c:v>629.1795874102155</c:v>
                  </c:pt>
                </c:numCache>
              </c:numRef>
            </c:minus>
          </c:errBars>
          <c:xVal>
            <c:numRef>
              <c:f>Sheet2!$B$2:$L$2</c:f>
              <c:numCache>
                <c:formatCode>General</c:formatCode>
                <c:ptCount val="8"/>
                <c:pt idx="0">
                  <c:v>0.0</c:v>
                </c:pt>
                <c:pt idx="1">
                  <c:v>31.0</c:v>
                </c:pt>
                <c:pt idx="2">
                  <c:v>114.0</c:v>
                </c:pt>
                <c:pt idx="3">
                  <c:v>194.0</c:v>
                </c:pt>
                <c:pt idx="4">
                  <c:v>226.0</c:v>
                </c:pt>
                <c:pt idx="5">
                  <c:v>306.0</c:v>
                </c:pt>
                <c:pt idx="6">
                  <c:v>438.0</c:v>
                </c:pt>
                <c:pt idx="7">
                  <c:v>507.0</c:v>
                </c:pt>
              </c:numCache>
            </c:numRef>
          </c:xVal>
          <c:yVal>
            <c:numRef>
              <c:f>Sheet2!$B$4:$L$4</c:f>
              <c:numCache>
                <c:formatCode>General</c:formatCode>
                <c:ptCount val="8"/>
                <c:pt idx="0">
                  <c:v>26518.66646666667</c:v>
                </c:pt>
                <c:pt idx="1">
                  <c:v>28212.04656666667</c:v>
                </c:pt>
                <c:pt idx="2">
                  <c:v>27577.27353333334</c:v>
                </c:pt>
                <c:pt idx="3">
                  <c:v>27699.7584</c:v>
                </c:pt>
                <c:pt idx="4">
                  <c:v>27323.95066666667</c:v>
                </c:pt>
                <c:pt idx="5">
                  <c:v>27553.51966666665</c:v>
                </c:pt>
                <c:pt idx="6">
                  <c:v>29029.76633333333</c:v>
                </c:pt>
                <c:pt idx="7">
                  <c:v>27494.7946</c:v>
                </c:pt>
              </c:numCache>
            </c:numRef>
          </c:yVal>
          <c:smooth val="1"/>
        </c:ser>
        <c:ser>
          <c:idx val="1"/>
          <c:order val="1"/>
          <c:tx>
            <c:v>Lactate</c:v>
          </c:tx>
          <c:spPr>
            <a:ln w="31750">
              <a:solidFill>
                <a:schemeClr val="accent6">
                  <a:lumMod val="75000"/>
                </a:schemeClr>
              </a:solidFill>
            </a:ln>
          </c:spPr>
          <c:marker>
            <c:symbol val="square"/>
            <c:size val="5"/>
            <c:spPr>
              <a:solidFill>
                <a:schemeClr val="bg1"/>
              </a:solidFill>
            </c:spPr>
          </c:marker>
          <c:errBars>
            <c:errDir val="y"/>
            <c:errBarType val="both"/>
            <c:errValType val="cust"/>
            <c:noEndCap val="0"/>
            <c:plus>
              <c:numRef>
                <c:f>Sheet3!$K$4:$R$4</c:f>
                <c:numCache>
                  <c:formatCode>General</c:formatCode>
                  <c:ptCount val="8"/>
                  <c:pt idx="0">
                    <c:v>1878.999863821715</c:v>
                  </c:pt>
                  <c:pt idx="1">
                    <c:v>2868.996016904146</c:v>
                  </c:pt>
                  <c:pt idx="2">
                    <c:v>41.0</c:v>
                  </c:pt>
                  <c:pt idx="3">
                    <c:v>566.5052445513455</c:v>
                  </c:pt>
                  <c:pt idx="4">
                    <c:v>35.38164343158723</c:v>
                  </c:pt>
                  <c:pt idx="5">
                    <c:v>726.9013162870494</c:v>
                  </c:pt>
                  <c:pt idx="6">
                    <c:v>562.4976461582927</c:v>
                  </c:pt>
                  <c:pt idx="7">
                    <c:v>1753.641983117094</c:v>
                  </c:pt>
                </c:numCache>
              </c:numRef>
            </c:plus>
            <c:minus>
              <c:numRef>
                <c:f>Sheet3!$K$4:$R$4</c:f>
                <c:numCache>
                  <c:formatCode>General</c:formatCode>
                  <c:ptCount val="8"/>
                  <c:pt idx="0">
                    <c:v>1878.999863821715</c:v>
                  </c:pt>
                  <c:pt idx="1">
                    <c:v>2868.996016904146</c:v>
                  </c:pt>
                  <c:pt idx="2">
                    <c:v>41.0</c:v>
                  </c:pt>
                  <c:pt idx="3">
                    <c:v>566.5052445513455</c:v>
                  </c:pt>
                  <c:pt idx="4">
                    <c:v>35.38164343158723</c:v>
                  </c:pt>
                  <c:pt idx="5">
                    <c:v>726.9013162870494</c:v>
                  </c:pt>
                  <c:pt idx="6">
                    <c:v>562.4976461582927</c:v>
                  </c:pt>
                  <c:pt idx="7">
                    <c:v>1753.641983117094</c:v>
                  </c:pt>
                </c:numCache>
              </c:numRef>
            </c:minus>
          </c:errBars>
          <c:xVal>
            <c:numRef>
              <c:f>Sheet2!$B$2:$L$2</c:f>
              <c:numCache>
                <c:formatCode>General</c:formatCode>
                <c:ptCount val="8"/>
                <c:pt idx="0">
                  <c:v>0.0</c:v>
                </c:pt>
                <c:pt idx="1">
                  <c:v>31.0</c:v>
                </c:pt>
                <c:pt idx="2">
                  <c:v>114.0</c:v>
                </c:pt>
                <c:pt idx="3">
                  <c:v>194.0</c:v>
                </c:pt>
                <c:pt idx="4">
                  <c:v>226.0</c:v>
                </c:pt>
                <c:pt idx="5">
                  <c:v>306.0</c:v>
                </c:pt>
                <c:pt idx="6">
                  <c:v>438.0</c:v>
                </c:pt>
                <c:pt idx="7">
                  <c:v>507.0</c:v>
                </c:pt>
              </c:numCache>
            </c:numRef>
          </c:xVal>
          <c:yVal>
            <c:numRef>
              <c:f>Sheet2!$B$5:$L$5</c:f>
              <c:numCache>
                <c:formatCode>General</c:formatCode>
                <c:ptCount val="8"/>
                <c:pt idx="0">
                  <c:v>26534.0</c:v>
                </c:pt>
                <c:pt idx="1">
                  <c:v>23422.17283333333</c:v>
                </c:pt>
                <c:pt idx="2">
                  <c:v>12766.50496666667</c:v>
                </c:pt>
                <c:pt idx="3">
                  <c:v>9790.276433333333</c:v>
                </c:pt>
                <c:pt idx="4">
                  <c:v>8970.04326666667</c:v>
                </c:pt>
                <c:pt idx="5">
                  <c:v>8053.983433333327</c:v>
                </c:pt>
                <c:pt idx="6">
                  <c:v>8580.495566666665</c:v>
                </c:pt>
                <c:pt idx="7">
                  <c:v>8165.496533333334</c:v>
                </c:pt>
              </c:numCache>
            </c:numRef>
          </c:yVal>
          <c:smooth val="1"/>
        </c:ser>
        <c:ser>
          <c:idx val="2"/>
          <c:order val="2"/>
          <c:tx>
            <c:v>Sand Patty</c:v>
          </c:tx>
          <c:spPr>
            <a:ln w="31750">
              <a:solidFill>
                <a:schemeClr val="accent4"/>
              </a:solidFill>
            </a:ln>
          </c:spPr>
          <c:marker>
            <c:symbol val="triangle"/>
            <c:size val="5"/>
            <c:spPr>
              <a:solidFill>
                <a:schemeClr val="bg1"/>
              </a:solidFill>
            </c:spPr>
          </c:marker>
          <c:errBars>
            <c:errDir val="y"/>
            <c:errBarType val="both"/>
            <c:errValType val="cust"/>
            <c:noEndCap val="0"/>
            <c:plus>
              <c:numRef>
                <c:f>Sheet3!$K$5:$R$5</c:f>
                <c:numCache>
                  <c:formatCode>General</c:formatCode>
                  <c:ptCount val="8"/>
                  <c:pt idx="0">
                    <c:v>893.9692397001826</c:v>
                  </c:pt>
                  <c:pt idx="1">
                    <c:v>139.5841534874338</c:v>
                  </c:pt>
                  <c:pt idx="2">
                    <c:v>868.709308909818</c:v>
                  </c:pt>
                  <c:pt idx="3">
                    <c:v>227.1702925709247</c:v>
                  </c:pt>
                  <c:pt idx="4">
                    <c:v>656.7626244033393</c:v>
                  </c:pt>
                  <c:pt idx="5">
                    <c:v>619.4726084894502</c:v>
                  </c:pt>
                  <c:pt idx="6">
                    <c:v>1344.282847843968</c:v>
                  </c:pt>
                  <c:pt idx="7">
                    <c:v>528.1681073390592</c:v>
                  </c:pt>
                </c:numCache>
              </c:numRef>
            </c:plus>
            <c:minus>
              <c:numRef>
                <c:f>Sheet3!$K$5:$R$5</c:f>
                <c:numCache>
                  <c:formatCode>General</c:formatCode>
                  <c:ptCount val="8"/>
                  <c:pt idx="0">
                    <c:v>893.9692397001826</c:v>
                  </c:pt>
                  <c:pt idx="1">
                    <c:v>139.5841534874338</c:v>
                  </c:pt>
                  <c:pt idx="2">
                    <c:v>868.709308909818</c:v>
                  </c:pt>
                  <c:pt idx="3">
                    <c:v>227.1702925709247</c:v>
                  </c:pt>
                  <c:pt idx="4">
                    <c:v>656.7626244033393</c:v>
                  </c:pt>
                  <c:pt idx="5">
                    <c:v>619.4726084894502</c:v>
                  </c:pt>
                  <c:pt idx="6">
                    <c:v>1344.282847843968</c:v>
                  </c:pt>
                  <c:pt idx="7">
                    <c:v>528.1681073390592</c:v>
                  </c:pt>
                </c:numCache>
              </c:numRef>
            </c:minus>
          </c:errBars>
          <c:xVal>
            <c:numRef>
              <c:f>Sheet2!$B$2:$L$2</c:f>
              <c:numCache>
                <c:formatCode>General</c:formatCode>
                <c:ptCount val="8"/>
                <c:pt idx="0">
                  <c:v>0.0</c:v>
                </c:pt>
                <c:pt idx="1">
                  <c:v>31.0</c:v>
                </c:pt>
                <c:pt idx="2">
                  <c:v>114.0</c:v>
                </c:pt>
                <c:pt idx="3">
                  <c:v>194.0</c:v>
                </c:pt>
                <c:pt idx="4">
                  <c:v>226.0</c:v>
                </c:pt>
                <c:pt idx="5">
                  <c:v>306.0</c:v>
                </c:pt>
                <c:pt idx="6">
                  <c:v>438.0</c:v>
                </c:pt>
                <c:pt idx="7">
                  <c:v>507.0</c:v>
                </c:pt>
              </c:numCache>
            </c:numRef>
          </c:xVal>
          <c:yVal>
            <c:numRef>
              <c:f>Sheet2!$B$6:$L$6</c:f>
              <c:numCache>
                <c:formatCode>General</c:formatCode>
                <c:ptCount val="8"/>
                <c:pt idx="0">
                  <c:v>27826.45443333333</c:v>
                </c:pt>
                <c:pt idx="1">
                  <c:v>28534.50203333333</c:v>
                </c:pt>
                <c:pt idx="2">
                  <c:v>27384.16656666667</c:v>
                </c:pt>
                <c:pt idx="3">
                  <c:v>28075.2675</c:v>
                </c:pt>
                <c:pt idx="4">
                  <c:v>27648.7918</c:v>
                </c:pt>
                <c:pt idx="5">
                  <c:v>25378.30676666666</c:v>
                </c:pt>
                <c:pt idx="6">
                  <c:v>24833.27943333333</c:v>
                </c:pt>
                <c:pt idx="7">
                  <c:v>24091.2828</c:v>
                </c:pt>
              </c:numCache>
            </c:numRef>
          </c:yVal>
          <c:smooth val="1"/>
        </c:ser>
        <c:ser>
          <c:idx val="3"/>
          <c:order val="3"/>
          <c:tx>
            <c:v>Sterile</c:v>
          </c:tx>
          <c:spPr>
            <a:ln w="31750">
              <a:solidFill>
                <a:schemeClr val="accent5"/>
              </a:solidFill>
            </a:ln>
          </c:spPr>
          <c:marker>
            <c:symbol val="circle"/>
            <c:size val="5"/>
            <c:spPr>
              <a:solidFill>
                <a:schemeClr val="bg1"/>
              </a:solidFill>
            </c:spPr>
          </c:marker>
          <c:errBars>
            <c:errDir val="y"/>
            <c:errBarType val="both"/>
            <c:errValType val="cust"/>
            <c:noEndCap val="0"/>
            <c:plus>
              <c:numRef>
                <c:f>Sheet3!$K$6:$R$6</c:f>
                <c:numCache>
                  <c:formatCode>General</c:formatCode>
                  <c:ptCount val="8"/>
                  <c:pt idx="0">
                    <c:v>735.7802437420368</c:v>
                  </c:pt>
                  <c:pt idx="1">
                    <c:v>253.685070039613</c:v>
                  </c:pt>
                  <c:pt idx="2">
                    <c:v>159.526399403389</c:v>
                  </c:pt>
                  <c:pt idx="3">
                    <c:v>159.526399403389</c:v>
                  </c:pt>
                  <c:pt idx="4">
                    <c:v>167.9610532999532</c:v>
                  </c:pt>
                  <c:pt idx="5">
                    <c:v>355.6967753709525</c:v>
                  </c:pt>
                  <c:pt idx="6">
                    <c:v>329.744421913442</c:v>
                  </c:pt>
                  <c:pt idx="7">
                    <c:v>194.9480589392024</c:v>
                  </c:pt>
                </c:numCache>
              </c:numRef>
            </c:plus>
            <c:minus>
              <c:numRef>
                <c:f>Sheet3!$K$6:$R$6</c:f>
                <c:numCache>
                  <c:formatCode>General</c:formatCode>
                  <c:ptCount val="8"/>
                  <c:pt idx="0">
                    <c:v>735.7802437420368</c:v>
                  </c:pt>
                  <c:pt idx="1">
                    <c:v>253.685070039613</c:v>
                  </c:pt>
                  <c:pt idx="2">
                    <c:v>159.526399403389</c:v>
                  </c:pt>
                  <c:pt idx="3">
                    <c:v>159.526399403389</c:v>
                  </c:pt>
                  <c:pt idx="4">
                    <c:v>167.9610532999532</c:v>
                  </c:pt>
                  <c:pt idx="5">
                    <c:v>355.6967753709525</c:v>
                  </c:pt>
                  <c:pt idx="6">
                    <c:v>329.744421913442</c:v>
                  </c:pt>
                  <c:pt idx="7">
                    <c:v>194.9480589392024</c:v>
                  </c:pt>
                </c:numCache>
              </c:numRef>
            </c:minus>
          </c:errBars>
          <c:xVal>
            <c:numRef>
              <c:f>Sheet2!$B$2:$L$2</c:f>
              <c:numCache>
                <c:formatCode>General</c:formatCode>
                <c:ptCount val="8"/>
                <c:pt idx="0">
                  <c:v>0.0</c:v>
                </c:pt>
                <c:pt idx="1">
                  <c:v>31.0</c:v>
                </c:pt>
                <c:pt idx="2">
                  <c:v>114.0</c:v>
                </c:pt>
                <c:pt idx="3">
                  <c:v>194.0</c:v>
                </c:pt>
                <c:pt idx="4">
                  <c:v>226.0</c:v>
                </c:pt>
                <c:pt idx="5">
                  <c:v>306.0</c:v>
                </c:pt>
                <c:pt idx="6">
                  <c:v>438.0</c:v>
                </c:pt>
                <c:pt idx="7">
                  <c:v>507.0</c:v>
                </c:pt>
              </c:numCache>
            </c:numRef>
          </c:xVal>
          <c:yVal>
            <c:numRef>
              <c:f>Sheet2!$B$7:$L$7</c:f>
              <c:numCache>
                <c:formatCode>General</c:formatCode>
                <c:ptCount val="8"/>
                <c:pt idx="0">
                  <c:v>27997.0664</c:v>
                </c:pt>
                <c:pt idx="1">
                  <c:v>28398.14616666667</c:v>
                </c:pt>
                <c:pt idx="2">
                  <c:v>29044.404</c:v>
                </c:pt>
                <c:pt idx="3">
                  <c:v>29044.404</c:v>
                </c:pt>
                <c:pt idx="4">
                  <c:v>29621.5422</c:v>
                </c:pt>
                <c:pt idx="5">
                  <c:v>27192.1276</c:v>
                </c:pt>
                <c:pt idx="6">
                  <c:v>29441.23136666666</c:v>
                </c:pt>
                <c:pt idx="7">
                  <c:v>28467.4407</c:v>
                </c:pt>
              </c:numCache>
            </c:numRef>
          </c:yVal>
          <c:smooth val="1"/>
        </c:ser>
        <c:ser>
          <c:idx val="4"/>
          <c:order val="4"/>
          <c:tx>
            <c:v>Sterile + Tarball</c:v>
          </c:tx>
          <c:spPr>
            <a:ln w="31750">
              <a:solidFill>
                <a:schemeClr val="bg2">
                  <a:lumMod val="50000"/>
                </a:schemeClr>
              </a:solidFill>
            </a:ln>
          </c:spPr>
          <c:marker>
            <c:symbol val="diamond"/>
            <c:size val="5"/>
            <c:spPr>
              <a:solidFill>
                <a:schemeClr val="bg1"/>
              </a:solidFill>
              <a:ln w="9525"/>
            </c:spPr>
          </c:marker>
          <c:errBars>
            <c:errDir val="y"/>
            <c:errBarType val="both"/>
            <c:errValType val="cust"/>
            <c:noEndCap val="0"/>
            <c:plus>
              <c:numRef>
                <c:f>Sheet3!$K$7:$R$7</c:f>
                <c:numCache>
                  <c:formatCode>General</c:formatCode>
                  <c:ptCount val="8"/>
                  <c:pt idx="0">
                    <c:v>567.8711246819844</c:v>
                  </c:pt>
                  <c:pt idx="1">
                    <c:v>1775.651373167624</c:v>
                  </c:pt>
                  <c:pt idx="2">
                    <c:v>1846.470944247329</c:v>
                  </c:pt>
                  <c:pt idx="3">
                    <c:v>1846.470944247329</c:v>
                  </c:pt>
                  <c:pt idx="4">
                    <c:v>1758.155647999943</c:v>
                  </c:pt>
                  <c:pt idx="5">
                    <c:v>2472.539183641467</c:v>
                  </c:pt>
                  <c:pt idx="6">
                    <c:v>1842.356221655302</c:v>
                  </c:pt>
                  <c:pt idx="7">
                    <c:v>1793.54501847554</c:v>
                  </c:pt>
                </c:numCache>
              </c:numRef>
            </c:plus>
            <c:minus>
              <c:numRef>
                <c:f>Sheet3!$K$7:$R$7</c:f>
                <c:numCache>
                  <c:formatCode>General</c:formatCode>
                  <c:ptCount val="8"/>
                  <c:pt idx="0">
                    <c:v>567.8711246819844</c:v>
                  </c:pt>
                  <c:pt idx="1">
                    <c:v>1775.651373167624</c:v>
                  </c:pt>
                  <c:pt idx="2">
                    <c:v>1846.470944247329</c:v>
                  </c:pt>
                  <c:pt idx="3">
                    <c:v>1846.470944247329</c:v>
                  </c:pt>
                  <c:pt idx="4">
                    <c:v>1758.155647999943</c:v>
                  </c:pt>
                  <c:pt idx="5">
                    <c:v>2472.539183641467</c:v>
                  </c:pt>
                  <c:pt idx="6">
                    <c:v>1842.356221655302</c:v>
                  </c:pt>
                  <c:pt idx="7">
                    <c:v>1793.54501847554</c:v>
                  </c:pt>
                </c:numCache>
              </c:numRef>
            </c:minus>
          </c:errBars>
          <c:xVal>
            <c:numRef>
              <c:f>Sheet2!$B$2:$L$2</c:f>
              <c:numCache>
                <c:formatCode>General</c:formatCode>
                <c:ptCount val="8"/>
                <c:pt idx="0">
                  <c:v>0.0</c:v>
                </c:pt>
                <c:pt idx="1">
                  <c:v>31.0</c:v>
                </c:pt>
                <c:pt idx="2">
                  <c:v>114.0</c:v>
                </c:pt>
                <c:pt idx="3">
                  <c:v>194.0</c:v>
                </c:pt>
                <c:pt idx="4">
                  <c:v>226.0</c:v>
                </c:pt>
                <c:pt idx="5">
                  <c:v>306.0</c:v>
                </c:pt>
                <c:pt idx="6">
                  <c:v>438.0</c:v>
                </c:pt>
                <c:pt idx="7">
                  <c:v>507.0</c:v>
                </c:pt>
              </c:numCache>
            </c:numRef>
          </c:xVal>
          <c:yVal>
            <c:numRef>
              <c:f>Sheet2!$B$8:$L$8</c:f>
              <c:numCache>
                <c:formatCode>General</c:formatCode>
                <c:ptCount val="8"/>
                <c:pt idx="0">
                  <c:v>26907.46783333333</c:v>
                </c:pt>
                <c:pt idx="1">
                  <c:v>29738.3575</c:v>
                </c:pt>
                <c:pt idx="2">
                  <c:v>30499.44693333334</c:v>
                </c:pt>
                <c:pt idx="3">
                  <c:v>30499.44693333334</c:v>
                </c:pt>
                <c:pt idx="4">
                  <c:v>30436.22236666667</c:v>
                </c:pt>
                <c:pt idx="5">
                  <c:v>28163.47883333333</c:v>
                </c:pt>
                <c:pt idx="6">
                  <c:v>30479.0</c:v>
                </c:pt>
                <c:pt idx="7">
                  <c:v>29893.36003333333</c:v>
                </c:pt>
              </c:numCache>
            </c:numRef>
          </c:yVal>
          <c:smooth val="1"/>
        </c:ser>
        <c:dLbls>
          <c:showLegendKey val="0"/>
          <c:showVal val="0"/>
          <c:showCatName val="0"/>
          <c:showSerName val="0"/>
          <c:showPercent val="0"/>
          <c:showBubbleSize val="0"/>
        </c:dLbls>
        <c:axId val="2079988872"/>
        <c:axId val="2079994360"/>
      </c:scatterChart>
      <c:valAx>
        <c:axId val="2079988872"/>
        <c:scaling>
          <c:orientation val="minMax"/>
        </c:scaling>
        <c:delete val="0"/>
        <c:axPos val="b"/>
        <c:title>
          <c:tx>
            <c:rich>
              <a:bodyPr/>
              <a:lstStyle/>
              <a:p>
                <a:pPr>
                  <a:defRPr/>
                </a:pPr>
                <a:r>
                  <a:rPr lang="en-US"/>
                  <a:t>Time (days)</a:t>
                </a:r>
              </a:p>
            </c:rich>
          </c:tx>
          <c:layout/>
          <c:overlay val="0"/>
        </c:title>
        <c:numFmt formatCode="General" sourceLinked="1"/>
        <c:majorTickMark val="out"/>
        <c:minorTickMark val="none"/>
        <c:tickLblPos val="nextTo"/>
        <c:crossAx val="2079994360"/>
        <c:crosses val="autoZero"/>
        <c:crossBetween val="midCat"/>
      </c:valAx>
      <c:valAx>
        <c:axId val="2079994360"/>
        <c:scaling>
          <c:orientation val="minMax"/>
        </c:scaling>
        <c:delete val="0"/>
        <c:axPos val="l"/>
        <c:title>
          <c:tx>
            <c:rich>
              <a:bodyPr rot="-5400000" vert="horz"/>
              <a:lstStyle/>
              <a:p>
                <a:pPr>
                  <a:defRPr/>
                </a:pPr>
                <a:r>
                  <a:rPr lang="en-US" dirty="0" smtClean="0"/>
                  <a:t>SO</a:t>
                </a:r>
                <a:r>
                  <a:rPr lang="en-US" baseline="-25000" dirty="0" smtClean="0"/>
                  <a:t>4</a:t>
                </a:r>
                <a:r>
                  <a:rPr lang="en-US" baseline="30000" dirty="0" smtClean="0"/>
                  <a:t>2-</a:t>
                </a:r>
                <a:r>
                  <a:rPr lang="en-US" dirty="0" smtClean="0"/>
                  <a:t> </a:t>
                </a:r>
                <a:r>
                  <a:rPr lang="en-US" dirty="0"/>
                  <a:t>(</a:t>
                </a:r>
                <a:r>
                  <a:rPr lang="en-US" dirty="0" err="1"/>
                  <a:t>mM</a:t>
                </a:r>
                <a:r>
                  <a:rPr lang="en-US" dirty="0"/>
                  <a:t>)</a:t>
                </a:r>
              </a:p>
            </c:rich>
          </c:tx>
          <c:layout/>
          <c:overlay val="0"/>
        </c:title>
        <c:numFmt formatCode="General" sourceLinked="1"/>
        <c:majorTickMark val="out"/>
        <c:minorTickMark val="none"/>
        <c:tickLblPos val="nextTo"/>
        <c:crossAx val="2079988872"/>
        <c:crosses val="autoZero"/>
        <c:crossBetween val="midCat"/>
        <c:dispUnits>
          <c:builtInUnit val="thousands"/>
        </c:dispUnits>
      </c:valAx>
    </c:plotArea>
    <c:legend>
      <c:legendPos val="r"/>
      <c:layout>
        <c:manualLayout>
          <c:xMode val="edge"/>
          <c:yMode val="edge"/>
          <c:x val="0.667737095363079"/>
          <c:y val="0.345087705065494"/>
          <c:w val="0.218859689413823"/>
          <c:h val="0.284502978921448"/>
        </c:manualLayout>
      </c:layout>
      <c:overlay val="1"/>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Native</c:v>
          </c:tx>
          <c:spPr>
            <a:ln w="31750"/>
          </c:spPr>
          <c:marker>
            <c:symbol val="diamond"/>
            <c:size val="5"/>
            <c:spPr>
              <a:solidFill>
                <a:schemeClr val="bg1"/>
              </a:solidFill>
            </c:spPr>
          </c:marker>
          <c:errBars>
            <c:errDir val="y"/>
            <c:errBarType val="both"/>
            <c:errValType val="cust"/>
            <c:noEndCap val="0"/>
            <c:plus>
              <c:numRef>
                <c:f>Sheet3!$I$12:$N$12</c:f>
                <c:numCache>
                  <c:formatCode>General</c:formatCode>
                  <c:ptCount val="6"/>
                  <c:pt idx="0">
                    <c:v>0.354777797870483</c:v>
                  </c:pt>
                  <c:pt idx="1">
                    <c:v>0.575545248727964</c:v>
                  </c:pt>
                  <c:pt idx="2">
                    <c:v>0.697617108288115</c:v>
                  </c:pt>
                  <c:pt idx="3">
                    <c:v>0.103361813023008</c:v>
                  </c:pt>
                  <c:pt idx="4">
                    <c:v>0.354777797870483</c:v>
                  </c:pt>
                  <c:pt idx="5">
                    <c:v>0.575545248727964</c:v>
                  </c:pt>
                </c:numCache>
              </c:numRef>
            </c:plus>
            <c:minus>
              <c:numRef>
                <c:f>Sheet3!$I$12:$N$12</c:f>
                <c:numCache>
                  <c:formatCode>General</c:formatCode>
                  <c:ptCount val="6"/>
                  <c:pt idx="0">
                    <c:v>0.354777797870483</c:v>
                  </c:pt>
                  <c:pt idx="1">
                    <c:v>0.575545248727964</c:v>
                  </c:pt>
                  <c:pt idx="2">
                    <c:v>0.697617108288115</c:v>
                  </c:pt>
                  <c:pt idx="3">
                    <c:v>0.103361813023008</c:v>
                  </c:pt>
                  <c:pt idx="4">
                    <c:v>0.354777797870483</c:v>
                  </c:pt>
                  <c:pt idx="5">
                    <c:v>0.575545248727964</c:v>
                  </c:pt>
                </c:numCache>
              </c:numRef>
            </c:minus>
          </c:errBars>
          <c:xVal>
            <c:numRef>
              <c:f>Sheet3!$I$1:$N$1</c:f>
              <c:numCache>
                <c:formatCode>General</c:formatCode>
                <c:ptCount val="6"/>
                <c:pt idx="0">
                  <c:v>0.0</c:v>
                </c:pt>
                <c:pt idx="1">
                  <c:v>27.0</c:v>
                </c:pt>
                <c:pt idx="2">
                  <c:v>56.0</c:v>
                </c:pt>
                <c:pt idx="3">
                  <c:v>90.0</c:v>
                </c:pt>
                <c:pt idx="4">
                  <c:v>131.0</c:v>
                </c:pt>
                <c:pt idx="5">
                  <c:v>216.0</c:v>
                </c:pt>
              </c:numCache>
            </c:numRef>
          </c:xVal>
          <c:yVal>
            <c:numRef>
              <c:f>Sheet3!$I$3:$N$3</c:f>
              <c:numCache>
                <c:formatCode>General</c:formatCode>
                <c:ptCount val="6"/>
                <c:pt idx="0">
                  <c:v>22.634</c:v>
                </c:pt>
                <c:pt idx="1">
                  <c:v>21.873</c:v>
                </c:pt>
                <c:pt idx="2">
                  <c:v>21.5656579</c:v>
                </c:pt>
                <c:pt idx="3">
                  <c:v>21.16726135</c:v>
                </c:pt>
                <c:pt idx="4">
                  <c:v>20.8972959</c:v>
                </c:pt>
                <c:pt idx="5" formatCode="0.00">
                  <c:v>20.81</c:v>
                </c:pt>
              </c:numCache>
            </c:numRef>
          </c:yVal>
          <c:smooth val="1"/>
        </c:ser>
        <c:ser>
          <c:idx val="1"/>
          <c:order val="1"/>
          <c:tx>
            <c:v>Irradiated</c:v>
          </c:tx>
          <c:spPr>
            <a:ln w="31750">
              <a:solidFill>
                <a:srgbClr val="800000"/>
              </a:solidFill>
            </a:ln>
          </c:spPr>
          <c:marker>
            <c:symbol val="circle"/>
            <c:size val="5"/>
            <c:spPr>
              <a:solidFill>
                <a:schemeClr val="bg1"/>
              </a:solidFill>
              <a:ln>
                <a:solidFill>
                  <a:srgbClr val="800000"/>
                </a:solidFill>
              </a:ln>
            </c:spPr>
          </c:marker>
          <c:errBars>
            <c:errDir val="y"/>
            <c:errBarType val="both"/>
            <c:errValType val="cust"/>
            <c:noEndCap val="0"/>
            <c:plus>
              <c:numRef>
                <c:f>Sheet3!$I$13:$N$13</c:f>
                <c:numCache>
                  <c:formatCode>General</c:formatCode>
                  <c:ptCount val="6"/>
                  <c:pt idx="0">
                    <c:v>0.490530877032558</c:v>
                  </c:pt>
                  <c:pt idx="1">
                    <c:v>0.153910708945977</c:v>
                  </c:pt>
                  <c:pt idx="2">
                    <c:v>0.3266821553444</c:v>
                  </c:pt>
                  <c:pt idx="3">
                    <c:v>0.3266821553444</c:v>
                  </c:pt>
                  <c:pt idx="4">
                    <c:v>0.490530877032558</c:v>
                  </c:pt>
                  <c:pt idx="5">
                    <c:v>1.042982502250156</c:v>
                  </c:pt>
                </c:numCache>
              </c:numRef>
            </c:plus>
            <c:minus>
              <c:numRef>
                <c:f>Sheet3!$I$13:$N$13</c:f>
                <c:numCache>
                  <c:formatCode>General</c:formatCode>
                  <c:ptCount val="6"/>
                  <c:pt idx="0">
                    <c:v>0.490530877032558</c:v>
                  </c:pt>
                  <c:pt idx="1">
                    <c:v>0.153910708945977</c:v>
                  </c:pt>
                  <c:pt idx="2">
                    <c:v>0.3266821553444</c:v>
                  </c:pt>
                  <c:pt idx="3">
                    <c:v>0.3266821553444</c:v>
                  </c:pt>
                  <c:pt idx="4">
                    <c:v>0.490530877032558</c:v>
                  </c:pt>
                  <c:pt idx="5">
                    <c:v>1.042982502250156</c:v>
                  </c:pt>
                </c:numCache>
              </c:numRef>
            </c:minus>
          </c:errBars>
          <c:xVal>
            <c:numRef>
              <c:f>Sheet3!$I$1:$N$1</c:f>
              <c:numCache>
                <c:formatCode>General</c:formatCode>
                <c:ptCount val="6"/>
                <c:pt idx="0">
                  <c:v>0.0</c:v>
                </c:pt>
                <c:pt idx="1">
                  <c:v>27.0</c:v>
                </c:pt>
                <c:pt idx="2">
                  <c:v>56.0</c:v>
                </c:pt>
                <c:pt idx="3">
                  <c:v>90.0</c:v>
                </c:pt>
                <c:pt idx="4">
                  <c:v>131.0</c:v>
                </c:pt>
                <c:pt idx="5">
                  <c:v>216.0</c:v>
                </c:pt>
              </c:numCache>
            </c:numRef>
          </c:xVal>
          <c:yVal>
            <c:numRef>
              <c:f>Sheet3!$I$4:$N$4</c:f>
              <c:numCache>
                <c:formatCode>General</c:formatCode>
                <c:ptCount val="6"/>
                <c:pt idx="0">
                  <c:v>21.634</c:v>
                </c:pt>
                <c:pt idx="1">
                  <c:v>22.891</c:v>
                </c:pt>
                <c:pt idx="2">
                  <c:v>21.51672173333332</c:v>
                </c:pt>
                <c:pt idx="3">
                  <c:v>21.51672173333332</c:v>
                </c:pt>
                <c:pt idx="4">
                  <c:v>22.6269623</c:v>
                </c:pt>
                <c:pt idx="5" formatCode="0.00">
                  <c:v>22.7412</c:v>
                </c:pt>
              </c:numCache>
            </c:numRef>
          </c:yVal>
          <c:smooth val="1"/>
        </c:ser>
        <c:ser>
          <c:idx val="2"/>
          <c:order val="2"/>
          <c:tx>
            <c:v>Dark</c:v>
          </c:tx>
          <c:spPr>
            <a:ln w="31750">
              <a:solidFill>
                <a:schemeClr val="accent3"/>
              </a:solidFill>
            </a:ln>
          </c:spPr>
          <c:marker>
            <c:symbol val="triangle"/>
            <c:size val="5"/>
            <c:spPr>
              <a:solidFill>
                <a:schemeClr val="bg1"/>
              </a:solidFill>
              <a:ln>
                <a:solidFill>
                  <a:schemeClr val="accent3"/>
                </a:solidFill>
              </a:ln>
            </c:spPr>
          </c:marker>
          <c:xVal>
            <c:numRef>
              <c:f>Sheet3!$I$1:$N$1</c:f>
              <c:numCache>
                <c:formatCode>General</c:formatCode>
                <c:ptCount val="6"/>
                <c:pt idx="0">
                  <c:v>0.0</c:v>
                </c:pt>
                <c:pt idx="1">
                  <c:v>27.0</c:v>
                </c:pt>
                <c:pt idx="2">
                  <c:v>56.0</c:v>
                </c:pt>
                <c:pt idx="3">
                  <c:v>90.0</c:v>
                </c:pt>
                <c:pt idx="4">
                  <c:v>131.0</c:v>
                </c:pt>
                <c:pt idx="5">
                  <c:v>216.0</c:v>
                </c:pt>
              </c:numCache>
            </c:numRef>
          </c:xVal>
          <c:yVal>
            <c:numRef>
              <c:f>Sheet3!$I$5:$N$5</c:f>
              <c:numCache>
                <c:formatCode>General</c:formatCode>
                <c:ptCount val="6"/>
                <c:pt idx="0">
                  <c:v>21.363</c:v>
                </c:pt>
                <c:pt idx="1">
                  <c:v>20.984</c:v>
                </c:pt>
                <c:pt idx="2">
                  <c:v>21.34050383333326</c:v>
                </c:pt>
                <c:pt idx="3">
                  <c:v>21.34050383333326</c:v>
                </c:pt>
                <c:pt idx="4">
                  <c:v>21.3676079</c:v>
                </c:pt>
                <c:pt idx="5" formatCode="0.00">
                  <c:v>21.467</c:v>
                </c:pt>
              </c:numCache>
            </c:numRef>
          </c:yVal>
          <c:smooth val="1"/>
        </c:ser>
        <c:ser>
          <c:idx val="3"/>
          <c:order val="3"/>
          <c:tx>
            <c:v>Sand Patty</c:v>
          </c:tx>
          <c:spPr>
            <a:ln w="31750">
              <a:solidFill>
                <a:schemeClr val="accent4">
                  <a:lumMod val="75000"/>
                </a:schemeClr>
              </a:solidFill>
            </a:ln>
          </c:spPr>
          <c:marker>
            <c:symbol val="square"/>
            <c:size val="5"/>
            <c:spPr>
              <a:solidFill>
                <a:schemeClr val="bg1"/>
              </a:solidFill>
            </c:spPr>
          </c:marker>
          <c:errBars>
            <c:errDir val="y"/>
            <c:errBarType val="both"/>
            <c:errValType val="cust"/>
            <c:noEndCap val="0"/>
            <c:plus>
              <c:numRef>
                <c:f>Sheet3!$I$15:$N$15</c:f>
                <c:numCache>
                  <c:formatCode>General</c:formatCode>
                  <c:ptCount val="6"/>
                  <c:pt idx="0">
                    <c:v>0.0752502826193356</c:v>
                  </c:pt>
                  <c:pt idx="1">
                    <c:v>0.496185049485907</c:v>
                  </c:pt>
                  <c:pt idx="2">
                    <c:v>0.379430778441246</c:v>
                  </c:pt>
                  <c:pt idx="3">
                    <c:v>0.379430778441246</c:v>
                  </c:pt>
                  <c:pt idx="4">
                    <c:v>0.0752502826193356</c:v>
                  </c:pt>
                  <c:pt idx="5">
                    <c:v>0.496185049485907</c:v>
                  </c:pt>
                </c:numCache>
              </c:numRef>
            </c:plus>
            <c:minus>
              <c:numRef>
                <c:f>Sheet3!$I$15:$N$15</c:f>
                <c:numCache>
                  <c:formatCode>General</c:formatCode>
                  <c:ptCount val="6"/>
                  <c:pt idx="0">
                    <c:v>0.0752502826193356</c:v>
                  </c:pt>
                  <c:pt idx="1">
                    <c:v>0.496185049485907</c:v>
                  </c:pt>
                  <c:pt idx="2">
                    <c:v>0.379430778441246</c:v>
                  </c:pt>
                  <c:pt idx="3">
                    <c:v>0.379430778441246</c:v>
                  </c:pt>
                  <c:pt idx="4">
                    <c:v>0.0752502826193356</c:v>
                  </c:pt>
                  <c:pt idx="5">
                    <c:v>0.496185049485907</c:v>
                  </c:pt>
                </c:numCache>
              </c:numRef>
            </c:minus>
          </c:errBars>
          <c:xVal>
            <c:numRef>
              <c:f>Sheet3!$I$1:$N$1</c:f>
              <c:numCache>
                <c:formatCode>General</c:formatCode>
                <c:ptCount val="6"/>
                <c:pt idx="0">
                  <c:v>0.0</c:v>
                </c:pt>
                <c:pt idx="1">
                  <c:v>27.0</c:v>
                </c:pt>
                <c:pt idx="2">
                  <c:v>56.0</c:v>
                </c:pt>
                <c:pt idx="3">
                  <c:v>90.0</c:v>
                </c:pt>
                <c:pt idx="4">
                  <c:v>131.0</c:v>
                </c:pt>
                <c:pt idx="5">
                  <c:v>216.0</c:v>
                </c:pt>
              </c:numCache>
            </c:numRef>
          </c:xVal>
          <c:yVal>
            <c:numRef>
              <c:f>Sheet3!$I$6:$N$6</c:f>
              <c:numCache>
                <c:formatCode>General</c:formatCode>
                <c:ptCount val="6"/>
                <c:pt idx="0">
                  <c:v>22.134</c:v>
                </c:pt>
                <c:pt idx="1">
                  <c:v>23.001</c:v>
                </c:pt>
                <c:pt idx="2">
                  <c:v>22.0092088</c:v>
                </c:pt>
                <c:pt idx="3">
                  <c:v>22.0092088</c:v>
                </c:pt>
                <c:pt idx="4">
                  <c:v>21.711964</c:v>
                </c:pt>
                <c:pt idx="5">
                  <c:v>21.893</c:v>
                </c:pt>
              </c:numCache>
            </c:numRef>
          </c:yVal>
          <c:smooth val="1"/>
        </c:ser>
        <c:ser>
          <c:idx val="4"/>
          <c:order val="4"/>
          <c:tx>
            <c:v>Sterile</c:v>
          </c:tx>
          <c:spPr>
            <a:ln w="31750">
              <a:solidFill>
                <a:schemeClr val="accent5"/>
              </a:solidFill>
            </a:ln>
          </c:spPr>
          <c:marker>
            <c:symbol val="triangle"/>
            <c:size val="5"/>
            <c:spPr>
              <a:solidFill>
                <a:schemeClr val="bg1"/>
              </a:solidFill>
              <a:ln>
                <a:solidFill>
                  <a:schemeClr val="accent5"/>
                </a:solidFill>
              </a:ln>
            </c:spPr>
          </c:marker>
          <c:errBars>
            <c:errDir val="y"/>
            <c:errBarType val="both"/>
            <c:errValType val="cust"/>
            <c:noEndCap val="0"/>
            <c:plus>
              <c:numRef>
                <c:f>Sheet3!$I$16:$N$16</c:f>
                <c:numCache>
                  <c:formatCode>General</c:formatCode>
                  <c:ptCount val="6"/>
                  <c:pt idx="0">
                    <c:v>0.153910708945977</c:v>
                  </c:pt>
                  <c:pt idx="1">
                    <c:v>0.448899023537959</c:v>
                  </c:pt>
                  <c:pt idx="2">
                    <c:v>0.490530877032558</c:v>
                  </c:pt>
                  <c:pt idx="3">
                    <c:v>0.482</c:v>
                  </c:pt>
                  <c:pt idx="4">
                    <c:v>0.153910708945977</c:v>
                  </c:pt>
                  <c:pt idx="5">
                    <c:v>0.448899023537959</c:v>
                  </c:pt>
                </c:numCache>
              </c:numRef>
            </c:plus>
            <c:minus>
              <c:numRef>
                <c:f>Sheet3!$I$16:$N$16</c:f>
                <c:numCache>
                  <c:formatCode>General</c:formatCode>
                  <c:ptCount val="6"/>
                  <c:pt idx="0">
                    <c:v>0.153910708945977</c:v>
                  </c:pt>
                  <c:pt idx="1">
                    <c:v>0.448899023537959</c:v>
                  </c:pt>
                  <c:pt idx="2">
                    <c:v>0.490530877032558</c:v>
                  </c:pt>
                  <c:pt idx="3">
                    <c:v>0.482</c:v>
                  </c:pt>
                  <c:pt idx="4">
                    <c:v>0.153910708945977</c:v>
                  </c:pt>
                  <c:pt idx="5">
                    <c:v>0.448899023537959</c:v>
                  </c:pt>
                </c:numCache>
              </c:numRef>
            </c:minus>
          </c:errBars>
          <c:xVal>
            <c:numRef>
              <c:f>Sheet3!$I$1:$N$1</c:f>
              <c:numCache>
                <c:formatCode>General</c:formatCode>
                <c:ptCount val="6"/>
                <c:pt idx="0">
                  <c:v>0.0</c:v>
                </c:pt>
                <c:pt idx="1">
                  <c:v>27.0</c:v>
                </c:pt>
                <c:pt idx="2">
                  <c:v>56.0</c:v>
                </c:pt>
                <c:pt idx="3">
                  <c:v>90.0</c:v>
                </c:pt>
                <c:pt idx="4">
                  <c:v>131.0</c:v>
                </c:pt>
                <c:pt idx="5">
                  <c:v>216.0</c:v>
                </c:pt>
              </c:numCache>
            </c:numRef>
          </c:xVal>
          <c:yVal>
            <c:numRef>
              <c:f>Sheet3!$I$7:$N$7</c:f>
              <c:numCache>
                <c:formatCode>General</c:formatCode>
                <c:ptCount val="6"/>
                <c:pt idx="0">
                  <c:v>23.242</c:v>
                </c:pt>
                <c:pt idx="1">
                  <c:v>22.001</c:v>
                </c:pt>
                <c:pt idx="2">
                  <c:v>22.7068359</c:v>
                </c:pt>
                <c:pt idx="3">
                  <c:v>22.7068359</c:v>
                </c:pt>
                <c:pt idx="4">
                  <c:v>22.20963193333326</c:v>
                </c:pt>
                <c:pt idx="5">
                  <c:v>22.489</c:v>
                </c:pt>
              </c:numCache>
            </c:numRef>
          </c:yVal>
          <c:smooth val="1"/>
        </c:ser>
        <c:ser>
          <c:idx val="5"/>
          <c:order val="5"/>
          <c:tx>
            <c:v>Lactate</c:v>
          </c:tx>
          <c:spPr>
            <a:ln w="31750">
              <a:solidFill>
                <a:schemeClr val="accent6">
                  <a:lumMod val="75000"/>
                </a:schemeClr>
              </a:solidFill>
            </a:ln>
          </c:spPr>
          <c:marker>
            <c:symbol val="circle"/>
            <c:size val="5"/>
            <c:spPr>
              <a:solidFill>
                <a:schemeClr val="bg1"/>
              </a:solidFill>
            </c:spPr>
          </c:marker>
          <c:errBars>
            <c:errDir val="y"/>
            <c:errBarType val="both"/>
            <c:errValType val="cust"/>
            <c:noEndCap val="0"/>
            <c:plus>
              <c:numRef>
                <c:f>Sheet3!$I$17:$N$17</c:f>
                <c:numCache>
                  <c:formatCode>General</c:formatCode>
                  <c:ptCount val="6"/>
                  <c:pt idx="0">
                    <c:v>0.960676088088365</c:v>
                  </c:pt>
                  <c:pt idx="1">
                    <c:v>0.960676088088365</c:v>
                  </c:pt>
                  <c:pt idx="2">
                    <c:v>2.751749031079753</c:v>
                  </c:pt>
                  <c:pt idx="3">
                    <c:v>1.234</c:v>
                  </c:pt>
                  <c:pt idx="4">
                    <c:v>0.64182053131841</c:v>
                  </c:pt>
                  <c:pt idx="5">
                    <c:v>0.0636396103067892</c:v>
                  </c:pt>
                </c:numCache>
              </c:numRef>
            </c:plus>
            <c:minus>
              <c:numRef>
                <c:f>Sheet3!$I$17:$N$17</c:f>
                <c:numCache>
                  <c:formatCode>General</c:formatCode>
                  <c:ptCount val="6"/>
                  <c:pt idx="0">
                    <c:v>0.960676088088365</c:v>
                  </c:pt>
                  <c:pt idx="1">
                    <c:v>0.960676088088365</c:v>
                  </c:pt>
                  <c:pt idx="2">
                    <c:v>2.751749031079753</c:v>
                  </c:pt>
                  <c:pt idx="3">
                    <c:v>1.234</c:v>
                  </c:pt>
                  <c:pt idx="4">
                    <c:v>0.64182053131841</c:v>
                  </c:pt>
                  <c:pt idx="5">
                    <c:v>0.0636396103067892</c:v>
                  </c:pt>
                </c:numCache>
              </c:numRef>
            </c:minus>
          </c:errBars>
          <c:xVal>
            <c:numRef>
              <c:f>Sheet3!$I$1:$N$1</c:f>
              <c:numCache>
                <c:formatCode>General</c:formatCode>
                <c:ptCount val="6"/>
                <c:pt idx="0">
                  <c:v>0.0</c:v>
                </c:pt>
                <c:pt idx="1">
                  <c:v>27.0</c:v>
                </c:pt>
                <c:pt idx="2">
                  <c:v>56.0</c:v>
                </c:pt>
                <c:pt idx="3">
                  <c:v>90.0</c:v>
                </c:pt>
                <c:pt idx="4">
                  <c:v>131.0</c:v>
                </c:pt>
                <c:pt idx="5">
                  <c:v>216.0</c:v>
                </c:pt>
              </c:numCache>
            </c:numRef>
          </c:xVal>
          <c:yVal>
            <c:numRef>
              <c:f>Sheet3!$I$8:$N$8</c:f>
              <c:numCache>
                <c:formatCode>General</c:formatCode>
                <c:ptCount val="6"/>
                <c:pt idx="0">
                  <c:v>22.231</c:v>
                </c:pt>
                <c:pt idx="1">
                  <c:v>21.984</c:v>
                </c:pt>
                <c:pt idx="2">
                  <c:v>21.457</c:v>
                </c:pt>
                <c:pt idx="3">
                  <c:v>17.834</c:v>
                </c:pt>
                <c:pt idx="4">
                  <c:v>15.93900115</c:v>
                </c:pt>
                <c:pt idx="5">
                  <c:v>16.012</c:v>
                </c:pt>
              </c:numCache>
            </c:numRef>
          </c:yVal>
          <c:smooth val="1"/>
        </c:ser>
        <c:dLbls>
          <c:showLegendKey val="0"/>
          <c:showVal val="0"/>
          <c:showCatName val="0"/>
          <c:showSerName val="0"/>
          <c:showPercent val="0"/>
          <c:showBubbleSize val="0"/>
        </c:dLbls>
        <c:axId val="2080110376"/>
        <c:axId val="2080117704"/>
      </c:scatterChart>
      <c:scatterChart>
        <c:scatterStyle val="smoothMarker"/>
        <c:varyColors val="0"/>
        <c:ser>
          <c:idx val="6"/>
          <c:order val="6"/>
          <c:tx>
            <c:v>Native</c:v>
          </c:tx>
          <c:spPr>
            <a:ln w="31750">
              <a:solidFill>
                <a:schemeClr val="tx2"/>
              </a:solidFill>
            </a:ln>
          </c:spPr>
          <c:marker>
            <c:symbol val="diamond"/>
            <c:size val="5"/>
            <c:spPr>
              <a:solidFill>
                <a:schemeClr val="bg1"/>
              </a:solidFill>
              <a:ln>
                <a:solidFill>
                  <a:schemeClr val="tx2"/>
                </a:solidFill>
              </a:ln>
            </c:spPr>
          </c:marker>
          <c:errBars>
            <c:errDir val="y"/>
            <c:errBarType val="both"/>
            <c:errValType val="cust"/>
            <c:noEndCap val="0"/>
            <c:plus>
              <c:numRef>
                <c:f>Sheet3!$I$44:$R$44</c:f>
                <c:numCache>
                  <c:formatCode>General</c:formatCode>
                  <c:ptCount val="10"/>
                  <c:pt idx="0">
                    <c:v>0.0</c:v>
                  </c:pt>
                  <c:pt idx="1">
                    <c:v>0.00326898457234686</c:v>
                  </c:pt>
                  <c:pt idx="2">
                    <c:v>0.0167440370884755</c:v>
                  </c:pt>
                  <c:pt idx="3">
                    <c:v>0.0121550378339033</c:v>
                  </c:pt>
                  <c:pt idx="4">
                    <c:v>0.0211445485519434</c:v>
                  </c:pt>
                  <c:pt idx="5">
                    <c:v>0.0121550378339033</c:v>
                  </c:pt>
                  <c:pt idx="6">
                    <c:v>0.0167440370884755</c:v>
                  </c:pt>
                  <c:pt idx="7">
                    <c:v>0.0121550378339033</c:v>
                  </c:pt>
                  <c:pt idx="8">
                    <c:v>0.0167440370884755</c:v>
                  </c:pt>
                  <c:pt idx="9">
                    <c:v>0.0121550378339033</c:v>
                  </c:pt>
                </c:numCache>
              </c:numRef>
            </c:plus>
            <c:minus>
              <c:numRef>
                <c:f>Sheet3!$I$44:$R$44</c:f>
                <c:numCache>
                  <c:formatCode>General</c:formatCode>
                  <c:ptCount val="10"/>
                  <c:pt idx="0">
                    <c:v>0.0</c:v>
                  </c:pt>
                  <c:pt idx="1">
                    <c:v>0.00326898457234686</c:v>
                  </c:pt>
                  <c:pt idx="2">
                    <c:v>0.0167440370884755</c:v>
                  </c:pt>
                  <c:pt idx="3">
                    <c:v>0.0121550378339033</c:v>
                  </c:pt>
                  <c:pt idx="4">
                    <c:v>0.0211445485519434</c:v>
                  </c:pt>
                  <c:pt idx="5">
                    <c:v>0.0121550378339033</c:v>
                  </c:pt>
                  <c:pt idx="6">
                    <c:v>0.0167440370884755</c:v>
                  </c:pt>
                  <c:pt idx="7">
                    <c:v>0.0121550378339033</c:v>
                  </c:pt>
                  <c:pt idx="8">
                    <c:v>0.0167440370884755</c:v>
                  </c:pt>
                  <c:pt idx="9">
                    <c:v>0.0121550378339033</c:v>
                  </c:pt>
                </c:numCache>
              </c:numRef>
            </c:minus>
          </c:errBars>
          <c:xVal>
            <c:numRef>
              <c:f>Sheet3!$I$26:$R$26</c:f>
              <c:numCache>
                <c:formatCode>General</c:formatCode>
                <c:ptCount val="10"/>
                <c:pt idx="0">
                  <c:v>0.0</c:v>
                </c:pt>
                <c:pt idx="1">
                  <c:v>7.0</c:v>
                </c:pt>
                <c:pt idx="2">
                  <c:v>14.0</c:v>
                </c:pt>
                <c:pt idx="3">
                  <c:v>21.0</c:v>
                </c:pt>
                <c:pt idx="4">
                  <c:v>27.0</c:v>
                </c:pt>
                <c:pt idx="5">
                  <c:v>42.0</c:v>
                </c:pt>
                <c:pt idx="6">
                  <c:v>56.0</c:v>
                </c:pt>
                <c:pt idx="7">
                  <c:v>90.0</c:v>
                </c:pt>
                <c:pt idx="8">
                  <c:v>131.0</c:v>
                </c:pt>
                <c:pt idx="9">
                  <c:v>216.0</c:v>
                </c:pt>
              </c:numCache>
            </c:numRef>
          </c:xVal>
          <c:yVal>
            <c:numRef>
              <c:f>Sheet3!$I$27:$R$27</c:f>
              <c:numCache>
                <c:formatCode>General</c:formatCode>
                <c:ptCount val="10"/>
                <c:pt idx="0">
                  <c:v>0.0</c:v>
                </c:pt>
                <c:pt idx="1">
                  <c:v>0.0162450898378589</c:v>
                </c:pt>
                <c:pt idx="2">
                  <c:v>0.0697375715252778</c:v>
                </c:pt>
                <c:pt idx="3">
                  <c:v>0.0356427256187583</c:v>
                </c:pt>
                <c:pt idx="4">
                  <c:v>0.023070593874988</c:v>
                </c:pt>
                <c:pt idx="5">
                  <c:v>0.01734533</c:v>
                </c:pt>
                <c:pt idx="6">
                  <c:v>0.01624354</c:v>
                </c:pt>
                <c:pt idx="7">
                  <c:v>0.016325</c:v>
                </c:pt>
                <c:pt idx="8">
                  <c:v>0.016241</c:v>
                </c:pt>
                <c:pt idx="9">
                  <c:v>0.01601</c:v>
                </c:pt>
              </c:numCache>
            </c:numRef>
          </c:yVal>
          <c:smooth val="1"/>
        </c:ser>
        <c:ser>
          <c:idx val="7"/>
          <c:order val="7"/>
          <c:tx>
            <c:v>Irradiated</c:v>
          </c:tx>
          <c:spPr>
            <a:ln w="31750">
              <a:solidFill>
                <a:srgbClr val="800000"/>
              </a:solidFill>
            </a:ln>
          </c:spPr>
          <c:marker>
            <c:symbol val="circle"/>
            <c:size val="5"/>
            <c:spPr>
              <a:solidFill>
                <a:schemeClr val="bg1"/>
              </a:solidFill>
              <a:ln>
                <a:solidFill>
                  <a:schemeClr val="accent2"/>
                </a:solidFill>
              </a:ln>
            </c:spPr>
          </c:marker>
          <c:errBars>
            <c:errDir val="y"/>
            <c:errBarType val="both"/>
            <c:errValType val="cust"/>
            <c:noEndCap val="0"/>
            <c:plus>
              <c:numRef>
                <c:f>Sheet3!$I$46:$R$46</c:f>
                <c:numCache>
                  <c:formatCode>General</c:formatCode>
                  <c:ptCount val="10"/>
                  <c:pt idx="0">
                    <c:v>0.0</c:v>
                  </c:pt>
                  <c:pt idx="1">
                    <c:v>0.000767467565498416</c:v>
                  </c:pt>
                  <c:pt idx="2">
                    <c:v>0.0245896509910156</c:v>
                  </c:pt>
                  <c:pt idx="3">
                    <c:v>0.00599979650808437</c:v>
                  </c:pt>
                  <c:pt idx="4">
                    <c:v>0.014</c:v>
                  </c:pt>
                  <c:pt idx="5">
                    <c:v>0.0123119969189259</c:v>
                  </c:pt>
                  <c:pt idx="6">
                    <c:v>0.014</c:v>
                  </c:pt>
                  <c:pt idx="7">
                    <c:v>0.0123119969189259</c:v>
                  </c:pt>
                  <c:pt idx="8">
                    <c:v>0.014</c:v>
                  </c:pt>
                  <c:pt idx="9">
                    <c:v>0.0123119969189259</c:v>
                  </c:pt>
                </c:numCache>
              </c:numRef>
            </c:plus>
            <c:minus>
              <c:numRef>
                <c:f>Sheet3!$I$46:$R$46</c:f>
                <c:numCache>
                  <c:formatCode>General</c:formatCode>
                  <c:ptCount val="10"/>
                  <c:pt idx="0">
                    <c:v>0.0</c:v>
                  </c:pt>
                  <c:pt idx="1">
                    <c:v>0.000767467565498416</c:v>
                  </c:pt>
                  <c:pt idx="2">
                    <c:v>0.0245896509910156</c:v>
                  </c:pt>
                  <c:pt idx="3">
                    <c:v>0.00599979650808437</c:v>
                  </c:pt>
                  <c:pt idx="4">
                    <c:v>0.014</c:v>
                  </c:pt>
                  <c:pt idx="5">
                    <c:v>0.0123119969189259</c:v>
                  </c:pt>
                  <c:pt idx="6">
                    <c:v>0.014</c:v>
                  </c:pt>
                  <c:pt idx="7">
                    <c:v>0.0123119969189259</c:v>
                  </c:pt>
                  <c:pt idx="8">
                    <c:v>0.014</c:v>
                  </c:pt>
                  <c:pt idx="9">
                    <c:v>0.0123119969189259</c:v>
                  </c:pt>
                </c:numCache>
              </c:numRef>
            </c:minus>
          </c:errBars>
          <c:xVal>
            <c:numRef>
              <c:f>Sheet3!$I$26:$R$26</c:f>
              <c:numCache>
                <c:formatCode>General</c:formatCode>
                <c:ptCount val="10"/>
                <c:pt idx="0">
                  <c:v>0.0</c:v>
                </c:pt>
                <c:pt idx="1">
                  <c:v>7.0</c:v>
                </c:pt>
                <c:pt idx="2">
                  <c:v>14.0</c:v>
                </c:pt>
                <c:pt idx="3">
                  <c:v>21.0</c:v>
                </c:pt>
                <c:pt idx="4">
                  <c:v>27.0</c:v>
                </c:pt>
                <c:pt idx="5">
                  <c:v>42.0</c:v>
                </c:pt>
                <c:pt idx="6">
                  <c:v>56.0</c:v>
                </c:pt>
                <c:pt idx="7">
                  <c:v>90.0</c:v>
                </c:pt>
                <c:pt idx="8">
                  <c:v>131.0</c:v>
                </c:pt>
                <c:pt idx="9">
                  <c:v>216.0</c:v>
                </c:pt>
              </c:numCache>
            </c:numRef>
          </c:xVal>
          <c:yVal>
            <c:numRef>
              <c:f>Sheet3!$I$29:$R$29</c:f>
              <c:numCache>
                <c:formatCode>General</c:formatCode>
                <c:ptCount val="10"/>
                <c:pt idx="0">
                  <c:v>0.0</c:v>
                </c:pt>
                <c:pt idx="1">
                  <c:v>0.0181710540969865</c:v>
                </c:pt>
                <c:pt idx="2">
                  <c:v>0.0568952731975202</c:v>
                </c:pt>
                <c:pt idx="3">
                  <c:v>0.0436989581216283</c:v>
                </c:pt>
                <c:pt idx="4">
                  <c:v>0.084</c:v>
                </c:pt>
                <c:pt idx="5">
                  <c:v>0.05732891</c:v>
                </c:pt>
                <c:pt idx="6">
                  <c:v>0.03465781</c:v>
                </c:pt>
                <c:pt idx="7">
                  <c:v>0.033672</c:v>
                </c:pt>
                <c:pt idx="8">
                  <c:v>0.034512</c:v>
                </c:pt>
                <c:pt idx="9">
                  <c:v>0.029</c:v>
                </c:pt>
              </c:numCache>
            </c:numRef>
          </c:yVal>
          <c:smooth val="1"/>
        </c:ser>
        <c:ser>
          <c:idx val="8"/>
          <c:order val="8"/>
          <c:tx>
            <c:v>Dark</c:v>
          </c:tx>
          <c:spPr>
            <a:ln w="31750">
              <a:solidFill>
                <a:schemeClr val="accent3"/>
              </a:solidFill>
            </a:ln>
          </c:spPr>
          <c:marker>
            <c:symbol val="triangle"/>
            <c:size val="5"/>
            <c:spPr>
              <a:solidFill>
                <a:schemeClr val="bg1"/>
              </a:solidFill>
              <a:ln>
                <a:solidFill>
                  <a:schemeClr val="accent3"/>
                </a:solidFill>
              </a:ln>
            </c:spPr>
          </c:marker>
          <c:errBars>
            <c:errDir val="y"/>
            <c:errBarType val="both"/>
            <c:errValType val="cust"/>
            <c:noEndCap val="0"/>
            <c:plus>
              <c:numRef>
                <c:f>Sheet3!$I$45:$R$45</c:f>
                <c:numCache>
                  <c:formatCode>General</c:formatCode>
                  <c:ptCount val="10"/>
                  <c:pt idx="0">
                    <c:v>0.0</c:v>
                  </c:pt>
                  <c:pt idx="1">
                    <c:v>0.00113278093818481</c:v>
                  </c:pt>
                  <c:pt idx="2">
                    <c:v>0.0123119969189259</c:v>
                  </c:pt>
                  <c:pt idx="3">
                    <c:v>0.0136019829368399</c:v>
                  </c:pt>
                  <c:pt idx="4">
                    <c:v>0.00433469635392986</c:v>
                  </c:pt>
                  <c:pt idx="5">
                    <c:v>0.0123119969189259</c:v>
                  </c:pt>
                  <c:pt idx="6">
                    <c:v>0.00433469635392986</c:v>
                  </c:pt>
                  <c:pt idx="7">
                    <c:v>0.0123119969189259</c:v>
                  </c:pt>
                  <c:pt idx="8">
                    <c:v>0.00433469635392986</c:v>
                  </c:pt>
                  <c:pt idx="9">
                    <c:v>0.0123119969189259</c:v>
                  </c:pt>
                </c:numCache>
              </c:numRef>
            </c:plus>
            <c:minus>
              <c:numRef>
                <c:f>Sheet3!$I$45:$R$45</c:f>
                <c:numCache>
                  <c:formatCode>General</c:formatCode>
                  <c:ptCount val="10"/>
                  <c:pt idx="0">
                    <c:v>0.0</c:v>
                  </c:pt>
                  <c:pt idx="1">
                    <c:v>0.00113278093818481</c:v>
                  </c:pt>
                  <c:pt idx="2">
                    <c:v>0.0123119969189259</c:v>
                  </c:pt>
                  <c:pt idx="3">
                    <c:v>0.0136019829368399</c:v>
                  </c:pt>
                  <c:pt idx="4">
                    <c:v>0.00433469635392986</c:v>
                  </c:pt>
                  <c:pt idx="5">
                    <c:v>0.0123119969189259</c:v>
                  </c:pt>
                  <c:pt idx="6">
                    <c:v>0.00433469635392986</c:v>
                  </c:pt>
                  <c:pt idx="7">
                    <c:v>0.0123119969189259</c:v>
                  </c:pt>
                  <c:pt idx="8">
                    <c:v>0.00433469635392986</c:v>
                  </c:pt>
                  <c:pt idx="9">
                    <c:v>0.0123119969189259</c:v>
                  </c:pt>
                </c:numCache>
              </c:numRef>
            </c:minus>
          </c:errBars>
          <c:xVal>
            <c:numRef>
              <c:f>Sheet3!$I$26:$R$26</c:f>
              <c:numCache>
                <c:formatCode>General</c:formatCode>
                <c:ptCount val="10"/>
                <c:pt idx="0">
                  <c:v>0.0</c:v>
                </c:pt>
                <c:pt idx="1">
                  <c:v>7.0</c:v>
                </c:pt>
                <c:pt idx="2">
                  <c:v>14.0</c:v>
                </c:pt>
                <c:pt idx="3">
                  <c:v>21.0</c:v>
                </c:pt>
                <c:pt idx="4">
                  <c:v>27.0</c:v>
                </c:pt>
                <c:pt idx="5">
                  <c:v>42.0</c:v>
                </c:pt>
                <c:pt idx="6">
                  <c:v>56.0</c:v>
                </c:pt>
                <c:pt idx="7">
                  <c:v>90.0</c:v>
                </c:pt>
                <c:pt idx="8">
                  <c:v>131.0</c:v>
                </c:pt>
                <c:pt idx="9">
                  <c:v>216.0</c:v>
                </c:pt>
              </c:numCache>
            </c:numRef>
          </c:xVal>
          <c:yVal>
            <c:numRef>
              <c:f>Sheet3!$I$28:$R$28</c:f>
              <c:numCache>
                <c:formatCode>General</c:formatCode>
                <c:ptCount val="10"/>
                <c:pt idx="0">
                  <c:v>0.0</c:v>
                </c:pt>
                <c:pt idx="1">
                  <c:v>0.0157426643789561</c:v>
                </c:pt>
                <c:pt idx="2">
                  <c:v>0.0663907907489531</c:v>
                </c:pt>
                <c:pt idx="3">
                  <c:v>0.0411762994591135</c:v>
                </c:pt>
                <c:pt idx="4">
                  <c:v>0.0283768304662353</c:v>
                </c:pt>
                <c:pt idx="5">
                  <c:v>0.018453483</c:v>
                </c:pt>
                <c:pt idx="6">
                  <c:v>0.01723276</c:v>
                </c:pt>
                <c:pt idx="7">
                  <c:v>0.017001</c:v>
                </c:pt>
                <c:pt idx="8">
                  <c:v>0.016932</c:v>
                </c:pt>
                <c:pt idx="9">
                  <c:v>0.016645</c:v>
                </c:pt>
              </c:numCache>
            </c:numRef>
          </c:yVal>
          <c:smooth val="1"/>
        </c:ser>
        <c:ser>
          <c:idx val="9"/>
          <c:order val="9"/>
          <c:tx>
            <c:v>Sand Patty</c:v>
          </c:tx>
          <c:spPr>
            <a:ln w="31750">
              <a:solidFill>
                <a:schemeClr val="accent4">
                  <a:lumMod val="75000"/>
                </a:schemeClr>
              </a:solidFill>
            </a:ln>
          </c:spPr>
          <c:marker>
            <c:symbol val="square"/>
            <c:size val="5"/>
            <c:spPr>
              <a:solidFill>
                <a:schemeClr val="bg1"/>
              </a:solidFill>
              <a:ln>
                <a:solidFill>
                  <a:schemeClr val="accent4"/>
                </a:solidFill>
              </a:ln>
            </c:spPr>
          </c:marker>
          <c:errBars>
            <c:errDir val="y"/>
            <c:errBarType val="both"/>
            <c:errValType val="cust"/>
            <c:noEndCap val="0"/>
            <c:plus>
              <c:numRef>
                <c:f>Sheet3!$I$47:$R$47</c:f>
                <c:numCache>
                  <c:formatCode>General</c:formatCode>
                  <c:ptCount val="10"/>
                  <c:pt idx="0">
                    <c:v>0.0</c:v>
                  </c:pt>
                  <c:pt idx="1">
                    <c:v>0.00346576465999192</c:v>
                  </c:pt>
                  <c:pt idx="2">
                    <c:v>0.0314191142529744</c:v>
                  </c:pt>
                  <c:pt idx="3">
                    <c:v>0.0122283646874512</c:v>
                  </c:pt>
                  <c:pt idx="4">
                    <c:v>0.0314191142529744</c:v>
                  </c:pt>
                  <c:pt idx="5">
                    <c:v>0.0122283646874512</c:v>
                  </c:pt>
                  <c:pt idx="6">
                    <c:v>0.0264191142529745</c:v>
                  </c:pt>
                  <c:pt idx="7">
                    <c:v>0.0122283646874512</c:v>
                  </c:pt>
                  <c:pt idx="8">
                    <c:v>0.0264191142529745</c:v>
                  </c:pt>
                  <c:pt idx="9">
                    <c:v>0.0122283646874512</c:v>
                  </c:pt>
                </c:numCache>
              </c:numRef>
            </c:plus>
            <c:minus>
              <c:numRef>
                <c:f>Sheet3!$I$47:$R$47</c:f>
                <c:numCache>
                  <c:formatCode>General</c:formatCode>
                  <c:ptCount val="10"/>
                  <c:pt idx="0">
                    <c:v>0.0</c:v>
                  </c:pt>
                  <c:pt idx="1">
                    <c:v>0.00346576465999192</c:v>
                  </c:pt>
                  <c:pt idx="2">
                    <c:v>0.0314191142529744</c:v>
                  </c:pt>
                  <c:pt idx="3">
                    <c:v>0.0122283646874512</c:v>
                  </c:pt>
                  <c:pt idx="4">
                    <c:v>0.0314191142529744</c:v>
                  </c:pt>
                  <c:pt idx="5">
                    <c:v>0.0122283646874512</c:v>
                  </c:pt>
                  <c:pt idx="6">
                    <c:v>0.0264191142529745</c:v>
                  </c:pt>
                  <c:pt idx="7">
                    <c:v>0.0122283646874512</c:v>
                  </c:pt>
                  <c:pt idx="8">
                    <c:v>0.0264191142529745</c:v>
                  </c:pt>
                  <c:pt idx="9">
                    <c:v>0.0122283646874512</c:v>
                  </c:pt>
                </c:numCache>
              </c:numRef>
            </c:minus>
          </c:errBars>
          <c:xVal>
            <c:numRef>
              <c:f>Sheet3!$I$26:$R$26</c:f>
              <c:numCache>
                <c:formatCode>General</c:formatCode>
                <c:ptCount val="10"/>
                <c:pt idx="0">
                  <c:v>0.0</c:v>
                </c:pt>
                <c:pt idx="1">
                  <c:v>7.0</c:v>
                </c:pt>
                <c:pt idx="2">
                  <c:v>14.0</c:v>
                </c:pt>
                <c:pt idx="3">
                  <c:v>21.0</c:v>
                </c:pt>
                <c:pt idx="4">
                  <c:v>27.0</c:v>
                </c:pt>
                <c:pt idx="5">
                  <c:v>42.0</c:v>
                </c:pt>
                <c:pt idx="6">
                  <c:v>56.0</c:v>
                </c:pt>
                <c:pt idx="7">
                  <c:v>90.0</c:v>
                </c:pt>
                <c:pt idx="8">
                  <c:v>131.0</c:v>
                </c:pt>
                <c:pt idx="9">
                  <c:v>216.0</c:v>
                </c:pt>
              </c:numCache>
            </c:numRef>
          </c:xVal>
          <c:yVal>
            <c:numRef>
              <c:f>Sheet3!$I$30:$R$30</c:f>
              <c:numCache>
                <c:formatCode>General</c:formatCode>
                <c:ptCount val="10"/>
                <c:pt idx="0">
                  <c:v>0.0</c:v>
                </c:pt>
                <c:pt idx="1">
                  <c:v>0.0199295432031465</c:v>
                </c:pt>
                <c:pt idx="2">
                  <c:v>0.10623424</c:v>
                </c:pt>
                <c:pt idx="3">
                  <c:v>0.0390605212260365</c:v>
                </c:pt>
                <c:pt idx="4">
                  <c:v>0.061631443637468</c:v>
                </c:pt>
                <c:pt idx="5">
                  <c:v>0.04028532</c:v>
                </c:pt>
                <c:pt idx="6">
                  <c:v>0.03652819</c:v>
                </c:pt>
                <c:pt idx="7">
                  <c:v>0.035628</c:v>
                </c:pt>
                <c:pt idx="8">
                  <c:v>0.034412</c:v>
                </c:pt>
                <c:pt idx="9">
                  <c:v>0.028</c:v>
                </c:pt>
              </c:numCache>
            </c:numRef>
          </c:yVal>
          <c:smooth val="1"/>
        </c:ser>
        <c:ser>
          <c:idx val="10"/>
          <c:order val="10"/>
          <c:tx>
            <c:v>Lactate</c:v>
          </c:tx>
          <c:spPr>
            <a:ln w="31750">
              <a:solidFill>
                <a:schemeClr val="accent6">
                  <a:lumMod val="75000"/>
                </a:schemeClr>
              </a:solidFill>
            </a:ln>
          </c:spPr>
          <c:marker>
            <c:symbol val="circle"/>
            <c:size val="5"/>
            <c:spPr>
              <a:solidFill>
                <a:schemeClr val="bg1"/>
              </a:solidFill>
              <a:ln>
                <a:solidFill>
                  <a:schemeClr val="accent6"/>
                </a:solidFill>
              </a:ln>
            </c:spPr>
          </c:marker>
          <c:errBars>
            <c:errDir val="y"/>
            <c:errBarType val="both"/>
            <c:errValType val="cust"/>
            <c:noEndCap val="0"/>
            <c:plus>
              <c:numRef>
                <c:f>Sheet3!$I$48:$R$48</c:f>
                <c:numCache>
                  <c:formatCode>General</c:formatCode>
                  <c:ptCount val="10"/>
                  <c:pt idx="0">
                    <c:v>0.0</c:v>
                  </c:pt>
                  <c:pt idx="1">
                    <c:v>0.0095922481238362</c:v>
                  </c:pt>
                  <c:pt idx="2">
                    <c:v>0.0186570729889877</c:v>
                  </c:pt>
                  <c:pt idx="3">
                    <c:v>0.00742286409832061</c:v>
                  </c:pt>
                  <c:pt idx="4">
                    <c:v>0.0</c:v>
                  </c:pt>
                  <c:pt idx="5">
                    <c:v>0.0095922481238362</c:v>
                  </c:pt>
                  <c:pt idx="6">
                    <c:v>0.01832945</c:v>
                  </c:pt>
                  <c:pt idx="7">
                    <c:v>0.0095922481238362</c:v>
                  </c:pt>
                  <c:pt idx="8">
                    <c:v>0.01832945</c:v>
                  </c:pt>
                  <c:pt idx="9">
                    <c:v>0.0095922481238362</c:v>
                  </c:pt>
                </c:numCache>
              </c:numRef>
            </c:plus>
            <c:minus>
              <c:numRef>
                <c:f>Sheet3!$I$48:$R$48</c:f>
                <c:numCache>
                  <c:formatCode>General</c:formatCode>
                  <c:ptCount val="10"/>
                  <c:pt idx="0">
                    <c:v>0.0</c:v>
                  </c:pt>
                  <c:pt idx="1">
                    <c:v>0.0095922481238362</c:v>
                  </c:pt>
                  <c:pt idx="2">
                    <c:v>0.0186570729889877</c:v>
                  </c:pt>
                  <c:pt idx="3">
                    <c:v>0.00742286409832061</c:v>
                  </c:pt>
                  <c:pt idx="4">
                    <c:v>0.0</c:v>
                  </c:pt>
                  <c:pt idx="5">
                    <c:v>0.0095922481238362</c:v>
                  </c:pt>
                  <c:pt idx="6">
                    <c:v>0.01832945</c:v>
                  </c:pt>
                  <c:pt idx="7">
                    <c:v>0.0095922481238362</c:v>
                  </c:pt>
                  <c:pt idx="8">
                    <c:v>0.01832945</c:v>
                  </c:pt>
                  <c:pt idx="9">
                    <c:v>0.0095922481238362</c:v>
                  </c:pt>
                </c:numCache>
              </c:numRef>
            </c:minus>
          </c:errBars>
          <c:xVal>
            <c:numRef>
              <c:f>Sheet3!$I$26:$R$26</c:f>
              <c:numCache>
                <c:formatCode>General</c:formatCode>
                <c:ptCount val="10"/>
                <c:pt idx="0">
                  <c:v>0.0</c:v>
                </c:pt>
                <c:pt idx="1">
                  <c:v>7.0</c:v>
                </c:pt>
                <c:pt idx="2">
                  <c:v>14.0</c:v>
                </c:pt>
                <c:pt idx="3">
                  <c:v>21.0</c:v>
                </c:pt>
                <c:pt idx="4">
                  <c:v>27.0</c:v>
                </c:pt>
                <c:pt idx="5">
                  <c:v>42.0</c:v>
                </c:pt>
                <c:pt idx="6">
                  <c:v>56.0</c:v>
                </c:pt>
                <c:pt idx="7">
                  <c:v>90.0</c:v>
                </c:pt>
                <c:pt idx="8">
                  <c:v>131.0</c:v>
                </c:pt>
                <c:pt idx="9">
                  <c:v>216.0</c:v>
                </c:pt>
              </c:numCache>
            </c:numRef>
          </c:xVal>
          <c:yVal>
            <c:numRef>
              <c:f>Sheet3!$I$31:$R$31</c:f>
              <c:numCache>
                <c:formatCode>General</c:formatCode>
                <c:ptCount val="10"/>
                <c:pt idx="0">
                  <c:v>0.0</c:v>
                </c:pt>
                <c:pt idx="1">
                  <c:v>0.0477304185957711</c:v>
                </c:pt>
                <c:pt idx="2">
                  <c:v>0.260231663387016</c:v>
                </c:pt>
                <c:pt idx="3">
                  <c:v>0.136101503646971</c:v>
                </c:pt>
                <c:pt idx="4" formatCode="0.000">
                  <c:v>0.260231663387016</c:v>
                </c:pt>
                <c:pt idx="5">
                  <c:v>0.17823456</c:v>
                </c:pt>
                <c:pt idx="6">
                  <c:v>0.15428393</c:v>
                </c:pt>
                <c:pt idx="7">
                  <c:v>0.106281</c:v>
                </c:pt>
                <c:pt idx="8">
                  <c:v>0.048329</c:v>
                </c:pt>
                <c:pt idx="9">
                  <c:v>0.03</c:v>
                </c:pt>
              </c:numCache>
            </c:numRef>
          </c:yVal>
          <c:smooth val="1"/>
        </c:ser>
        <c:ser>
          <c:idx val="11"/>
          <c:order val="11"/>
          <c:tx>
            <c:v>Sterile</c:v>
          </c:tx>
          <c:spPr>
            <a:ln w="31750">
              <a:solidFill>
                <a:schemeClr val="accent5"/>
              </a:solidFill>
            </a:ln>
          </c:spPr>
          <c:marker>
            <c:symbol val="triangle"/>
            <c:size val="5"/>
            <c:spPr>
              <a:solidFill>
                <a:schemeClr val="bg1"/>
              </a:solidFill>
              <a:ln>
                <a:solidFill>
                  <a:schemeClr val="accent5"/>
                </a:solidFill>
              </a:ln>
            </c:spPr>
          </c:marker>
          <c:xVal>
            <c:numRef>
              <c:f>Sheet3!$I$26:$R$26</c:f>
              <c:numCache>
                <c:formatCode>General</c:formatCode>
                <c:ptCount val="10"/>
                <c:pt idx="0">
                  <c:v>0.0</c:v>
                </c:pt>
                <c:pt idx="1">
                  <c:v>7.0</c:v>
                </c:pt>
                <c:pt idx="2">
                  <c:v>14.0</c:v>
                </c:pt>
                <c:pt idx="3">
                  <c:v>21.0</c:v>
                </c:pt>
                <c:pt idx="4">
                  <c:v>27.0</c:v>
                </c:pt>
                <c:pt idx="5">
                  <c:v>42.0</c:v>
                </c:pt>
                <c:pt idx="6">
                  <c:v>56.0</c:v>
                </c:pt>
                <c:pt idx="7">
                  <c:v>90.0</c:v>
                </c:pt>
                <c:pt idx="8">
                  <c:v>131.0</c:v>
                </c:pt>
                <c:pt idx="9">
                  <c:v>216.0</c:v>
                </c:pt>
              </c:numCache>
            </c:numRef>
          </c:xVal>
          <c:yVal>
            <c:numRef>
              <c:f>Sheet3!$I$32:$R$32</c:f>
              <c:numCache>
                <c:formatCode>General</c:formatCode>
                <c:ptCount val="10"/>
                <c:pt idx="0">
                  <c:v>0.0</c:v>
                </c:pt>
                <c:pt idx="1">
                  <c:v>0.0133142746609256</c:v>
                </c:pt>
                <c:pt idx="2">
                  <c:v>0.0100403423289741</c:v>
                </c:pt>
                <c:pt idx="3">
                  <c:v>0.014403567202101</c:v>
                </c:pt>
                <c:pt idx="4">
                  <c:v>0.0136446083774929</c:v>
                </c:pt>
                <c:pt idx="5">
                  <c:v>0.01246521</c:v>
                </c:pt>
                <c:pt idx="6">
                  <c:v>0.014403567202101</c:v>
                </c:pt>
                <c:pt idx="7">
                  <c:v>0.014404</c:v>
                </c:pt>
                <c:pt idx="8">
                  <c:v>0.013642</c:v>
                </c:pt>
                <c:pt idx="9">
                  <c:v>0.0145289</c:v>
                </c:pt>
              </c:numCache>
            </c:numRef>
          </c:yVal>
          <c:smooth val="1"/>
        </c:ser>
        <c:dLbls>
          <c:showLegendKey val="0"/>
          <c:showVal val="0"/>
          <c:showCatName val="0"/>
          <c:showSerName val="0"/>
          <c:showPercent val="0"/>
          <c:showBubbleSize val="0"/>
        </c:dLbls>
        <c:axId val="2080130536"/>
        <c:axId val="2080124008"/>
      </c:scatterChart>
      <c:valAx>
        <c:axId val="2080110376"/>
        <c:scaling>
          <c:orientation val="minMax"/>
        </c:scaling>
        <c:delete val="0"/>
        <c:axPos val="b"/>
        <c:title>
          <c:tx>
            <c:rich>
              <a:bodyPr/>
              <a:lstStyle/>
              <a:p>
                <a:pPr>
                  <a:defRPr sz="1400"/>
                </a:pPr>
                <a:r>
                  <a:rPr lang="en-US" sz="1400"/>
                  <a:t>Time (days)</a:t>
                </a:r>
              </a:p>
            </c:rich>
          </c:tx>
          <c:layout/>
          <c:overlay val="0"/>
        </c:title>
        <c:numFmt formatCode="General" sourceLinked="1"/>
        <c:majorTickMark val="out"/>
        <c:minorTickMark val="none"/>
        <c:tickLblPos val="nextTo"/>
        <c:txPr>
          <a:bodyPr/>
          <a:lstStyle/>
          <a:p>
            <a:pPr>
              <a:defRPr sz="1200"/>
            </a:pPr>
            <a:endParaRPr lang="en-US"/>
          </a:p>
        </c:txPr>
        <c:crossAx val="2080117704"/>
        <c:crosses val="autoZero"/>
        <c:crossBetween val="midCat"/>
      </c:valAx>
      <c:valAx>
        <c:axId val="2080117704"/>
        <c:scaling>
          <c:orientation val="minMax"/>
          <c:max val="25.0"/>
        </c:scaling>
        <c:delete val="0"/>
        <c:axPos val="l"/>
        <c:title>
          <c:tx>
            <c:rich>
              <a:bodyPr rot="-5400000" vert="horz"/>
              <a:lstStyle/>
              <a:p>
                <a:pPr>
                  <a:defRPr sz="1400"/>
                </a:pPr>
                <a:r>
                  <a:rPr lang="en-US" sz="1400" dirty="0" smtClean="0"/>
                  <a:t>SO</a:t>
                </a:r>
                <a:r>
                  <a:rPr lang="en-US" sz="1400" baseline="-25000" dirty="0" smtClean="0"/>
                  <a:t>4</a:t>
                </a:r>
                <a:r>
                  <a:rPr lang="en-US" sz="1400" baseline="30000" dirty="0" smtClean="0"/>
                  <a:t>2-</a:t>
                </a:r>
                <a:r>
                  <a:rPr lang="en-US" sz="1400" baseline="-25000" dirty="0" smtClean="0"/>
                  <a:t> </a:t>
                </a:r>
                <a:r>
                  <a:rPr lang="en-US" sz="1400" baseline="0" dirty="0"/>
                  <a:t>(</a:t>
                </a:r>
                <a:r>
                  <a:rPr lang="en-US" sz="1400" baseline="0" dirty="0" err="1"/>
                  <a:t>mM</a:t>
                </a:r>
                <a:r>
                  <a:rPr lang="en-US" sz="1400" baseline="0" dirty="0"/>
                  <a:t>)</a:t>
                </a:r>
                <a:endParaRPr lang="en-US" sz="1400" dirty="0"/>
              </a:p>
            </c:rich>
          </c:tx>
          <c:layout/>
          <c:overlay val="0"/>
        </c:title>
        <c:numFmt formatCode="General" sourceLinked="1"/>
        <c:majorTickMark val="out"/>
        <c:minorTickMark val="none"/>
        <c:tickLblPos val="nextTo"/>
        <c:txPr>
          <a:bodyPr/>
          <a:lstStyle/>
          <a:p>
            <a:pPr>
              <a:defRPr sz="1200"/>
            </a:pPr>
            <a:endParaRPr lang="en-US"/>
          </a:p>
        </c:txPr>
        <c:crossAx val="2080110376"/>
        <c:crosses val="autoZero"/>
        <c:crossBetween val="midCat"/>
      </c:valAx>
      <c:valAx>
        <c:axId val="2080124008"/>
        <c:scaling>
          <c:orientation val="minMax"/>
          <c:max val="0.35"/>
          <c:min val="0.0"/>
        </c:scaling>
        <c:delete val="0"/>
        <c:axPos val="r"/>
        <c:title>
          <c:tx>
            <c:rich>
              <a:bodyPr rot="-5400000" vert="horz"/>
              <a:lstStyle/>
              <a:p>
                <a:pPr>
                  <a:defRPr sz="1400"/>
                </a:pPr>
                <a:r>
                  <a:rPr lang="en-US" sz="1400" dirty="0" err="1" smtClean="0"/>
                  <a:t>μmol</a:t>
                </a:r>
                <a:r>
                  <a:rPr lang="en-US" sz="1400" dirty="0" smtClean="0"/>
                  <a:t> S</a:t>
                </a:r>
                <a:r>
                  <a:rPr lang="en-US" sz="1400" baseline="0" dirty="0" smtClean="0"/>
                  <a:t> </a:t>
                </a:r>
                <a:r>
                  <a:rPr lang="en-US" sz="1400" dirty="0" smtClean="0"/>
                  <a:t>mL</a:t>
                </a:r>
                <a:r>
                  <a:rPr lang="en-US" sz="1400" baseline="30000" dirty="0" smtClean="0"/>
                  <a:t>-1</a:t>
                </a:r>
                <a:r>
                  <a:rPr lang="en-US" sz="1400" baseline="0" dirty="0" smtClean="0"/>
                  <a:t> </a:t>
                </a:r>
                <a:r>
                  <a:rPr lang="en-US" sz="1400" dirty="0" smtClean="0"/>
                  <a:t>day</a:t>
                </a:r>
                <a:r>
                  <a:rPr lang="en-US" sz="1400" baseline="30000" dirty="0" smtClean="0"/>
                  <a:t>-1</a:t>
                </a:r>
                <a:endParaRPr lang="en-US" sz="1400" dirty="0"/>
              </a:p>
            </c:rich>
          </c:tx>
          <c:layout/>
          <c:overlay val="0"/>
        </c:title>
        <c:numFmt formatCode="General" sourceLinked="1"/>
        <c:majorTickMark val="out"/>
        <c:minorTickMark val="none"/>
        <c:tickLblPos val="nextTo"/>
        <c:txPr>
          <a:bodyPr/>
          <a:lstStyle/>
          <a:p>
            <a:pPr>
              <a:defRPr sz="1200"/>
            </a:pPr>
            <a:endParaRPr lang="en-US"/>
          </a:p>
        </c:txPr>
        <c:crossAx val="2080130536"/>
        <c:crosses val="max"/>
        <c:crossBetween val="midCat"/>
      </c:valAx>
      <c:valAx>
        <c:axId val="2080130536"/>
        <c:scaling>
          <c:orientation val="minMax"/>
        </c:scaling>
        <c:delete val="1"/>
        <c:axPos val="b"/>
        <c:numFmt formatCode="General" sourceLinked="1"/>
        <c:majorTickMark val="out"/>
        <c:minorTickMark val="none"/>
        <c:tickLblPos val="nextTo"/>
        <c:crossAx val="2080124008"/>
        <c:crosses val="autoZero"/>
        <c:crossBetween val="midCat"/>
      </c:valAx>
    </c:plotArea>
    <c:legend>
      <c:legendPos val="r"/>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ayout>
        <c:manualLayout>
          <c:xMode val="edge"/>
          <c:yMode val="edge"/>
          <c:x val="0.642786636045494"/>
          <c:y val="0.366806940799067"/>
          <c:w val="0.1925"/>
          <c:h val="0.35126538349373"/>
        </c:manualLayout>
      </c:layout>
      <c:overlay val="1"/>
      <c:txPr>
        <a:bodyPr/>
        <a:lstStyle/>
        <a:p>
          <a:pPr>
            <a:defRPr sz="1200"/>
          </a:pPr>
          <a:endParaRPr lang="en-US"/>
        </a:p>
      </c:txPr>
    </c:legend>
    <c:plotVisOnly val="1"/>
    <c:dispBlanksAs val="gap"/>
    <c:showDLblsOverMax val="0"/>
  </c:chart>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0.79167</cdr:x>
      <cdr:y>0.47222</cdr:y>
    </cdr:from>
    <cdr:to>
      <cdr:x>0.9736</cdr:x>
      <cdr:y>0.52059</cdr:y>
    </cdr:to>
    <cdr:sp macro="" textlink="">
      <cdr:nvSpPr>
        <cdr:cNvPr id="2" name="TextBox 1"/>
        <cdr:cNvSpPr txBox="1"/>
      </cdr:nvSpPr>
      <cdr:spPr>
        <a:xfrm xmlns:a="http://schemas.openxmlformats.org/drawingml/2006/main">
          <a:off x="4343400" y="1943100"/>
          <a:ext cx="998141" cy="19903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b="1" dirty="0" smtClean="0"/>
            <a:t>Irradiated</a:t>
          </a:r>
          <a:endParaRPr lang="en-US" sz="1200" b="1" dirty="0"/>
        </a:p>
      </cdr:txBody>
    </cdr:sp>
  </cdr:relSizeAnchor>
  <cdr:relSizeAnchor xmlns:cdr="http://schemas.openxmlformats.org/drawingml/2006/chartDrawing">
    <cdr:from>
      <cdr:x>0.79167</cdr:x>
      <cdr:y>0.69444</cdr:y>
    </cdr:from>
    <cdr:to>
      <cdr:x>0.94889</cdr:x>
      <cdr:y>0.73463</cdr:y>
    </cdr:to>
    <cdr:sp macro="" textlink="">
      <cdr:nvSpPr>
        <cdr:cNvPr id="3" name="TextBox 2"/>
        <cdr:cNvSpPr txBox="1"/>
      </cdr:nvSpPr>
      <cdr:spPr>
        <a:xfrm xmlns:a="http://schemas.openxmlformats.org/drawingml/2006/main">
          <a:off x="4343400" y="2857500"/>
          <a:ext cx="862572" cy="16537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dirty="0" smtClean="0"/>
            <a:t>Dark</a:t>
          </a:r>
          <a:endParaRPr lang="en-US" sz="1200" b="1" dirty="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33851-54E3-8146-8E58-D102191FB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60</Pages>
  <Words>45998</Words>
  <Characters>262190</Characters>
  <Application>Microsoft Macintosh Word</Application>
  <DocSecurity>0</DocSecurity>
  <Lines>2184</Lines>
  <Paragraphs>615</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307573</CharactersWithSpaces>
  <SharedDoc>false</SharedDoc>
  <HLinks>
    <vt:vector size="12" baseType="variant">
      <vt:variant>
        <vt:i4>7995438</vt:i4>
      </vt:variant>
      <vt:variant>
        <vt:i4>260125</vt:i4>
      </vt:variant>
      <vt:variant>
        <vt:i4>1027</vt:i4>
      </vt:variant>
      <vt:variant>
        <vt:i4>1</vt:i4>
      </vt:variant>
      <vt:variant>
        <vt:lpwstr>FTICR Figure 4</vt:lpwstr>
      </vt:variant>
      <vt:variant>
        <vt:lpwstr/>
      </vt:variant>
      <vt:variant>
        <vt:i4>4980819</vt:i4>
      </vt:variant>
      <vt:variant>
        <vt:i4>260494</vt:i4>
      </vt:variant>
      <vt:variant>
        <vt:i4>1028</vt:i4>
      </vt:variant>
      <vt:variant>
        <vt:i4>1</vt:i4>
      </vt:variant>
      <vt:variant>
        <vt:lpwstr>Figure 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dc:creator>
  <cp:keywords/>
  <dc:description>Word 2003-compatible</dc:description>
  <cp:lastModifiedBy>Brian Harriman</cp:lastModifiedBy>
  <cp:revision>3</cp:revision>
  <dcterms:created xsi:type="dcterms:W3CDTF">2016-12-15T15:43:00Z</dcterms:created>
  <dcterms:modified xsi:type="dcterms:W3CDTF">2016-12-15T16:35:00Z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bfa35bd7-662f-36af-b7d0-10c417a51d7d</vt:lpwstr>
  </property>
  <property fmtid="{D5CDD505-2E9C-101B-9397-08002B2CF9AE}" pid="4" name="Mendeley Citation Style_1">
    <vt:lpwstr>http://www.zotero.org/styles/environmental-science-and-technology</vt:lpwstr>
  </property>
  <property fmtid="{D5CDD505-2E9C-101B-9397-08002B2CF9AE}" pid="5" name="Mendeley Recent Style Id 0_1">
    <vt:lpwstr>http://www.zotero.org/styles/acs-sustainable-chemistry-and-engineering</vt:lpwstr>
  </property>
  <property fmtid="{D5CDD505-2E9C-101B-9397-08002B2CF9AE}" pid="6" name="Mendeley Recent Style Name 0_1">
    <vt:lpwstr>ACS Sustainable Chemistry &amp; Engineering</vt:lpwstr>
  </property>
  <property fmtid="{D5CDD505-2E9C-101B-9397-08002B2CF9AE}" pid="7" name="Mendeley Recent Style Id 1_1">
    <vt:lpwstr>http://www.zotero.org/styles/american-medical-association</vt:lpwstr>
  </property>
  <property fmtid="{D5CDD505-2E9C-101B-9397-08002B2CF9AE}" pid="8" name="Mendeley Recent Style Name 1_1">
    <vt:lpwstr>American Medical Association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American Political Science Association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http://www.zotero.org/styles/environmental-science-and-technology</vt:lpwstr>
  </property>
  <property fmtid="{D5CDD505-2E9C-101B-9397-08002B2CF9AE}" pid="16" name="Mendeley Recent Style Name 5_1">
    <vt:lpwstr>Environmental Science &amp; Technology</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